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DF0BB7">
      <w:pPr>
        <w:adjustRightInd w:val="0"/>
        <w:snapToGrid w:val="0"/>
        <w:spacing w:line="288" w:lineRule="auto"/>
        <w:rPr>
          <w:rFonts w:hint="eastAsia" w:ascii="楷体" w:hAnsi="楷体" w:eastAsia="楷体" w:cs="Times New Roman"/>
          <w:b/>
          <w:spacing w:val="-6"/>
          <w:sz w:val="44"/>
          <w:szCs w:val="44"/>
        </w:rPr>
      </w:pPr>
    </w:p>
    <w:p w14:paraId="15DF0BB8">
      <w:pPr>
        <w:adjustRightInd w:val="0"/>
        <w:snapToGrid w:val="0"/>
        <w:spacing w:line="288" w:lineRule="auto"/>
        <w:rPr>
          <w:rFonts w:hint="eastAsia" w:ascii="楷体" w:hAnsi="楷体" w:eastAsia="楷体" w:cs="Times New Roman"/>
          <w:b/>
          <w:spacing w:val="-6"/>
          <w:sz w:val="44"/>
          <w:szCs w:val="44"/>
        </w:rPr>
      </w:pPr>
    </w:p>
    <w:p w14:paraId="15DF0BB9">
      <w:pPr>
        <w:adjustRightInd w:val="0"/>
        <w:snapToGrid w:val="0"/>
        <w:spacing w:line="288" w:lineRule="auto"/>
        <w:rPr>
          <w:rFonts w:hint="eastAsia" w:ascii="楷体" w:hAnsi="楷体" w:eastAsia="楷体" w:cs="Times New Roman"/>
          <w:b/>
          <w:spacing w:val="-6"/>
          <w:sz w:val="44"/>
          <w:szCs w:val="44"/>
        </w:rPr>
      </w:pPr>
    </w:p>
    <w:p w14:paraId="15DF0BBA">
      <w:pPr>
        <w:adjustRightInd w:val="0"/>
        <w:snapToGrid w:val="0"/>
        <w:spacing w:line="288" w:lineRule="auto"/>
        <w:jc w:val="center"/>
        <w:rPr>
          <w:rFonts w:hint="eastAsia" w:ascii="楷体" w:hAnsi="楷体" w:eastAsia="楷体" w:cs="Times New Roman"/>
          <w:b/>
          <w:spacing w:val="-6"/>
          <w:sz w:val="48"/>
          <w:szCs w:val="48"/>
        </w:rPr>
      </w:pPr>
      <w:r>
        <w:rPr>
          <w:rFonts w:hint="eastAsia" w:ascii="楷体" w:hAnsi="楷体" w:eastAsia="楷体" w:cs="Times New Roman"/>
          <w:b/>
          <w:spacing w:val="-6"/>
          <w:sz w:val="48"/>
          <w:szCs w:val="48"/>
        </w:rPr>
        <w:t>杭州电子科技大学</w:t>
      </w:r>
    </w:p>
    <w:p w14:paraId="15DF0BBB">
      <w:pPr>
        <w:adjustRightInd w:val="0"/>
        <w:snapToGrid w:val="0"/>
        <w:spacing w:line="288" w:lineRule="auto"/>
        <w:jc w:val="center"/>
        <w:rPr>
          <w:rFonts w:hint="eastAsia" w:ascii="楷体" w:hAnsi="楷体" w:eastAsia="楷体" w:cs="Times New Roman"/>
          <w:b/>
          <w:spacing w:val="-6"/>
          <w:sz w:val="48"/>
          <w:szCs w:val="48"/>
        </w:rPr>
      </w:pPr>
      <w:r>
        <w:rPr>
          <w:rFonts w:hint="eastAsia" w:ascii="楷体" w:hAnsi="楷体" w:eastAsia="楷体" w:cs="Times New Roman"/>
          <w:b/>
          <w:spacing w:val="-6"/>
          <w:sz w:val="48"/>
          <w:szCs w:val="48"/>
        </w:rPr>
        <w:t>裸眼立体物理实验平台</w:t>
      </w:r>
    </w:p>
    <w:p w14:paraId="15DF0BBC">
      <w:pPr>
        <w:adjustRightInd w:val="0"/>
        <w:snapToGrid w:val="0"/>
        <w:spacing w:line="288" w:lineRule="auto"/>
        <w:jc w:val="center"/>
        <w:rPr>
          <w:rFonts w:hint="eastAsia" w:ascii="楷体" w:hAnsi="楷体" w:eastAsia="楷体" w:cs="Times New Roman"/>
          <w:b/>
          <w:spacing w:val="-6"/>
          <w:sz w:val="48"/>
          <w:szCs w:val="48"/>
        </w:rPr>
      </w:pPr>
    </w:p>
    <w:p w14:paraId="15DF0BBD">
      <w:pPr>
        <w:adjustRightInd w:val="0"/>
        <w:snapToGrid w:val="0"/>
        <w:spacing w:line="288" w:lineRule="auto"/>
        <w:jc w:val="center"/>
        <w:rPr>
          <w:rFonts w:hint="eastAsia" w:ascii="楷体" w:hAnsi="楷体" w:eastAsia="楷体" w:cs="Times New Roman"/>
          <w:b/>
          <w:spacing w:val="-6"/>
          <w:sz w:val="48"/>
          <w:szCs w:val="48"/>
        </w:rPr>
      </w:pPr>
    </w:p>
    <w:p w14:paraId="15DF0BBE">
      <w:pPr>
        <w:adjustRightInd w:val="0"/>
        <w:snapToGrid w:val="0"/>
        <w:spacing w:line="288" w:lineRule="auto"/>
        <w:jc w:val="center"/>
        <w:rPr>
          <w:rFonts w:hint="eastAsia" w:ascii="楷体" w:hAnsi="楷体" w:eastAsia="楷体" w:cs="Times New Roman"/>
          <w:b/>
          <w:spacing w:val="-6"/>
          <w:sz w:val="72"/>
          <w:szCs w:val="72"/>
        </w:rPr>
      </w:pPr>
      <w:r>
        <w:rPr>
          <w:rFonts w:hint="eastAsia" w:ascii="楷体" w:hAnsi="楷体" w:eastAsia="楷体" w:cs="Times New Roman"/>
          <w:b/>
          <w:spacing w:val="-6"/>
          <w:sz w:val="72"/>
          <w:szCs w:val="72"/>
        </w:rPr>
        <w:t>招 标 文 件</w:t>
      </w:r>
    </w:p>
    <w:p w14:paraId="15DF0BBF">
      <w:pPr>
        <w:widowControl/>
        <w:adjustRightInd w:val="0"/>
        <w:snapToGrid w:val="0"/>
        <w:spacing w:line="288" w:lineRule="auto"/>
        <w:ind w:right="-2"/>
        <w:jc w:val="center"/>
        <w:rPr>
          <w:rFonts w:hint="eastAsia" w:ascii="楷体" w:hAnsi="楷体" w:eastAsia="楷体" w:cs="Times New Roman"/>
          <w:b/>
          <w:sz w:val="36"/>
          <w:szCs w:val="24"/>
        </w:rPr>
      </w:pPr>
      <w:r>
        <w:rPr>
          <w:rFonts w:hint="eastAsia" w:ascii="楷体" w:hAnsi="楷体" w:eastAsia="楷体" w:cs="Times New Roman"/>
          <w:b/>
          <w:sz w:val="36"/>
          <w:szCs w:val="24"/>
        </w:rPr>
        <w:t>（线上电子招投标）</w:t>
      </w:r>
    </w:p>
    <w:p w14:paraId="15DF0BC0">
      <w:pPr>
        <w:adjustRightInd w:val="0"/>
        <w:snapToGrid w:val="0"/>
        <w:spacing w:line="288" w:lineRule="auto"/>
        <w:jc w:val="center"/>
        <w:rPr>
          <w:rFonts w:hint="eastAsia" w:ascii="楷体" w:hAnsi="楷体" w:eastAsia="楷体" w:cs="Times New Roman"/>
          <w:sz w:val="44"/>
          <w:szCs w:val="44"/>
        </w:rPr>
      </w:pPr>
    </w:p>
    <w:p w14:paraId="15DF0BC1">
      <w:pPr>
        <w:adjustRightInd w:val="0"/>
        <w:snapToGrid w:val="0"/>
        <w:spacing w:line="288" w:lineRule="auto"/>
        <w:jc w:val="center"/>
        <w:rPr>
          <w:rFonts w:hint="eastAsia" w:ascii="楷体" w:hAnsi="楷体" w:eastAsia="楷体" w:cs="Times New Roman"/>
          <w:sz w:val="44"/>
          <w:szCs w:val="44"/>
        </w:rPr>
      </w:pPr>
    </w:p>
    <w:p w14:paraId="15DF0BC2">
      <w:pPr>
        <w:adjustRightInd w:val="0"/>
        <w:snapToGrid w:val="0"/>
        <w:spacing w:line="288" w:lineRule="auto"/>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项目名称：裸眼立体物理实验平台</w:t>
      </w:r>
    </w:p>
    <w:p w14:paraId="15DF0BC3">
      <w:pPr>
        <w:adjustRightInd w:val="0"/>
        <w:snapToGrid w:val="0"/>
        <w:spacing w:line="288" w:lineRule="auto"/>
        <w:rPr>
          <w:rFonts w:hint="eastAsia" w:ascii="楷体" w:hAnsi="楷体" w:eastAsia="楷体" w:cs="Times New Roman"/>
          <w:b/>
          <w:spacing w:val="-6"/>
          <w:sz w:val="30"/>
          <w:szCs w:val="30"/>
          <w:lang w:eastAsia="zh-CN"/>
        </w:rPr>
      </w:pPr>
      <w:r>
        <w:rPr>
          <w:rFonts w:hint="eastAsia" w:ascii="楷体" w:hAnsi="楷体" w:eastAsia="楷体" w:cs="Times New Roman"/>
          <w:b/>
          <w:spacing w:val="-6"/>
          <w:sz w:val="30"/>
          <w:szCs w:val="30"/>
        </w:rPr>
        <w:t>项目编号：</w:t>
      </w:r>
      <w:r>
        <w:rPr>
          <w:rFonts w:hint="eastAsia" w:ascii="楷体" w:hAnsi="楷体" w:eastAsia="楷体" w:cs="Times New Roman"/>
          <w:b/>
          <w:spacing w:val="-6"/>
          <w:sz w:val="30"/>
          <w:szCs w:val="30"/>
          <w:lang w:eastAsia="zh-CN"/>
        </w:rPr>
        <w:t>QSZBB250272ZHGK</w:t>
      </w:r>
    </w:p>
    <w:p w14:paraId="15DF0BC4">
      <w:pPr>
        <w:adjustRightInd w:val="0"/>
        <w:snapToGrid w:val="0"/>
        <w:spacing w:line="288" w:lineRule="auto"/>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采 购 人：杭州电子科技大学</w:t>
      </w:r>
    </w:p>
    <w:p w14:paraId="15DF0BC5">
      <w:pPr>
        <w:adjustRightInd w:val="0"/>
        <w:snapToGrid w:val="0"/>
        <w:spacing w:line="288" w:lineRule="auto"/>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采购代理机构：浙江求是招标代理有限公司</w:t>
      </w:r>
    </w:p>
    <w:p w14:paraId="15DF0BC6">
      <w:pPr>
        <w:adjustRightInd w:val="0"/>
        <w:snapToGrid w:val="0"/>
        <w:spacing w:line="288" w:lineRule="auto"/>
        <w:rPr>
          <w:rFonts w:hint="eastAsia" w:ascii="楷体" w:hAnsi="楷体" w:eastAsia="楷体" w:cs="Times New Roman"/>
          <w:b/>
          <w:spacing w:val="-6"/>
          <w:sz w:val="30"/>
          <w:szCs w:val="30"/>
          <w:lang w:eastAsia="zh-CN"/>
        </w:rPr>
      </w:pPr>
      <w:r>
        <w:rPr>
          <w:rFonts w:ascii="楷体" w:hAnsi="楷体" w:eastAsia="楷体" w:cs="Times New Roman"/>
          <w:b/>
          <w:spacing w:val="-6"/>
          <w:sz w:val="30"/>
          <w:szCs w:val="30"/>
        </w:rPr>
        <w:t>采购计划文号：</w:t>
      </w:r>
      <w:r>
        <w:rPr>
          <w:rFonts w:hint="eastAsia" w:ascii="楷体" w:hAnsi="楷体" w:eastAsia="楷体" w:cs="Times New Roman"/>
          <w:b/>
          <w:spacing w:val="-6"/>
          <w:sz w:val="30"/>
          <w:szCs w:val="30"/>
          <w:lang w:eastAsia="zh-CN"/>
        </w:rPr>
        <w:t>[2025]65014号、[2025]65015号</w:t>
      </w:r>
    </w:p>
    <w:p w14:paraId="15DF0BC7">
      <w:pPr>
        <w:adjustRightInd w:val="0"/>
        <w:snapToGrid w:val="0"/>
        <w:spacing w:line="288" w:lineRule="auto"/>
        <w:rPr>
          <w:rFonts w:hint="eastAsia" w:ascii="楷体" w:hAnsi="楷体" w:eastAsia="楷体" w:cs="Times New Roman"/>
          <w:b/>
          <w:szCs w:val="21"/>
        </w:rPr>
      </w:pPr>
    </w:p>
    <w:p w14:paraId="15DF0BC8">
      <w:pPr>
        <w:adjustRightInd w:val="0"/>
        <w:snapToGrid w:val="0"/>
        <w:spacing w:line="288" w:lineRule="auto"/>
        <w:rPr>
          <w:rFonts w:hint="eastAsia" w:ascii="楷体" w:hAnsi="楷体" w:eastAsia="楷体" w:cs="Times New Roman"/>
          <w:b/>
          <w:szCs w:val="21"/>
        </w:rPr>
        <w:sectPr>
          <w:headerReference r:id="rId3" w:type="default"/>
          <w:footerReference r:id="rId4" w:type="default"/>
          <w:pgSz w:w="11906" w:h="16838"/>
          <w:pgMar w:top="1247" w:right="1247" w:bottom="1247" w:left="1247" w:header="0" w:footer="694" w:gutter="0"/>
          <w:pgNumType w:start="1"/>
          <w:cols w:space="720" w:num="1"/>
          <w:docGrid w:linePitch="381" w:charSpace="0"/>
        </w:sectPr>
      </w:pPr>
    </w:p>
    <w:p w14:paraId="15DF0BC9">
      <w:pPr>
        <w:adjustRightInd w:val="0"/>
        <w:snapToGrid w:val="0"/>
        <w:spacing w:line="288" w:lineRule="auto"/>
        <w:rPr>
          <w:rFonts w:hint="eastAsia" w:ascii="楷体" w:hAnsi="楷体" w:eastAsia="楷体" w:cs="Times New Roman"/>
          <w:b/>
          <w:sz w:val="30"/>
          <w:szCs w:val="30"/>
        </w:rPr>
      </w:pPr>
    </w:p>
    <w:p w14:paraId="15DF0BCA">
      <w:pPr>
        <w:adjustRightInd w:val="0"/>
        <w:snapToGrid w:val="0"/>
        <w:spacing w:line="288" w:lineRule="auto"/>
        <w:jc w:val="center"/>
        <w:outlineLvl w:val="0"/>
        <w:rPr>
          <w:rFonts w:hint="eastAsia" w:ascii="楷体" w:hAnsi="楷体" w:eastAsia="楷体" w:cs="Times New Roman"/>
          <w:b/>
          <w:sz w:val="30"/>
          <w:szCs w:val="30"/>
        </w:rPr>
      </w:pPr>
      <w:r>
        <w:rPr>
          <w:rFonts w:ascii="楷体" w:hAnsi="楷体" w:eastAsia="楷体" w:cs="Times New Roman"/>
          <w:b/>
          <w:sz w:val="30"/>
          <w:szCs w:val="30"/>
        </w:rPr>
        <w:t>目</w:t>
      </w:r>
      <w:r>
        <w:rPr>
          <w:rFonts w:hint="eastAsia" w:ascii="楷体" w:hAnsi="楷体" w:eastAsia="楷体" w:cs="Times New Roman"/>
          <w:b/>
          <w:sz w:val="30"/>
          <w:szCs w:val="30"/>
        </w:rPr>
        <w:t xml:space="preserve">    </w:t>
      </w:r>
      <w:r>
        <w:rPr>
          <w:rFonts w:ascii="楷体" w:hAnsi="楷体" w:eastAsia="楷体" w:cs="Times New Roman"/>
          <w:b/>
          <w:sz w:val="30"/>
          <w:szCs w:val="30"/>
        </w:rPr>
        <w:t>录</w:t>
      </w:r>
    </w:p>
    <w:p w14:paraId="15DF0BCB">
      <w:pPr>
        <w:adjustRightInd w:val="0"/>
        <w:snapToGrid w:val="0"/>
        <w:spacing w:line="288" w:lineRule="auto"/>
        <w:rPr>
          <w:rFonts w:hint="eastAsia" w:ascii="楷体" w:hAnsi="楷体" w:eastAsia="楷体" w:cs="Times New Roman"/>
          <w:b/>
          <w:sz w:val="30"/>
          <w:szCs w:val="30"/>
        </w:rPr>
      </w:pPr>
    </w:p>
    <w:p w14:paraId="15DF0BCC">
      <w:pPr>
        <w:adjustRightInd w:val="0"/>
        <w:snapToGrid w:val="0"/>
        <w:spacing w:line="288" w:lineRule="auto"/>
        <w:ind w:firstLine="578" w:firstLineChars="200"/>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第一章  投标邀请</w:t>
      </w:r>
    </w:p>
    <w:p w14:paraId="15DF0BCD">
      <w:pPr>
        <w:adjustRightInd w:val="0"/>
        <w:snapToGrid w:val="0"/>
        <w:spacing w:line="288" w:lineRule="auto"/>
        <w:ind w:firstLine="578" w:firstLineChars="200"/>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第二章  采购需求</w:t>
      </w:r>
    </w:p>
    <w:p w14:paraId="15DF0BCE">
      <w:pPr>
        <w:adjustRightInd w:val="0"/>
        <w:snapToGrid w:val="0"/>
        <w:spacing w:line="288" w:lineRule="auto"/>
        <w:ind w:firstLine="578" w:firstLineChars="200"/>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第三章  投标人须知</w:t>
      </w:r>
    </w:p>
    <w:p w14:paraId="15DF0BCF">
      <w:pPr>
        <w:adjustRightInd w:val="0"/>
        <w:snapToGrid w:val="0"/>
        <w:spacing w:line="288" w:lineRule="auto"/>
        <w:ind w:firstLine="578" w:firstLineChars="200"/>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第四章  评标方法和评标标准</w:t>
      </w:r>
    </w:p>
    <w:p w14:paraId="15DF0BD0">
      <w:pPr>
        <w:adjustRightInd w:val="0"/>
        <w:snapToGrid w:val="0"/>
        <w:spacing w:line="288" w:lineRule="auto"/>
        <w:ind w:firstLine="578" w:firstLineChars="200"/>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第五章  拟签订的合同文本</w:t>
      </w:r>
    </w:p>
    <w:p w14:paraId="15DF0BD1">
      <w:pPr>
        <w:adjustRightInd w:val="0"/>
        <w:snapToGrid w:val="0"/>
        <w:spacing w:line="288" w:lineRule="auto"/>
        <w:ind w:firstLine="578" w:firstLineChars="200"/>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第六章  投标文件格式</w:t>
      </w:r>
    </w:p>
    <w:p w14:paraId="15DF0BD2">
      <w:pPr>
        <w:widowControl/>
        <w:adjustRightInd w:val="0"/>
        <w:snapToGrid w:val="0"/>
        <w:spacing w:line="288" w:lineRule="auto"/>
        <w:jc w:val="left"/>
        <w:rPr>
          <w:rFonts w:hint="eastAsia" w:ascii="宋体" w:hAnsi="宋体" w:eastAsia="宋体" w:cs="Times New Roman"/>
          <w:szCs w:val="21"/>
        </w:rPr>
      </w:pPr>
    </w:p>
    <w:p w14:paraId="15DF0BD3">
      <w:pPr>
        <w:widowControl/>
        <w:adjustRightInd w:val="0"/>
        <w:snapToGrid w:val="0"/>
        <w:spacing w:line="288" w:lineRule="auto"/>
        <w:jc w:val="left"/>
        <w:rPr>
          <w:rFonts w:hint="eastAsia" w:ascii="宋体" w:hAnsi="宋体" w:eastAsia="宋体" w:cs="Times New Roman"/>
          <w:szCs w:val="21"/>
        </w:rPr>
        <w:sectPr>
          <w:footerReference r:id="rId5" w:type="default"/>
          <w:pgSz w:w="11906" w:h="16838"/>
          <w:pgMar w:top="1247" w:right="1247" w:bottom="1247" w:left="1247" w:header="0" w:footer="694" w:gutter="0"/>
          <w:cols w:space="720" w:num="1"/>
          <w:docGrid w:linePitch="381" w:charSpace="0"/>
        </w:sectPr>
      </w:pPr>
    </w:p>
    <w:p w14:paraId="15DF0BD4">
      <w:pPr>
        <w:adjustRightInd w:val="0"/>
        <w:snapToGrid w:val="0"/>
        <w:spacing w:line="288" w:lineRule="auto"/>
        <w:jc w:val="center"/>
        <w:outlineLvl w:val="0"/>
        <w:rPr>
          <w:rFonts w:hint="eastAsia" w:ascii="宋体" w:hAnsi="宋体" w:eastAsia="宋体" w:cs="Times New Roman"/>
          <w:b/>
          <w:spacing w:val="-6"/>
          <w:sz w:val="32"/>
          <w:szCs w:val="32"/>
        </w:rPr>
      </w:pPr>
      <w:r>
        <w:rPr>
          <w:rFonts w:ascii="宋体" w:hAnsi="宋体" w:eastAsia="宋体" w:cs="Times New Roman"/>
          <w:b/>
          <w:spacing w:val="-6"/>
          <w:sz w:val="32"/>
          <w:szCs w:val="32"/>
        </w:rPr>
        <w:t>第一章  投标邀请</w:t>
      </w:r>
    </w:p>
    <w:p w14:paraId="15DF0BD5">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rFonts w:hint="eastAsia" w:ascii="宋体" w:hAnsi="宋体" w:eastAsia="宋体" w:cs="Times New Roman"/>
          <w:b/>
          <w:szCs w:val="21"/>
        </w:rPr>
      </w:pPr>
      <w:r>
        <w:rPr>
          <w:rFonts w:hint="eastAsia" w:ascii="宋体" w:hAnsi="宋体" w:eastAsia="宋体" w:cs="Times New Roman"/>
          <w:b/>
          <w:szCs w:val="21"/>
        </w:rPr>
        <w:t>项目概况</w:t>
      </w:r>
    </w:p>
    <w:p w14:paraId="15DF0BD6">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jc w:val="left"/>
        <w:rPr>
          <w:rFonts w:hint="eastAsia" w:ascii="宋体" w:hAnsi="宋体" w:eastAsia="宋体" w:cs="Times New Roman"/>
          <w:b/>
          <w:szCs w:val="21"/>
        </w:rPr>
      </w:pPr>
      <w:r>
        <w:rPr>
          <w:rFonts w:hint="eastAsia" w:ascii="宋体" w:hAnsi="宋体" w:eastAsia="宋体" w:cs="Times New Roman"/>
          <w:b/>
          <w:szCs w:val="21"/>
          <w:u w:val="single"/>
        </w:rPr>
        <w:t xml:space="preserve"> 裸眼立体物理实验平台 </w:t>
      </w:r>
      <w:r>
        <w:rPr>
          <w:rFonts w:hint="eastAsia" w:ascii="宋体" w:hAnsi="宋体" w:eastAsia="宋体" w:cs="Times New Roman"/>
          <w:b/>
          <w:szCs w:val="21"/>
        </w:rPr>
        <w:t>招标项目的潜在投标人应在</w:t>
      </w:r>
      <w:r>
        <w:rPr>
          <w:rFonts w:hint="eastAsia" w:ascii="宋体" w:hAnsi="宋体" w:eastAsia="宋体" w:cs="Times New Roman"/>
          <w:b/>
          <w:szCs w:val="21"/>
          <w:u w:val="single"/>
        </w:rPr>
        <w:t xml:space="preserve"> 政府采购云平台（https://www.zcygov.cn）</w:t>
      </w:r>
      <w:r>
        <w:rPr>
          <w:rFonts w:hint="eastAsia" w:ascii="宋体" w:hAnsi="宋体" w:eastAsia="宋体" w:cs="Times New Roman"/>
          <w:b/>
          <w:szCs w:val="21"/>
        </w:rPr>
        <w:t>获取（下载）招标文件，并于</w:t>
      </w:r>
      <w:r>
        <w:rPr>
          <w:rFonts w:hint="eastAsia" w:ascii="宋体" w:hAnsi="宋体" w:eastAsia="宋体" w:cs="Times New Roman"/>
          <w:b/>
          <w:szCs w:val="21"/>
          <w:u w:val="single"/>
        </w:rPr>
        <w:t>2025年</w:t>
      </w:r>
      <w:r>
        <w:rPr>
          <w:rFonts w:hint="eastAsia" w:ascii="宋体" w:hAnsi="宋体" w:eastAsia="宋体" w:cs="Times New Roman"/>
          <w:b/>
          <w:szCs w:val="21"/>
          <w:u w:val="single"/>
          <w:lang w:eastAsia="zh-CN"/>
        </w:rPr>
        <w:t>10月30日</w:t>
      </w:r>
      <w:r>
        <w:rPr>
          <w:rFonts w:hint="eastAsia" w:ascii="宋体" w:hAnsi="宋体" w:eastAsia="宋体" w:cs="Times New Roman"/>
          <w:b/>
          <w:szCs w:val="21"/>
          <w:u w:val="single"/>
        </w:rPr>
        <w:t>9:00:00（北京时间）</w:t>
      </w:r>
      <w:r>
        <w:rPr>
          <w:rFonts w:hint="eastAsia" w:ascii="宋体" w:hAnsi="宋体" w:eastAsia="宋体" w:cs="Times New Roman"/>
          <w:b/>
          <w:bCs/>
          <w:szCs w:val="21"/>
        </w:rPr>
        <w:t>前递交（上传）投标</w:t>
      </w:r>
      <w:r>
        <w:rPr>
          <w:rFonts w:ascii="宋体" w:hAnsi="宋体" w:eastAsia="宋体" w:cs="Times New Roman"/>
          <w:b/>
          <w:bCs/>
          <w:szCs w:val="21"/>
        </w:rPr>
        <w:t>文件</w:t>
      </w:r>
      <w:r>
        <w:rPr>
          <w:rFonts w:hint="eastAsia" w:ascii="宋体" w:hAnsi="宋体" w:eastAsia="宋体" w:cs="Times New Roman"/>
          <w:b/>
          <w:szCs w:val="21"/>
        </w:rPr>
        <w:t>。</w:t>
      </w:r>
    </w:p>
    <w:p w14:paraId="15DF0BD7">
      <w:pPr>
        <w:adjustRightInd w:val="0"/>
        <w:snapToGrid w:val="0"/>
        <w:spacing w:line="288" w:lineRule="auto"/>
        <w:rPr>
          <w:rFonts w:hint="eastAsia" w:ascii="宋体" w:hAnsi="宋体" w:eastAsia="宋体" w:cs="宋体"/>
          <w:b/>
          <w:szCs w:val="21"/>
        </w:rPr>
      </w:pPr>
      <w:bookmarkStart w:id="0" w:name="_Toc28359079"/>
      <w:bookmarkStart w:id="1" w:name="_Toc35393790"/>
      <w:bookmarkStart w:id="2" w:name="_Toc28359002"/>
      <w:bookmarkStart w:id="3" w:name="_Toc35393621"/>
      <w:bookmarkStart w:id="4" w:name="_Hlk24379207"/>
      <w:r>
        <w:rPr>
          <w:rFonts w:hint="eastAsia" w:ascii="宋体" w:hAnsi="宋体" w:eastAsia="宋体" w:cs="宋体"/>
          <w:b/>
          <w:szCs w:val="21"/>
        </w:rPr>
        <w:t>一、项目基本情况</w:t>
      </w:r>
      <w:bookmarkEnd w:id="0"/>
      <w:bookmarkEnd w:id="1"/>
      <w:bookmarkEnd w:id="2"/>
      <w:bookmarkEnd w:id="3"/>
    </w:p>
    <w:p w14:paraId="15DF0BD8">
      <w:pPr>
        <w:adjustRightInd w:val="0"/>
        <w:snapToGrid w:val="0"/>
        <w:spacing w:line="288" w:lineRule="auto"/>
        <w:ind w:firstLine="420" w:firstLineChars="200"/>
        <w:rPr>
          <w:rFonts w:hint="eastAsia" w:ascii="宋体" w:hAnsi="宋体" w:eastAsia="宋体" w:cs="Times New Roman"/>
          <w:szCs w:val="21"/>
          <w:lang w:eastAsia="zh-CN"/>
        </w:rPr>
      </w:pPr>
      <w:r>
        <w:rPr>
          <w:rFonts w:hint="eastAsia" w:ascii="宋体" w:hAnsi="宋体" w:eastAsia="宋体" w:cs="Times New Roman"/>
          <w:szCs w:val="21"/>
        </w:rPr>
        <w:t>1.项目编号：</w:t>
      </w:r>
      <w:r>
        <w:rPr>
          <w:rFonts w:hint="eastAsia" w:ascii="宋体" w:hAnsi="宋体" w:eastAsia="宋体" w:cs="Times New Roman"/>
          <w:szCs w:val="21"/>
          <w:lang w:eastAsia="zh-CN"/>
        </w:rPr>
        <w:t>QSZBB250272ZHGK</w:t>
      </w:r>
    </w:p>
    <w:p w14:paraId="15DF0BD9">
      <w:pPr>
        <w:adjustRightInd w:val="0"/>
        <w:snapToGrid w:val="0"/>
        <w:spacing w:line="288" w:lineRule="auto"/>
        <w:ind w:firstLine="420" w:firstLineChars="200"/>
        <w:rPr>
          <w:rFonts w:hint="eastAsia" w:ascii="宋体" w:hAnsi="宋体" w:eastAsia="宋体" w:cs="Times New Roman"/>
          <w:szCs w:val="21"/>
        </w:rPr>
      </w:pPr>
      <w:r>
        <w:rPr>
          <w:rFonts w:ascii="宋体" w:hAnsi="宋体" w:eastAsia="宋体" w:cs="Times New Roman"/>
          <w:szCs w:val="21"/>
        </w:rPr>
        <w:t>2</w:t>
      </w:r>
      <w:r>
        <w:rPr>
          <w:rFonts w:hint="eastAsia" w:ascii="宋体" w:hAnsi="宋体" w:eastAsia="宋体" w:cs="Times New Roman"/>
          <w:szCs w:val="21"/>
        </w:rPr>
        <w:t>.项目名称：裸眼立体物理实验平台</w:t>
      </w:r>
    </w:p>
    <w:bookmarkEnd w:id="4"/>
    <w:p w14:paraId="15DF0BDA">
      <w:pPr>
        <w:adjustRightInd w:val="0"/>
        <w:snapToGrid w:val="0"/>
        <w:spacing w:line="288" w:lineRule="auto"/>
        <w:ind w:firstLine="420" w:firstLineChars="200"/>
        <w:rPr>
          <w:rFonts w:hint="eastAsia" w:ascii="宋体" w:hAnsi="宋体" w:eastAsia="宋体" w:cs="Times New Roman"/>
          <w:szCs w:val="21"/>
        </w:rPr>
      </w:pPr>
      <w:r>
        <w:rPr>
          <w:rFonts w:ascii="宋体" w:hAnsi="宋体" w:eastAsia="宋体" w:cs="Times New Roman"/>
          <w:szCs w:val="21"/>
        </w:rPr>
        <w:t>3</w:t>
      </w:r>
      <w:r>
        <w:rPr>
          <w:rFonts w:hint="eastAsia" w:ascii="宋体" w:hAnsi="宋体" w:eastAsia="宋体" w:cs="Times New Roman"/>
          <w:szCs w:val="21"/>
        </w:rPr>
        <w:t>.预算金额：663000元</w:t>
      </w:r>
    </w:p>
    <w:p w14:paraId="15DF0BDB">
      <w:pPr>
        <w:adjustRightInd w:val="0"/>
        <w:snapToGrid w:val="0"/>
        <w:spacing w:line="288" w:lineRule="auto"/>
        <w:ind w:firstLine="420" w:firstLineChars="200"/>
        <w:rPr>
          <w:rFonts w:hint="eastAsia" w:ascii="宋体" w:hAnsi="宋体" w:eastAsia="宋体" w:cs="Times New Roman"/>
          <w:szCs w:val="21"/>
        </w:rPr>
      </w:pPr>
      <w:r>
        <w:rPr>
          <w:rFonts w:ascii="宋体" w:hAnsi="宋体" w:eastAsia="宋体" w:cs="Times New Roman"/>
          <w:szCs w:val="21"/>
        </w:rPr>
        <w:t>4</w:t>
      </w:r>
      <w:r>
        <w:rPr>
          <w:rFonts w:hint="eastAsia" w:ascii="宋体" w:hAnsi="宋体" w:eastAsia="宋体" w:cs="Times New Roman"/>
          <w:szCs w:val="21"/>
        </w:rPr>
        <w:t>.最高限价：663000元</w:t>
      </w:r>
    </w:p>
    <w:p w14:paraId="15DF0BDC">
      <w:pPr>
        <w:adjustRightInd w:val="0"/>
        <w:snapToGrid w:val="0"/>
        <w:spacing w:line="288" w:lineRule="auto"/>
        <w:ind w:firstLine="420" w:firstLineChars="200"/>
        <w:rPr>
          <w:rFonts w:hint="eastAsia" w:ascii="宋体" w:hAnsi="宋体" w:eastAsia="宋体" w:cs="Times New Roman"/>
          <w:szCs w:val="21"/>
          <w:u w:val="single"/>
        </w:rPr>
      </w:pPr>
      <w:r>
        <w:rPr>
          <w:rFonts w:ascii="宋体" w:hAnsi="宋体" w:eastAsia="宋体" w:cs="Times New Roman"/>
          <w:szCs w:val="21"/>
        </w:rPr>
        <w:t>5</w:t>
      </w:r>
      <w:r>
        <w:rPr>
          <w:rFonts w:hint="eastAsia" w:ascii="宋体" w:hAnsi="宋体" w:eastAsia="宋体" w:cs="Times New Roman"/>
          <w:szCs w:val="21"/>
        </w:rPr>
        <w:t>.合同履约期限：自合同签订之日起60个工作日内交付。</w:t>
      </w:r>
    </w:p>
    <w:p w14:paraId="15DF0BDD">
      <w:pPr>
        <w:adjustRightInd w:val="0"/>
        <w:snapToGrid w:val="0"/>
        <w:spacing w:line="288" w:lineRule="auto"/>
        <w:ind w:firstLine="420" w:firstLineChars="200"/>
        <w:rPr>
          <w:rFonts w:hint="eastAsia" w:ascii="宋体" w:hAnsi="宋体" w:eastAsia="宋体" w:cs="Times New Roman"/>
          <w:bCs/>
          <w:szCs w:val="21"/>
        </w:rPr>
      </w:pPr>
      <w:r>
        <w:rPr>
          <w:rFonts w:ascii="宋体" w:hAnsi="宋体" w:eastAsia="宋体" w:cs="Times New Roman"/>
          <w:bCs/>
          <w:szCs w:val="21"/>
        </w:rPr>
        <w:t>6</w:t>
      </w:r>
      <w:r>
        <w:rPr>
          <w:rFonts w:hint="eastAsia" w:ascii="宋体" w:hAnsi="宋体" w:eastAsia="宋体" w:cs="Times New Roman"/>
          <w:bCs/>
          <w:szCs w:val="21"/>
        </w:rPr>
        <w:t>.本项目（是）接受联合体投标。</w:t>
      </w:r>
    </w:p>
    <w:p w14:paraId="15DF0BDE">
      <w:pPr>
        <w:adjustRightInd w:val="0"/>
        <w:snapToGrid w:val="0"/>
        <w:spacing w:line="288" w:lineRule="auto"/>
        <w:ind w:firstLine="420" w:firstLineChars="200"/>
        <w:rPr>
          <w:rFonts w:hint="eastAsia" w:ascii="宋体" w:hAnsi="宋体" w:eastAsia="宋体" w:cs="Times New Roman"/>
          <w:szCs w:val="21"/>
        </w:rPr>
      </w:pPr>
      <w:r>
        <w:rPr>
          <w:rFonts w:ascii="宋体" w:hAnsi="宋体" w:eastAsia="宋体" w:cs="Times New Roman"/>
          <w:szCs w:val="21"/>
        </w:rPr>
        <w:t>7</w:t>
      </w:r>
      <w:r>
        <w:rPr>
          <w:rFonts w:hint="eastAsia" w:ascii="宋体" w:hAnsi="宋体" w:eastAsia="宋体" w:cs="Times New Roman"/>
          <w:szCs w:val="21"/>
        </w:rPr>
        <w:t>.采购需求：</w:t>
      </w:r>
    </w:p>
    <w:tbl>
      <w:tblPr>
        <w:tblStyle w:val="23"/>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006"/>
        <w:gridCol w:w="708"/>
        <w:gridCol w:w="709"/>
        <w:gridCol w:w="3119"/>
        <w:gridCol w:w="1276"/>
      </w:tblGrid>
      <w:tr w14:paraId="15DF0B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675" w:type="dxa"/>
            <w:tcBorders>
              <w:tl2br w:val="nil"/>
              <w:tr2bl w:val="nil"/>
            </w:tcBorders>
            <w:vAlign w:val="center"/>
          </w:tcPr>
          <w:p w14:paraId="15DF0BDF">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序号</w:t>
            </w:r>
          </w:p>
        </w:tc>
        <w:tc>
          <w:tcPr>
            <w:tcW w:w="3006" w:type="dxa"/>
            <w:tcBorders>
              <w:right w:val="single" w:color="auto" w:sz="4" w:space="0"/>
              <w:tl2br w:val="nil"/>
              <w:tr2bl w:val="nil"/>
            </w:tcBorders>
            <w:vAlign w:val="center"/>
          </w:tcPr>
          <w:p w14:paraId="15DF0BE0">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名称</w:t>
            </w:r>
          </w:p>
        </w:tc>
        <w:tc>
          <w:tcPr>
            <w:tcW w:w="708" w:type="dxa"/>
            <w:tcBorders>
              <w:tl2br w:val="nil"/>
              <w:tr2bl w:val="nil"/>
            </w:tcBorders>
            <w:vAlign w:val="center"/>
          </w:tcPr>
          <w:p w14:paraId="15DF0BE1">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数量</w:t>
            </w:r>
          </w:p>
        </w:tc>
        <w:tc>
          <w:tcPr>
            <w:tcW w:w="709" w:type="dxa"/>
            <w:tcBorders>
              <w:tl2br w:val="nil"/>
              <w:tr2bl w:val="nil"/>
            </w:tcBorders>
            <w:vAlign w:val="center"/>
          </w:tcPr>
          <w:p w14:paraId="15DF0BE2">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单位</w:t>
            </w:r>
          </w:p>
        </w:tc>
        <w:tc>
          <w:tcPr>
            <w:tcW w:w="3119" w:type="dxa"/>
            <w:tcBorders>
              <w:right w:val="single" w:color="auto" w:sz="4" w:space="0"/>
              <w:tl2br w:val="nil"/>
              <w:tr2bl w:val="nil"/>
            </w:tcBorders>
            <w:vAlign w:val="center"/>
          </w:tcPr>
          <w:p w14:paraId="15DF0BE3">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简要技术需求或服务要求</w:t>
            </w:r>
          </w:p>
        </w:tc>
        <w:tc>
          <w:tcPr>
            <w:tcW w:w="1276" w:type="dxa"/>
            <w:tcBorders>
              <w:right w:val="single" w:color="auto" w:sz="4" w:space="0"/>
              <w:tl2br w:val="nil"/>
              <w:tr2bl w:val="nil"/>
            </w:tcBorders>
            <w:vAlign w:val="center"/>
          </w:tcPr>
          <w:p w14:paraId="15DF0BE4">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szCs w:val="21"/>
              </w:rPr>
              <w:t>是否允许采购进口产品</w:t>
            </w:r>
          </w:p>
        </w:tc>
      </w:tr>
      <w:tr w14:paraId="15DF0B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75" w:type="dxa"/>
            <w:tcBorders>
              <w:tl2br w:val="nil"/>
              <w:tr2bl w:val="nil"/>
            </w:tcBorders>
            <w:vAlign w:val="center"/>
          </w:tcPr>
          <w:p w14:paraId="15DF0BE6">
            <w:pPr>
              <w:adjustRightInd w:val="0"/>
              <w:snapToGrid w:val="0"/>
              <w:spacing w:line="288" w:lineRule="auto"/>
              <w:jc w:val="center"/>
              <w:rPr>
                <w:rFonts w:hint="eastAsia" w:ascii="宋体" w:hAnsi="宋体" w:eastAsia="宋体" w:cs="宋体"/>
                <w:bCs/>
                <w:szCs w:val="21"/>
              </w:rPr>
            </w:pPr>
            <w:r>
              <w:rPr>
                <w:rFonts w:hint="eastAsia" w:ascii="宋体" w:hAnsi="宋体" w:eastAsia="宋体" w:cs="宋体"/>
                <w:bCs/>
                <w:szCs w:val="21"/>
              </w:rPr>
              <w:t>1</w:t>
            </w:r>
          </w:p>
        </w:tc>
        <w:tc>
          <w:tcPr>
            <w:tcW w:w="3006" w:type="dxa"/>
            <w:tcBorders>
              <w:right w:val="single" w:color="auto" w:sz="4" w:space="0"/>
              <w:tl2br w:val="nil"/>
              <w:tr2bl w:val="nil"/>
            </w:tcBorders>
            <w:vAlign w:val="center"/>
          </w:tcPr>
          <w:p w14:paraId="15DF0BE7">
            <w:pPr>
              <w:adjustRightInd w:val="0"/>
              <w:snapToGrid w:val="0"/>
              <w:spacing w:line="288" w:lineRule="auto"/>
              <w:jc w:val="center"/>
              <w:rPr>
                <w:rFonts w:hint="eastAsia" w:ascii="宋体" w:hAnsi="宋体" w:eastAsia="宋体" w:cs="宋体"/>
                <w:bCs/>
                <w:szCs w:val="21"/>
              </w:rPr>
            </w:pPr>
            <w:r>
              <w:rPr>
                <w:rFonts w:hint="eastAsia" w:ascii="宋体" w:hAnsi="宋体" w:eastAsia="宋体" w:cs="宋体"/>
                <w:bCs/>
                <w:szCs w:val="21"/>
              </w:rPr>
              <w:t>裸眼立体物理实验平台</w:t>
            </w:r>
          </w:p>
        </w:tc>
        <w:tc>
          <w:tcPr>
            <w:tcW w:w="708" w:type="dxa"/>
            <w:tcBorders>
              <w:tl2br w:val="nil"/>
              <w:tr2bl w:val="nil"/>
            </w:tcBorders>
            <w:vAlign w:val="center"/>
          </w:tcPr>
          <w:p w14:paraId="15DF0BE8">
            <w:pPr>
              <w:adjustRightInd w:val="0"/>
              <w:snapToGrid w:val="0"/>
              <w:spacing w:line="288" w:lineRule="auto"/>
              <w:jc w:val="center"/>
              <w:rPr>
                <w:rFonts w:hint="eastAsia" w:ascii="宋体" w:hAnsi="宋体" w:eastAsia="宋体" w:cs="宋体"/>
                <w:bCs/>
                <w:szCs w:val="21"/>
              </w:rPr>
            </w:pPr>
            <w:r>
              <w:rPr>
                <w:rFonts w:hint="eastAsia" w:ascii="宋体" w:hAnsi="宋体" w:eastAsia="宋体" w:cs="宋体"/>
                <w:bCs/>
                <w:szCs w:val="21"/>
              </w:rPr>
              <w:t>1</w:t>
            </w:r>
          </w:p>
        </w:tc>
        <w:tc>
          <w:tcPr>
            <w:tcW w:w="709" w:type="dxa"/>
            <w:tcBorders>
              <w:tl2br w:val="nil"/>
              <w:tr2bl w:val="nil"/>
            </w:tcBorders>
            <w:vAlign w:val="center"/>
          </w:tcPr>
          <w:p w14:paraId="15DF0BE9">
            <w:pPr>
              <w:adjustRightInd w:val="0"/>
              <w:snapToGrid w:val="0"/>
              <w:spacing w:line="288" w:lineRule="auto"/>
              <w:jc w:val="center"/>
              <w:rPr>
                <w:rFonts w:hint="eastAsia" w:ascii="宋体" w:hAnsi="宋体" w:eastAsia="宋体" w:cs="宋体"/>
                <w:bCs/>
                <w:szCs w:val="21"/>
              </w:rPr>
            </w:pPr>
            <w:r>
              <w:rPr>
                <w:rFonts w:hint="eastAsia" w:ascii="宋体" w:hAnsi="宋体" w:eastAsia="宋体" w:cs="宋体"/>
                <w:bCs/>
                <w:szCs w:val="21"/>
              </w:rPr>
              <w:t>批</w:t>
            </w:r>
          </w:p>
        </w:tc>
        <w:tc>
          <w:tcPr>
            <w:tcW w:w="3119" w:type="dxa"/>
            <w:tcBorders>
              <w:right w:val="single" w:color="auto" w:sz="4" w:space="0"/>
              <w:tl2br w:val="nil"/>
              <w:tr2bl w:val="nil"/>
            </w:tcBorders>
            <w:vAlign w:val="center"/>
          </w:tcPr>
          <w:p w14:paraId="15DF0BEA">
            <w:pPr>
              <w:adjustRightInd w:val="0"/>
              <w:snapToGrid w:val="0"/>
              <w:spacing w:line="288" w:lineRule="auto"/>
              <w:jc w:val="center"/>
              <w:rPr>
                <w:rFonts w:hint="eastAsia" w:ascii="宋体" w:hAnsi="宋体" w:eastAsia="宋体" w:cs="宋体"/>
                <w:bCs/>
                <w:szCs w:val="21"/>
              </w:rPr>
            </w:pPr>
            <w:r>
              <w:rPr>
                <w:rFonts w:hint="eastAsia" w:ascii="宋体" w:hAnsi="宋体" w:eastAsia="宋体" w:cs="宋体"/>
                <w:bCs/>
                <w:szCs w:val="21"/>
              </w:rPr>
              <w:t>详见第二章 采购需求</w:t>
            </w:r>
          </w:p>
        </w:tc>
        <w:tc>
          <w:tcPr>
            <w:tcW w:w="1276" w:type="dxa"/>
            <w:tcBorders>
              <w:right w:val="single" w:color="auto" w:sz="4" w:space="0"/>
              <w:tl2br w:val="nil"/>
              <w:tr2bl w:val="nil"/>
            </w:tcBorders>
            <w:vAlign w:val="center"/>
          </w:tcPr>
          <w:p w14:paraId="15DF0BEB">
            <w:pPr>
              <w:adjustRightInd w:val="0"/>
              <w:snapToGrid w:val="0"/>
              <w:spacing w:line="288" w:lineRule="auto"/>
              <w:jc w:val="center"/>
              <w:rPr>
                <w:rFonts w:hint="eastAsia" w:ascii="宋体" w:hAnsi="宋体" w:eastAsia="宋体" w:cs="宋体"/>
                <w:szCs w:val="21"/>
              </w:rPr>
            </w:pPr>
            <w:r>
              <w:rPr>
                <w:rFonts w:hint="eastAsia" w:ascii="宋体" w:hAnsi="宋体" w:eastAsia="宋体" w:cs="宋体"/>
                <w:szCs w:val="21"/>
              </w:rPr>
              <w:t>否</w:t>
            </w:r>
          </w:p>
        </w:tc>
      </w:tr>
    </w:tbl>
    <w:p w14:paraId="15DF0BED">
      <w:pPr>
        <w:adjustRightInd w:val="0"/>
        <w:snapToGrid w:val="0"/>
        <w:spacing w:line="288" w:lineRule="auto"/>
        <w:rPr>
          <w:rFonts w:hint="eastAsia" w:ascii="宋体" w:hAnsi="宋体" w:eastAsia="宋体" w:cs="宋体"/>
          <w:b/>
          <w:szCs w:val="21"/>
        </w:rPr>
      </w:pPr>
      <w:bookmarkStart w:id="5" w:name="_Toc28359080"/>
      <w:bookmarkStart w:id="6" w:name="_Toc35393622"/>
      <w:bookmarkStart w:id="7" w:name="_Toc28359003"/>
      <w:bookmarkStart w:id="8" w:name="_Toc35393791"/>
      <w:r>
        <w:rPr>
          <w:rFonts w:hint="eastAsia" w:ascii="宋体" w:hAnsi="宋体" w:eastAsia="宋体" w:cs="宋体"/>
          <w:b/>
          <w:szCs w:val="21"/>
        </w:rPr>
        <w:t>二、申请人的资格要求</w:t>
      </w:r>
      <w:bookmarkEnd w:id="5"/>
      <w:bookmarkEnd w:id="6"/>
      <w:bookmarkEnd w:id="7"/>
      <w:bookmarkEnd w:id="8"/>
    </w:p>
    <w:p w14:paraId="15DF0BEE">
      <w:pPr>
        <w:adjustRightInd w:val="0"/>
        <w:snapToGrid w:val="0"/>
        <w:spacing w:line="288" w:lineRule="auto"/>
        <w:ind w:firstLine="420" w:firstLineChars="200"/>
        <w:rPr>
          <w:rFonts w:hint="eastAsia" w:ascii="宋体" w:hAnsi="宋体" w:eastAsia="宋体" w:cs="Times New Roman"/>
          <w:bCs/>
          <w:szCs w:val="21"/>
        </w:rPr>
      </w:pPr>
      <w:r>
        <w:rPr>
          <w:rFonts w:hint="eastAsia" w:ascii="宋体" w:hAnsi="宋体" w:eastAsia="宋体" w:cs="Times New Roman"/>
          <w:bCs/>
          <w:szCs w:val="21"/>
        </w:rPr>
        <w:t>1.满足《中华人民共和国政府采购法》第二十二条规定，未被“信用中国”（www.creditchina.gov.cn）</w:t>
      </w:r>
      <w:r>
        <w:rPr>
          <w:rFonts w:ascii="宋体" w:hAnsi="宋体" w:eastAsia="宋体" w:cs="Times New Roman"/>
          <w:bCs/>
          <w:szCs w:val="21"/>
        </w:rPr>
        <w:t>、中国政府采购网（www.ccgp.gov.cn）列入失信被执行人、重大税收违法案件当事人名单、政府采购严重违法失信行为记录名单</w:t>
      </w:r>
      <w:r>
        <w:rPr>
          <w:rFonts w:hint="eastAsia" w:ascii="宋体" w:hAnsi="宋体" w:eastAsia="宋体" w:cs="Times New Roman"/>
          <w:bCs/>
          <w:szCs w:val="21"/>
        </w:rPr>
        <w:t>；</w:t>
      </w:r>
    </w:p>
    <w:p w14:paraId="15DF0BEF">
      <w:pPr>
        <w:adjustRightInd w:val="0"/>
        <w:snapToGrid w:val="0"/>
        <w:spacing w:line="288" w:lineRule="auto"/>
        <w:ind w:firstLine="420" w:firstLineChars="200"/>
        <w:rPr>
          <w:rFonts w:hint="eastAsia" w:ascii="宋体" w:hAnsi="宋体" w:eastAsia="宋体" w:cs="Times New Roman"/>
          <w:szCs w:val="21"/>
        </w:rPr>
      </w:pPr>
      <w:bookmarkStart w:id="9" w:name="_Toc28359081"/>
      <w:bookmarkStart w:id="10" w:name="_Toc28359004"/>
      <w:r>
        <w:rPr>
          <w:rFonts w:hint="eastAsia" w:ascii="宋体" w:hAnsi="宋体" w:eastAsia="宋体" w:cs="Times New Roman"/>
          <w:szCs w:val="21"/>
        </w:rPr>
        <w:t>2.落实政府采购政策需满足的资格要求：无</w:t>
      </w:r>
    </w:p>
    <w:p w14:paraId="15DF0BF0">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t>3.本项目的特定资格要求：无</w:t>
      </w:r>
    </w:p>
    <w:p w14:paraId="15DF0BF1">
      <w:pPr>
        <w:adjustRightInd w:val="0"/>
        <w:snapToGrid w:val="0"/>
        <w:spacing w:line="288" w:lineRule="auto"/>
        <w:rPr>
          <w:rFonts w:hint="eastAsia" w:ascii="宋体" w:hAnsi="宋体" w:eastAsia="宋体" w:cs="宋体"/>
          <w:b/>
          <w:szCs w:val="21"/>
        </w:rPr>
      </w:pPr>
      <w:bookmarkStart w:id="11" w:name="_Toc35393792"/>
      <w:bookmarkStart w:id="12" w:name="_Toc35393623"/>
      <w:r>
        <w:rPr>
          <w:rFonts w:hint="eastAsia" w:ascii="宋体" w:hAnsi="宋体" w:eastAsia="宋体" w:cs="宋体"/>
          <w:b/>
          <w:szCs w:val="21"/>
        </w:rPr>
        <w:t>三、获取招标文件</w:t>
      </w:r>
      <w:bookmarkEnd w:id="9"/>
      <w:bookmarkEnd w:id="10"/>
      <w:bookmarkEnd w:id="11"/>
      <w:bookmarkEnd w:id="12"/>
    </w:p>
    <w:p w14:paraId="15DF0BF2">
      <w:pPr>
        <w:adjustRightInd w:val="0"/>
        <w:snapToGrid w:val="0"/>
        <w:spacing w:line="288" w:lineRule="auto"/>
        <w:ind w:firstLine="420" w:firstLineChars="200"/>
        <w:rPr>
          <w:rFonts w:hint="eastAsia" w:ascii="宋体" w:hAnsi="宋体" w:eastAsia="宋体" w:cs="Times New Roman"/>
          <w:szCs w:val="21"/>
        </w:rPr>
      </w:pPr>
      <w:bookmarkStart w:id="13" w:name="_Toc28359082"/>
      <w:bookmarkStart w:id="14" w:name="_Toc28359005"/>
      <w:bookmarkStart w:id="15" w:name="_Toc35393624"/>
      <w:bookmarkStart w:id="16" w:name="_Toc35393793"/>
      <w:r>
        <w:rPr>
          <w:rFonts w:hint="eastAsia" w:ascii="宋体" w:hAnsi="宋体" w:eastAsia="宋体" w:cs="Times New Roman"/>
          <w:szCs w:val="21"/>
        </w:rPr>
        <w:t>1</w:t>
      </w:r>
      <w:r>
        <w:rPr>
          <w:rFonts w:ascii="宋体" w:hAnsi="宋体" w:eastAsia="宋体" w:cs="Times New Roman"/>
          <w:szCs w:val="21"/>
        </w:rPr>
        <w:t>.</w:t>
      </w:r>
      <w:r>
        <w:rPr>
          <w:rFonts w:hint="eastAsia" w:ascii="宋体" w:hAnsi="宋体" w:eastAsia="宋体" w:cs="Times New Roman"/>
          <w:szCs w:val="21"/>
        </w:rPr>
        <w:t>时间：2025年</w:t>
      </w:r>
      <w:r>
        <w:rPr>
          <w:rFonts w:hint="eastAsia" w:ascii="宋体" w:hAnsi="宋体" w:eastAsia="宋体" w:cs="Times New Roman"/>
          <w:szCs w:val="21"/>
          <w:lang w:val="en-US" w:eastAsia="zh-CN"/>
        </w:rPr>
        <w:t>10</w:t>
      </w:r>
      <w:r>
        <w:rPr>
          <w:rFonts w:hint="eastAsia" w:ascii="宋体" w:hAnsi="宋体" w:eastAsia="宋体" w:cs="Times New Roman"/>
          <w:szCs w:val="21"/>
        </w:rPr>
        <w:t>月</w:t>
      </w:r>
      <w:r>
        <w:rPr>
          <w:rFonts w:hint="eastAsia" w:ascii="宋体" w:hAnsi="宋体" w:eastAsia="宋体" w:cs="Times New Roman"/>
          <w:szCs w:val="21"/>
          <w:lang w:val="en-US" w:eastAsia="zh-CN"/>
        </w:rPr>
        <w:t>9</w:t>
      </w:r>
      <w:r>
        <w:rPr>
          <w:rFonts w:hint="eastAsia" w:ascii="宋体" w:hAnsi="宋体" w:eastAsia="宋体" w:cs="Times New Roman"/>
          <w:szCs w:val="21"/>
        </w:rPr>
        <w:t>日至2025年</w:t>
      </w:r>
      <w:r>
        <w:rPr>
          <w:rFonts w:hint="eastAsia" w:ascii="宋体" w:hAnsi="宋体" w:eastAsia="宋体" w:cs="Times New Roman"/>
          <w:szCs w:val="21"/>
          <w:lang w:eastAsia="zh-CN"/>
        </w:rPr>
        <w:t>10月30日</w:t>
      </w:r>
      <w:r>
        <w:rPr>
          <w:rFonts w:hint="eastAsia" w:ascii="宋体" w:hAnsi="宋体" w:eastAsia="宋体" w:cs="Times New Roman"/>
          <w:szCs w:val="21"/>
        </w:rPr>
        <w:t>，上午</w:t>
      </w:r>
      <w:r>
        <w:rPr>
          <w:rFonts w:hint="eastAsia" w:ascii="宋体" w:hAnsi="宋体" w:eastAsia="宋体" w:cs="Times New Roman"/>
          <w:bCs/>
          <w:szCs w:val="21"/>
        </w:rPr>
        <w:t>00:00至12:00，下午12:00至23:59（北京时间，线上获取法定节假日均可，线下获取文件法定节假日除外）</w:t>
      </w:r>
    </w:p>
    <w:p w14:paraId="15DF0BF3">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t>2</w:t>
      </w:r>
      <w:r>
        <w:rPr>
          <w:rFonts w:ascii="宋体" w:hAnsi="宋体" w:eastAsia="宋体" w:cs="Times New Roman"/>
          <w:szCs w:val="21"/>
        </w:rPr>
        <w:t>.</w:t>
      </w:r>
      <w:r>
        <w:rPr>
          <w:rFonts w:hint="eastAsia" w:ascii="宋体" w:hAnsi="宋体" w:eastAsia="宋体" w:cs="Times New Roman"/>
          <w:szCs w:val="21"/>
        </w:rPr>
        <w:t>地点（网址）：政府采购云平台（https://www.zcygov.cn）</w:t>
      </w:r>
    </w:p>
    <w:p w14:paraId="15DF0BF4">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t>3</w:t>
      </w:r>
      <w:r>
        <w:rPr>
          <w:rFonts w:ascii="宋体" w:hAnsi="宋体" w:eastAsia="宋体" w:cs="Times New Roman"/>
          <w:szCs w:val="21"/>
        </w:rPr>
        <w:t>.</w:t>
      </w:r>
      <w:r>
        <w:rPr>
          <w:rFonts w:hint="eastAsia" w:ascii="宋体" w:hAnsi="宋体" w:eastAsia="宋体" w:cs="Times New Roman"/>
          <w:szCs w:val="21"/>
        </w:rPr>
        <w:t>方式：供应商登录政采云平台（https://www.zcygov.cn）</w:t>
      </w:r>
      <w:r>
        <w:rPr>
          <w:rFonts w:ascii="宋体" w:hAnsi="宋体" w:eastAsia="宋体" w:cs="Times New Roman"/>
          <w:szCs w:val="21"/>
        </w:rPr>
        <w:t>在线申请获取采购文件（进入“项目采购”应用，在获取采购文件菜单中选择项目，申请获取采购文件）。</w:t>
      </w:r>
    </w:p>
    <w:p w14:paraId="15DF0BF5">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t>4</w:t>
      </w:r>
      <w:r>
        <w:rPr>
          <w:rFonts w:ascii="宋体" w:hAnsi="宋体" w:eastAsia="宋体" w:cs="Times New Roman"/>
          <w:szCs w:val="21"/>
        </w:rPr>
        <w:t>.</w:t>
      </w:r>
      <w:r>
        <w:rPr>
          <w:rFonts w:hint="eastAsia" w:ascii="宋体" w:hAnsi="宋体" w:eastAsia="宋体" w:cs="Times New Roman"/>
          <w:szCs w:val="21"/>
        </w:rPr>
        <w:t>售价（元）：0</w:t>
      </w:r>
    </w:p>
    <w:p w14:paraId="15DF0BF6">
      <w:pPr>
        <w:adjustRightInd w:val="0"/>
        <w:snapToGrid w:val="0"/>
        <w:spacing w:line="288" w:lineRule="auto"/>
        <w:rPr>
          <w:rFonts w:hint="eastAsia" w:ascii="宋体" w:hAnsi="宋体" w:eastAsia="宋体" w:cs="宋体"/>
          <w:b/>
          <w:szCs w:val="21"/>
        </w:rPr>
      </w:pPr>
      <w:r>
        <w:rPr>
          <w:rFonts w:hint="eastAsia" w:ascii="宋体" w:hAnsi="宋体" w:eastAsia="宋体" w:cs="宋体"/>
          <w:b/>
          <w:szCs w:val="21"/>
        </w:rPr>
        <w:t>四、提交（上传）投标文件</w:t>
      </w:r>
      <w:bookmarkEnd w:id="13"/>
      <w:bookmarkEnd w:id="14"/>
      <w:r>
        <w:rPr>
          <w:rFonts w:hint="eastAsia" w:ascii="宋体" w:hAnsi="宋体" w:eastAsia="宋体" w:cs="宋体"/>
          <w:b/>
          <w:szCs w:val="21"/>
        </w:rPr>
        <w:t>截止时间、开标时间和地点</w:t>
      </w:r>
      <w:bookmarkEnd w:id="15"/>
      <w:bookmarkEnd w:id="16"/>
    </w:p>
    <w:p w14:paraId="15DF0BF7">
      <w:pPr>
        <w:adjustRightInd w:val="0"/>
        <w:snapToGrid w:val="0"/>
        <w:spacing w:line="288" w:lineRule="auto"/>
        <w:ind w:firstLine="420" w:firstLineChars="200"/>
        <w:rPr>
          <w:rFonts w:hint="eastAsia" w:ascii="宋体" w:hAnsi="宋体" w:eastAsia="宋体" w:cs="Times New Roman"/>
          <w:bCs/>
          <w:szCs w:val="21"/>
        </w:rPr>
      </w:pPr>
      <w:bookmarkStart w:id="17" w:name="_Hlk81212057"/>
      <w:r>
        <w:rPr>
          <w:rFonts w:hint="eastAsia" w:ascii="宋体" w:hAnsi="宋体" w:eastAsia="宋体" w:cs="Times New Roman"/>
          <w:bCs/>
          <w:szCs w:val="21"/>
        </w:rPr>
        <w:t>提交投标文件截止时间：2025年</w:t>
      </w:r>
      <w:r>
        <w:rPr>
          <w:rFonts w:hint="eastAsia" w:ascii="宋体" w:hAnsi="宋体" w:eastAsia="宋体" w:cs="Times New Roman"/>
          <w:bCs/>
          <w:szCs w:val="21"/>
          <w:lang w:eastAsia="zh-CN"/>
        </w:rPr>
        <w:t>10月30日</w:t>
      </w:r>
      <w:r>
        <w:rPr>
          <w:rFonts w:hint="eastAsia" w:ascii="宋体" w:hAnsi="宋体" w:eastAsia="宋体" w:cs="Times New Roman"/>
          <w:bCs/>
          <w:szCs w:val="21"/>
        </w:rPr>
        <w:t>9:00:00（北京时间）</w:t>
      </w:r>
    </w:p>
    <w:p w14:paraId="15DF0BF8">
      <w:pPr>
        <w:adjustRightInd w:val="0"/>
        <w:snapToGrid w:val="0"/>
        <w:spacing w:line="288" w:lineRule="auto"/>
        <w:ind w:firstLine="420" w:firstLineChars="200"/>
        <w:rPr>
          <w:rFonts w:hint="eastAsia" w:ascii="宋体" w:hAnsi="宋体" w:eastAsia="宋体" w:cs="Times New Roman"/>
          <w:bCs/>
          <w:szCs w:val="21"/>
        </w:rPr>
      </w:pPr>
      <w:r>
        <w:rPr>
          <w:rFonts w:ascii="宋体" w:hAnsi="宋体" w:eastAsia="宋体" w:cs="Times New Roman"/>
          <w:bCs/>
          <w:szCs w:val="21"/>
        </w:rPr>
        <w:t>投标地点（网址）：</w:t>
      </w:r>
      <w:r>
        <w:rPr>
          <w:rFonts w:hint="eastAsia" w:ascii="宋体" w:hAnsi="宋体" w:eastAsia="宋体" w:cs="Times New Roman"/>
          <w:szCs w:val="21"/>
        </w:rPr>
        <w:t>政府采购云平台（https://www.zcygov.cn）</w:t>
      </w:r>
    </w:p>
    <w:p w14:paraId="15DF0BF9">
      <w:pPr>
        <w:adjustRightInd w:val="0"/>
        <w:snapToGrid w:val="0"/>
        <w:spacing w:line="288" w:lineRule="auto"/>
        <w:ind w:firstLine="420" w:firstLineChars="200"/>
        <w:rPr>
          <w:rFonts w:hint="eastAsia" w:ascii="宋体" w:hAnsi="宋体" w:eastAsia="宋体" w:cs="Times New Roman"/>
          <w:bCs/>
          <w:szCs w:val="21"/>
        </w:rPr>
      </w:pPr>
      <w:r>
        <w:rPr>
          <w:rFonts w:ascii="宋体" w:hAnsi="宋体" w:eastAsia="宋体" w:cs="Times New Roman"/>
          <w:bCs/>
          <w:szCs w:val="21"/>
        </w:rPr>
        <w:t>开标时间：</w:t>
      </w:r>
      <w:r>
        <w:rPr>
          <w:rFonts w:hint="eastAsia" w:ascii="宋体" w:hAnsi="宋体" w:eastAsia="宋体" w:cs="Times New Roman"/>
          <w:bCs/>
          <w:szCs w:val="21"/>
        </w:rPr>
        <w:t>2025年</w:t>
      </w:r>
      <w:r>
        <w:rPr>
          <w:rFonts w:hint="eastAsia" w:ascii="宋体" w:hAnsi="宋体" w:eastAsia="宋体" w:cs="Times New Roman"/>
          <w:bCs/>
          <w:szCs w:val="21"/>
          <w:lang w:eastAsia="zh-CN"/>
        </w:rPr>
        <w:t>10月30日</w:t>
      </w:r>
      <w:r>
        <w:rPr>
          <w:rFonts w:hint="eastAsia" w:ascii="宋体" w:hAnsi="宋体" w:eastAsia="宋体" w:cs="Times New Roman"/>
          <w:bCs/>
          <w:szCs w:val="21"/>
        </w:rPr>
        <w:t>9:00:00（北京时间）</w:t>
      </w:r>
    </w:p>
    <w:p w14:paraId="15DF0BFA">
      <w:pPr>
        <w:adjustRightInd w:val="0"/>
        <w:snapToGrid w:val="0"/>
        <w:spacing w:line="288" w:lineRule="auto"/>
        <w:ind w:firstLine="420" w:firstLineChars="200"/>
        <w:rPr>
          <w:rFonts w:hint="eastAsia" w:ascii="宋体" w:hAnsi="宋体" w:eastAsia="宋体" w:cs="Times New Roman"/>
          <w:bCs/>
          <w:szCs w:val="21"/>
        </w:rPr>
      </w:pPr>
      <w:r>
        <w:rPr>
          <w:rFonts w:ascii="宋体" w:hAnsi="宋体" w:eastAsia="宋体" w:cs="Times New Roman"/>
          <w:bCs/>
          <w:szCs w:val="21"/>
        </w:rPr>
        <w:t>开标地点（网址）：</w:t>
      </w:r>
      <w:r>
        <w:rPr>
          <w:rFonts w:hint="eastAsia" w:ascii="宋体" w:hAnsi="宋体" w:eastAsia="宋体" w:cs="Times New Roman"/>
          <w:szCs w:val="21"/>
        </w:rPr>
        <w:t>政府采购云平台（https://www.zcygov.cn）</w:t>
      </w:r>
      <w:bookmarkStart w:id="18" w:name="_Hlk81212131"/>
      <w:r>
        <w:rPr>
          <w:rFonts w:hint="eastAsia" w:ascii="宋体" w:hAnsi="宋体" w:eastAsia="宋体" w:cs="Times New Roman"/>
          <w:szCs w:val="21"/>
        </w:rPr>
        <w:t>/杭州市西湖区玉古路173号中田大厦21楼（求是招标会议室1）</w:t>
      </w:r>
      <w:bookmarkEnd w:id="18"/>
    </w:p>
    <w:bookmarkEnd w:id="17"/>
    <w:p w14:paraId="15DF0BFB">
      <w:pPr>
        <w:adjustRightInd w:val="0"/>
        <w:snapToGrid w:val="0"/>
        <w:spacing w:line="288" w:lineRule="auto"/>
        <w:rPr>
          <w:rFonts w:hint="eastAsia" w:ascii="宋体" w:hAnsi="宋体" w:eastAsia="宋体" w:cs="宋体"/>
          <w:b/>
          <w:szCs w:val="21"/>
        </w:rPr>
      </w:pPr>
      <w:bookmarkStart w:id="19" w:name="_Toc28359084"/>
      <w:bookmarkStart w:id="20" w:name="_Toc28359007"/>
      <w:bookmarkStart w:id="21" w:name="_Toc35393794"/>
      <w:bookmarkStart w:id="22" w:name="_Toc35393625"/>
      <w:r>
        <w:rPr>
          <w:rFonts w:hint="eastAsia" w:ascii="宋体" w:hAnsi="宋体" w:eastAsia="宋体" w:cs="宋体"/>
          <w:b/>
          <w:szCs w:val="21"/>
        </w:rPr>
        <w:t>五、公告期限</w:t>
      </w:r>
      <w:bookmarkEnd w:id="19"/>
      <w:bookmarkEnd w:id="20"/>
      <w:bookmarkEnd w:id="21"/>
      <w:bookmarkEnd w:id="22"/>
    </w:p>
    <w:p w14:paraId="15DF0BFC">
      <w:pPr>
        <w:adjustRightInd w:val="0"/>
        <w:snapToGrid w:val="0"/>
        <w:spacing w:line="288" w:lineRule="auto"/>
        <w:ind w:firstLine="420" w:firstLineChars="200"/>
        <w:rPr>
          <w:rFonts w:hint="eastAsia" w:ascii="宋体" w:hAnsi="宋体" w:eastAsia="宋体" w:cs="宋体"/>
          <w:kern w:val="0"/>
          <w:szCs w:val="21"/>
        </w:rPr>
      </w:pPr>
      <w:r>
        <w:rPr>
          <w:rFonts w:hint="eastAsia" w:ascii="宋体" w:hAnsi="宋体" w:eastAsia="宋体" w:cs="宋体"/>
          <w:kern w:val="0"/>
          <w:szCs w:val="21"/>
        </w:rPr>
        <w:t>自本公告发布之日起5个工作日。</w:t>
      </w:r>
    </w:p>
    <w:p w14:paraId="15DF0BFD">
      <w:pPr>
        <w:adjustRightInd w:val="0"/>
        <w:snapToGrid w:val="0"/>
        <w:spacing w:line="288" w:lineRule="auto"/>
        <w:rPr>
          <w:rFonts w:hint="eastAsia" w:ascii="宋体" w:hAnsi="宋体" w:eastAsia="宋体" w:cs="宋体"/>
          <w:b/>
          <w:szCs w:val="21"/>
        </w:rPr>
      </w:pPr>
      <w:bookmarkStart w:id="23" w:name="_Toc35393626"/>
      <w:bookmarkStart w:id="24" w:name="_Toc35393795"/>
      <w:r>
        <w:rPr>
          <w:rFonts w:hint="eastAsia" w:ascii="宋体" w:hAnsi="宋体" w:eastAsia="宋体" w:cs="宋体"/>
          <w:b/>
          <w:szCs w:val="21"/>
        </w:rPr>
        <w:t>六、其他补充事宜</w:t>
      </w:r>
      <w:bookmarkEnd w:id="23"/>
      <w:bookmarkEnd w:id="24"/>
    </w:p>
    <w:p w14:paraId="15DF0BFE">
      <w:pPr>
        <w:adjustRightInd w:val="0"/>
        <w:snapToGrid w:val="0"/>
        <w:spacing w:line="288" w:lineRule="auto"/>
        <w:ind w:firstLine="420" w:firstLineChars="200"/>
        <w:rPr>
          <w:rFonts w:hint="eastAsia" w:ascii="宋体" w:hAnsi="宋体" w:eastAsia="宋体" w:cs="Times New Roman"/>
          <w:szCs w:val="21"/>
        </w:rPr>
      </w:pPr>
      <w:bookmarkStart w:id="25" w:name="_Hlk92271231"/>
      <w:r>
        <w:rPr>
          <w:rFonts w:hint="eastAsia" w:ascii="宋体" w:hAnsi="宋体" w:eastAsia="宋体" w:cs="Times New Roman"/>
          <w:szCs w:val="21"/>
        </w:rPr>
        <w:t>1.《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p>
    <w:p w14:paraId="15DF0BFF">
      <w:pPr>
        <w:adjustRightInd w:val="0"/>
        <w:snapToGrid w:val="0"/>
        <w:spacing w:line="288" w:lineRule="auto"/>
        <w:ind w:firstLine="420" w:firstLineChars="200"/>
        <w:rPr>
          <w:rFonts w:hint="eastAsia" w:ascii="宋体" w:hAnsi="宋体" w:eastAsia="宋体" w:cs="Times New Roman"/>
          <w:szCs w:val="21"/>
        </w:rPr>
      </w:pPr>
      <w:r>
        <w:rPr>
          <w:rFonts w:ascii="宋体" w:hAnsi="宋体" w:eastAsia="宋体" w:cs="Times New Roman"/>
          <w:szCs w:val="21"/>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15DF0C00">
      <w:pPr>
        <w:adjustRightInd w:val="0"/>
        <w:snapToGrid w:val="0"/>
        <w:spacing w:line="288" w:lineRule="auto"/>
        <w:ind w:firstLine="420" w:firstLineChars="200"/>
        <w:rPr>
          <w:rFonts w:hint="eastAsia" w:ascii="宋体" w:hAnsi="宋体" w:eastAsia="宋体" w:cs="Times New Roman"/>
          <w:szCs w:val="21"/>
        </w:rPr>
      </w:pPr>
      <w:r>
        <w:rPr>
          <w:rFonts w:ascii="宋体" w:hAnsi="宋体" w:eastAsia="宋体" w:cs="Times New Roman"/>
          <w:szCs w:val="21"/>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15DF0C01">
      <w:pPr>
        <w:adjustRightInd w:val="0"/>
        <w:snapToGrid w:val="0"/>
        <w:spacing w:line="288" w:lineRule="auto"/>
        <w:ind w:firstLine="420" w:firstLineChars="200"/>
        <w:rPr>
          <w:rFonts w:hint="eastAsia" w:ascii="宋体" w:hAnsi="宋体" w:eastAsia="宋体" w:cs="Times New Roman"/>
          <w:szCs w:val="21"/>
        </w:rPr>
      </w:pPr>
      <w:r>
        <w:rPr>
          <w:rFonts w:ascii="宋体" w:hAnsi="宋体" w:eastAsia="宋体" w:cs="Times New Roman"/>
          <w:szCs w:val="21"/>
        </w:rPr>
        <w:t>4.其他事项：</w:t>
      </w:r>
      <w:bookmarkStart w:id="26" w:name="_Hlk92271331"/>
    </w:p>
    <w:p w14:paraId="15DF0C02">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t>（1）</w:t>
      </w:r>
      <w:r>
        <w:rPr>
          <w:rFonts w:ascii="宋体" w:hAnsi="宋体" w:eastAsia="宋体" w:cs="Times New Roman"/>
          <w:szCs w:val="21"/>
        </w:rPr>
        <w:t>需要落实的政府采购政策：包括节约资源、保护环境、</w:t>
      </w:r>
      <w:bookmarkStart w:id="27" w:name="_Hlk106877787"/>
      <w:r>
        <w:rPr>
          <w:rFonts w:hint="eastAsia" w:ascii="宋体" w:hAnsi="宋体" w:eastAsia="宋体" w:cs="Times New Roman"/>
          <w:szCs w:val="21"/>
        </w:rPr>
        <w:t>支持科技创新、</w:t>
      </w:r>
      <w:bookmarkEnd w:id="27"/>
      <w:r>
        <w:rPr>
          <w:rFonts w:ascii="宋体" w:hAnsi="宋体" w:eastAsia="宋体" w:cs="Times New Roman"/>
          <w:szCs w:val="21"/>
        </w:rPr>
        <w:t>促进中小企业发展等。详见招标文件的第</w:t>
      </w:r>
      <w:r>
        <w:rPr>
          <w:rFonts w:hint="eastAsia" w:ascii="宋体" w:hAnsi="宋体" w:eastAsia="宋体" w:cs="Times New Roman"/>
          <w:szCs w:val="21"/>
        </w:rPr>
        <w:t>三章-采购项目需要落实的政府采购政策</w:t>
      </w:r>
      <w:r>
        <w:rPr>
          <w:rFonts w:ascii="宋体" w:hAnsi="宋体" w:eastAsia="宋体" w:cs="Times New Roman"/>
          <w:szCs w:val="21"/>
        </w:rPr>
        <w:t>。</w:t>
      </w:r>
    </w:p>
    <w:p w14:paraId="15DF0C03">
      <w:pPr>
        <w:adjustRightInd w:val="0"/>
        <w:snapToGrid w:val="0"/>
        <w:spacing w:line="288" w:lineRule="auto"/>
        <w:ind w:firstLine="420" w:firstLineChars="200"/>
        <w:rPr>
          <w:rFonts w:hint="eastAsia" w:ascii="宋体" w:hAnsi="宋体" w:eastAsia="宋体" w:cs="Times New Roman"/>
          <w:szCs w:val="21"/>
        </w:rPr>
      </w:pPr>
      <w:bookmarkStart w:id="28" w:name="OLE_LINK2"/>
      <w:r>
        <w:rPr>
          <w:rFonts w:hint="eastAsia" w:ascii="宋体" w:hAnsi="宋体" w:eastAsia="宋体" w:cs="Times New Roman"/>
          <w:szCs w:val="21"/>
        </w:rPr>
        <w:t>▲</w:t>
      </w:r>
      <w:bookmarkEnd w:id="28"/>
      <w:bookmarkStart w:id="29" w:name="_Hlk92271072"/>
      <w:r>
        <w:rPr>
          <w:rFonts w:hint="eastAsia" w:ascii="宋体" w:hAnsi="宋体" w:eastAsia="宋体" w:cs="Times New Roman"/>
          <w:szCs w:val="21"/>
        </w:rPr>
        <w:t>（2）</w:t>
      </w:r>
      <w:r>
        <w:rPr>
          <w:rFonts w:ascii="宋体" w:hAnsi="宋体" w:eastAsia="宋体" w:cs="Times New Roman"/>
          <w:szCs w:val="21"/>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9"/>
    </w:p>
    <w:bookmarkEnd w:id="25"/>
    <w:bookmarkEnd w:id="26"/>
    <w:p w14:paraId="15DF0C04">
      <w:pPr>
        <w:adjustRightInd w:val="0"/>
        <w:snapToGrid w:val="0"/>
        <w:spacing w:line="288" w:lineRule="auto"/>
        <w:rPr>
          <w:rFonts w:hint="eastAsia" w:ascii="宋体" w:hAnsi="宋体" w:eastAsia="宋体" w:cs="Times New Roman"/>
          <w:b/>
          <w:szCs w:val="21"/>
        </w:rPr>
      </w:pPr>
      <w:bookmarkStart w:id="30" w:name="_Toc28359008"/>
      <w:bookmarkStart w:id="31" w:name="_Toc28359085"/>
      <w:bookmarkStart w:id="32" w:name="_Toc35393796"/>
      <w:bookmarkStart w:id="33" w:name="_Toc35393627"/>
      <w:r>
        <w:rPr>
          <w:rFonts w:hint="eastAsia" w:ascii="宋体" w:hAnsi="宋体" w:eastAsia="宋体" w:cs="宋体"/>
          <w:b/>
          <w:szCs w:val="21"/>
        </w:rPr>
        <w:t>七、对本次招标提出询问、质疑、投诉请按</w:t>
      </w:r>
      <w:r>
        <w:rPr>
          <w:rFonts w:ascii="宋体" w:hAnsi="宋体" w:eastAsia="宋体" w:cs="宋体"/>
          <w:b/>
          <w:szCs w:val="21"/>
        </w:rPr>
        <w:t>以下方式</w:t>
      </w:r>
      <w:r>
        <w:rPr>
          <w:rFonts w:hint="eastAsia" w:ascii="宋体" w:hAnsi="宋体" w:eastAsia="宋体" w:cs="宋体"/>
          <w:b/>
          <w:szCs w:val="21"/>
        </w:rPr>
        <w:t>联系</w:t>
      </w:r>
      <w:bookmarkEnd w:id="30"/>
      <w:bookmarkEnd w:id="31"/>
      <w:bookmarkEnd w:id="32"/>
      <w:bookmarkEnd w:id="33"/>
    </w:p>
    <w:p w14:paraId="15DF0C05">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1.采购人信息</w:t>
      </w:r>
    </w:p>
    <w:p w14:paraId="15DF0C06">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名称：杭州电子科技大学</w:t>
      </w:r>
    </w:p>
    <w:p w14:paraId="15DF0C07">
      <w:pPr>
        <w:adjustRightInd w:val="0"/>
        <w:snapToGrid w:val="0"/>
        <w:spacing w:line="288" w:lineRule="auto"/>
        <w:ind w:firstLine="424" w:firstLineChars="202"/>
        <w:rPr>
          <w:rFonts w:hint="eastAsia" w:ascii="宋体" w:hAnsi="宋体" w:eastAsia="宋体" w:cs="Times New Roman"/>
          <w:szCs w:val="21"/>
          <w:highlight w:val="none"/>
        </w:rPr>
      </w:pPr>
      <w:r>
        <w:rPr>
          <w:rFonts w:hint="eastAsia" w:ascii="宋体" w:hAnsi="宋体" w:eastAsia="宋体" w:cs="Times New Roman"/>
          <w:szCs w:val="21"/>
        </w:rPr>
        <w:t>地址：杭州市钱塘区白杨街道2号</w:t>
      </w:r>
      <w:r>
        <w:rPr>
          <w:rFonts w:hint="eastAsia" w:ascii="宋体" w:hAnsi="宋体" w:eastAsia="宋体" w:cs="Times New Roman"/>
          <w:szCs w:val="21"/>
          <w:highlight w:val="none"/>
        </w:rPr>
        <w:t>大街1158号</w:t>
      </w:r>
    </w:p>
    <w:p w14:paraId="15DF0C08">
      <w:pPr>
        <w:adjustRightInd w:val="0"/>
        <w:snapToGrid w:val="0"/>
        <w:spacing w:line="288" w:lineRule="auto"/>
        <w:ind w:firstLine="424" w:firstLineChars="202"/>
        <w:rPr>
          <w:rFonts w:hint="eastAsia" w:ascii="宋体" w:hAnsi="宋体" w:eastAsia="宋体" w:cs="Times New Roman"/>
          <w:szCs w:val="21"/>
          <w:highlight w:val="none"/>
        </w:rPr>
      </w:pPr>
      <w:r>
        <w:rPr>
          <w:rFonts w:hint="eastAsia" w:ascii="宋体" w:hAnsi="宋体" w:eastAsia="宋体" w:cs="Times New Roman"/>
          <w:szCs w:val="21"/>
          <w:highlight w:val="none"/>
        </w:rPr>
        <w:t>传真：/</w:t>
      </w:r>
    </w:p>
    <w:p w14:paraId="15DF0C09">
      <w:pPr>
        <w:adjustRightInd w:val="0"/>
        <w:snapToGrid w:val="0"/>
        <w:spacing w:line="288" w:lineRule="auto"/>
        <w:ind w:firstLine="424" w:firstLineChars="202"/>
        <w:rPr>
          <w:rFonts w:hint="eastAsia" w:ascii="宋体" w:hAnsi="宋体" w:eastAsia="宋体" w:cs="Times New Roman"/>
          <w:szCs w:val="21"/>
          <w:highlight w:val="none"/>
          <w:lang w:eastAsia="zh-CN"/>
        </w:rPr>
      </w:pPr>
      <w:r>
        <w:rPr>
          <w:rFonts w:hint="eastAsia" w:ascii="宋体" w:hAnsi="宋体" w:eastAsia="宋体" w:cs="Times New Roman"/>
          <w:szCs w:val="21"/>
          <w:highlight w:val="none"/>
        </w:rPr>
        <w:t>项目联系人（询问）：陈</w:t>
      </w:r>
      <w:r>
        <w:rPr>
          <w:rFonts w:hint="eastAsia" w:ascii="宋体" w:hAnsi="宋体" w:eastAsia="宋体" w:cs="Times New Roman"/>
          <w:szCs w:val="21"/>
          <w:highlight w:val="none"/>
          <w:lang w:val="en-US" w:eastAsia="zh-CN"/>
        </w:rPr>
        <w:t>老师</w:t>
      </w:r>
    </w:p>
    <w:p w14:paraId="15DF0C0A">
      <w:pPr>
        <w:adjustRightInd w:val="0"/>
        <w:snapToGrid w:val="0"/>
        <w:spacing w:line="288" w:lineRule="auto"/>
        <w:ind w:firstLine="424" w:firstLineChars="202"/>
        <w:rPr>
          <w:rFonts w:hint="eastAsia" w:ascii="宋体" w:hAnsi="宋体" w:eastAsia="宋体" w:cs="Times New Roman"/>
          <w:szCs w:val="21"/>
          <w:highlight w:val="none"/>
        </w:rPr>
      </w:pPr>
      <w:r>
        <w:rPr>
          <w:rFonts w:hint="eastAsia" w:ascii="宋体" w:hAnsi="宋体" w:eastAsia="宋体" w:cs="Times New Roman"/>
          <w:szCs w:val="21"/>
          <w:highlight w:val="none"/>
        </w:rPr>
        <w:t>项目联系方式（询问）：0571-86919037</w:t>
      </w:r>
    </w:p>
    <w:p w14:paraId="15DF0C0B">
      <w:pPr>
        <w:adjustRightInd w:val="0"/>
        <w:snapToGrid w:val="0"/>
        <w:spacing w:line="288" w:lineRule="auto"/>
        <w:ind w:firstLine="424" w:firstLineChars="202"/>
        <w:rPr>
          <w:rFonts w:hint="eastAsia" w:ascii="宋体" w:hAnsi="宋体" w:eastAsia="宋体" w:cs="Times New Roman"/>
          <w:szCs w:val="21"/>
          <w:highlight w:val="none"/>
        </w:rPr>
      </w:pPr>
      <w:r>
        <w:rPr>
          <w:rFonts w:hint="eastAsia" w:ascii="宋体" w:hAnsi="宋体" w:eastAsia="宋体" w:cs="Times New Roman"/>
          <w:szCs w:val="21"/>
          <w:highlight w:val="none"/>
        </w:rPr>
        <w:t>质疑联系人：李老师</w:t>
      </w:r>
    </w:p>
    <w:p w14:paraId="15DF0C0C">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质疑联系方式：0571-86878697</w:t>
      </w:r>
    </w:p>
    <w:p w14:paraId="15DF0C0D">
      <w:pPr>
        <w:adjustRightInd w:val="0"/>
        <w:snapToGrid w:val="0"/>
        <w:spacing w:line="288" w:lineRule="auto"/>
        <w:ind w:firstLine="424" w:firstLineChars="202"/>
        <w:rPr>
          <w:rFonts w:hint="eastAsia" w:ascii="宋体" w:hAnsi="宋体" w:eastAsia="宋体" w:cs="Times New Roman"/>
          <w:szCs w:val="21"/>
        </w:rPr>
      </w:pPr>
    </w:p>
    <w:p w14:paraId="15DF0C0E">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2.采购代理机构信息</w:t>
      </w:r>
    </w:p>
    <w:p w14:paraId="15DF0C0F">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名称：浙江求是招标代理有限公司</w:t>
      </w:r>
    </w:p>
    <w:p w14:paraId="15DF0C10">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地址：杭州市西湖区玉古路173号中田大厦21楼</w:t>
      </w:r>
    </w:p>
    <w:p w14:paraId="15DF0C11">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传真：/</w:t>
      </w:r>
    </w:p>
    <w:p w14:paraId="15DF0C12">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项目联系人（询问）：</w:t>
      </w:r>
      <w:r>
        <w:rPr>
          <w:rFonts w:hint="eastAsia" w:ascii="宋体" w:hAnsi="宋体" w:eastAsia="宋体" w:cs="Times New Roman"/>
          <w:bCs/>
          <w:spacing w:val="-6"/>
          <w:szCs w:val="21"/>
        </w:rPr>
        <w:t>陈应俭、俞炳</w:t>
      </w:r>
    </w:p>
    <w:p w14:paraId="15DF0C13">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项目联系方式（询问）：0571-87670302</w:t>
      </w:r>
    </w:p>
    <w:p w14:paraId="15DF0C14">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质疑联系人：周安琪</w:t>
      </w:r>
    </w:p>
    <w:p w14:paraId="15DF0C15">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质疑联系方式：0571-81110356</w:t>
      </w:r>
    </w:p>
    <w:p w14:paraId="15DF0C16">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质疑邮箱：</w:t>
      </w:r>
      <w:r>
        <w:rPr>
          <w:rFonts w:ascii="宋体" w:hAnsi="宋体" w:eastAsia="宋体" w:cs="Times New Roman"/>
          <w:szCs w:val="21"/>
        </w:rPr>
        <w:t>jdkh@qszb.net</w:t>
      </w:r>
    </w:p>
    <w:p w14:paraId="15DF0C17">
      <w:pPr>
        <w:adjustRightInd w:val="0"/>
        <w:snapToGrid w:val="0"/>
        <w:spacing w:line="288" w:lineRule="auto"/>
        <w:ind w:firstLine="424" w:firstLineChars="202"/>
        <w:rPr>
          <w:rFonts w:hint="eastAsia" w:ascii="宋体" w:hAnsi="宋体" w:eastAsia="宋体" w:cs="Times New Roman"/>
          <w:szCs w:val="21"/>
        </w:rPr>
      </w:pPr>
      <w:bookmarkStart w:id="34" w:name="_Hlk124147873"/>
    </w:p>
    <w:p w14:paraId="15DF0C18">
      <w:pPr>
        <w:adjustRightInd w:val="0"/>
        <w:snapToGrid w:val="0"/>
        <w:spacing w:line="288" w:lineRule="auto"/>
        <w:ind w:firstLine="425" w:firstLineChars="215"/>
        <w:rPr>
          <w:rFonts w:hint="eastAsia" w:ascii="宋体" w:hAnsi="宋体" w:eastAsia="宋体" w:cs="Times New Roman"/>
          <w:spacing w:val="-6"/>
          <w:szCs w:val="21"/>
        </w:rPr>
      </w:pPr>
      <w:r>
        <w:rPr>
          <w:rFonts w:hint="eastAsia" w:ascii="宋体" w:hAnsi="宋体" w:eastAsia="宋体" w:cs="Times New Roman"/>
          <w:spacing w:val="-6"/>
          <w:szCs w:val="21"/>
        </w:rPr>
        <w:t>3.同级政府采购监督管理部门</w:t>
      </w:r>
    </w:p>
    <w:p w14:paraId="15DF0C19">
      <w:pPr>
        <w:adjustRightInd w:val="0"/>
        <w:snapToGrid w:val="0"/>
        <w:spacing w:line="288" w:lineRule="auto"/>
        <w:ind w:firstLine="425" w:firstLineChars="215"/>
        <w:rPr>
          <w:rFonts w:hint="eastAsia" w:ascii="宋体" w:hAnsi="宋体" w:eastAsia="宋体" w:cs="Times New Roman"/>
          <w:spacing w:val="-6"/>
          <w:szCs w:val="21"/>
        </w:rPr>
      </w:pPr>
      <w:r>
        <w:rPr>
          <w:rFonts w:hint="eastAsia" w:ascii="宋体" w:hAnsi="宋体" w:eastAsia="宋体" w:cs="Times New Roman"/>
          <w:spacing w:val="-6"/>
          <w:szCs w:val="21"/>
        </w:rPr>
        <w:t>名称：杭州电子科技大学国有资产与实验室管理处</w:t>
      </w:r>
    </w:p>
    <w:p w14:paraId="15DF0C1A">
      <w:pPr>
        <w:adjustRightInd w:val="0"/>
        <w:snapToGrid w:val="0"/>
        <w:spacing w:line="288" w:lineRule="auto"/>
        <w:ind w:firstLine="425" w:firstLineChars="215"/>
        <w:rPr>
          <w:rFonts w:hint="eastAsia" w:ascii="宋体" w:hAnsi="宋体" w:eastAsia="宋体" w:cs="Times New Roman"/>
          <w:spacing w:val="-6"/>
          <w:szCs w:val="21"/>
        </w:rPr>
      </w:pPr>
      <w:r>
        <w:rPr>
          <w:rFonts w:hint="eastAsia" w:ascii="宋体" w:hAnsi="宋体" w:eastAsia="宋体" w:cs="Times New Roman"/>
          <w:spacing w:val="-6"/>
          <w:szCs w:val="21"/>
        </w:rPr>
        <w:t>地址：杭州市钱塘区白杨街道2号大街1158号</w:t>
      </w:r>
    </w:p>
    <w:p w14:paraId="15DF0C1B">
      <w:pPr>
        <w:adjustRightInd w:val="0"/>
        <w:snapToGrid w:val="0"/>
        <w:spacing w:line="288" w:lineRule="auto"/>
        <w:ind w:firstLine="425" w:firstLineChars="215"/>
        <w:rPr>
          <w:rFonts w:hint="eastAsia" w:ascii="宋体" w:hAnsi="宋体" w:eastAsia="宋体" w:cs="Times New Roman"/>
          <w:spacing w:val="-6"/>
          <w:szCs w:val="21"/>
        </w:rPr>
      </w:pPr>
      <w:r>
        <w:rPr>
          <w:rFonts w:hint="eastAsia" w:ascii="宋体" w:hAnsi="宋体" w:eastAsia="宋体" w:cs="Times New Roman"/>
          <w:spacing w:val="-6"/>
          <w:szCs w:val="21"/>
        </w:rPr>
        <w:t>传真：/</w:t>
      </w:r>
    </w:p>
    <w:p w14:paraId="15DF0C1C">
      <w:pPr>
        <w:adjustRightInd w:val="0"/>
        <w:snapToGrid w:val="0"/>
        <w:spacing w:line="288" w:lineRule="auto"/>
        <w:ind w:firstLine="425" w:firstLineChars="215"/>
        <w:rPr>
          <w:rFonts w:hint="eastAsia" w:ascii="宋体" w:hAnsi="宋体" w:eastAsia="宋体" w:cs="Times New Roman"/>
          <w:spacing w:val="-6"/>
          <w:szCs w:val="21"/>
        </w:rPr>
      </w:pPr>
      <w:r>
        <w:rPr>
          <w:rFonts w:hint="eastAsia" w:ascii="宋体" w:hAnsi="宋体" w:eastAsia="宋体" w:cs="Times New Roman"/>
          <w:spacing w:val="-6"/>
          <w:szCs w:val="21"/>
        </w:rPr>
        <w:t>联系人：亓老师</w:t>
      </w:r>
    </w:p>
    <w:p w14:paraId="15DF0C1D">
      <w:pPr>
        <w:adjustRightInd w:val="0"/>
        <w:snapToGrid w:val="0"/>
        <w:spacing w:line="288" w:lineRule="auto"/>
        <w:ind w:firstLine="425" w:firstLineChars="215"/>
        <w:rPr>
          <w:rFonts w:hint="eastAsia" w:ascii="宋体" w:hAnsi="宋体" w:eastAsia="宋体" w:cs="Times New Roman"/>
          <w:spacing w:val="-6"/>
          <w:szCs w:val="21"/>
        </w:rPr>
      </w:pPr>
      <w:r>
        <w:rPr>
          <w:rFonts w:hint="eastAsia" w:ascii="宋体" w:hAnsi="宋体" w:eastAsia="宋体" w:cs="Times New Roman"/>
          <w:spacing w:val="-6"/>
          <w:szCs w:val="21"/>
        </w:rPr>
        <w:t>监督投诉电话：0571-87713574</w:t>
      </w:r>
    </w:p>
    <w:p w14:paraId="15DF0C1E">
      <w:pPr>
        <w:adjustRightInd w:val="0"/>
        <w:snapToGrid w:val="0"/>
        <w:spacing w:line="288" w:lineRule="auto"/>
        <w:ind w:firstLine="425" w:firstLineChars="215"/>
        <w:rPr>
          <w:rFonts w:hint="eastAsia" w:ascii="宋体" w:hAnsi="宋体" w:eastAsia="宋体" w:cs="Times New Roman"/>
          <w:spacing w:val="-6"/>
          <w:szCs w:val="21"/>
        </w:rPr>
      </w:pPr>
      <w:r>
        <w:rPr>
          <w:rFonts w:hint="eastAsia" w:ascii="宋体" w:hAnsi="宋体" w:eastAsia="宋体" w:cs="Times New Roman"/>
          <w:spacing w:val="-6"/>
          <w:szCs w:val="21"/>
        </w:rPr>
        <w:t>政策咨询：何一平、冯华，0571-87058424、87055741</w:t>
      </w:r>
    </w:p>
    <w:p w14:paraId="15DF0C1F">
      <w:pPr>
        <w:adjustRightInd w:val="0"/>
        <w:snapToGrid w:val="0"/>
        <w:spacing w:line="288" w:lineRule="auto"/>
        <w:ind w:firstLine="425" w:firstLineChars="215"/>
        <w:rPr>
          <w:rFonts w:hint="eastAsia" w:ascii="宋体" w:hAnsi="宋体" w:eastAsia="宋体" w:cs="Times New Roman"/>
          <w:spacing w:val="-6"/>
          <w:szCs w:val="21"/>
        </w:rPr>
      </w:pPr>
      <w:r>
        <w:rPr>
          <w:rFonts w:hint="eastAsia" w:ascii="宋体" w:hAnsi="宋体" w:eastAsia="宋体" w:cs="Times New Roman"/>
          <w:spacing w:val="-6"/>
          <w:szCs w:val="21"/>
        </w:rPr>
        <w:t>预算金额未达100万元的采购项目，由采购人处理采购争议。</w:t>
      </w:r>
    </w:p>
    <w:p w14:paraId="15DF0C20">
      <w:pPr>
        <w:adjustRightInd w:val="0"/>
        <w:snapToGrid w:val="0"/>
        <w:spacing w:line="288" w:lineRule="auto"/>
        <w:ind w:firstLine="370"/>
        <w:rPr>
          <w:rFonts w:hint="eastAsia" w:ascii="宋体" w:hAnsi="宋体" w:eastAsia="宋体" w:cs="Times New Roman"/>
          <w:spacing w:val="-6"/>
          <w:szCs w:val="21"/>
        </w:rPr>
      </w:pPr>
    </w:p>
    <w:p w14:paraId="15DF0C21">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若对项目采购电子交易系统操作有疑问，可登录政采云（</w:t>
      </w:r>
      <w:r>
        <w:rPr>
          <w:rFonts w:ascii="宋体" w:hAnsi="宋体" w:eastAsia="宋体" w:cs="Times New Roman"/>
          <w:spacing w:val="-6"/>
          <w:szCs w:val="21"/>
        </w:rPr>
        <w:t>https://www.zcygov.cn/），点击右侧咨询小采，获取采小蜜智能服务管家帮助，或拨打政采云服务热线</w:t>
      </w:r>
      <w:r>
        <w:rPr>
          <w:rFonts w:hint="eastAsia" w:ascii="宋体" w:hAnsi="宋体" w:eastAsia="宋体" w:cs="Times New Roman"/>
          <w:spacing w:val="-6"/>
          <w:szCs w:val="21"/>
        </w:rPr>
        <w:t>95763</w:t>
      </w:r>
      <w:r>
        <w:rPr>
          <w:rFonts w:ascii="宋体" w:hAnsi="宋体" w:eastAsia="宋体" w:cs="Times New Roman"/>
          <w:spacing w:val="-6"/>
          <w:szCs w:val="21"/>
        </w:rPr>
        <w:t>获取热线服务帮助。</w:t>
      </w:r>
    </w:p>
    <w:p w14:paraId="15DF0C22">
      <w:pPr>
        <w:adjustRightInd w:val="0"/>
        <w:snapToGrid w:val="0"/>
        <w:spacing w:line="288" w:lineRule="auto"/>
        <w:ind w:firstLine="396" w:firstLineChars="200"/>
        <w:rPr>
          <w:rFonts w:hint="eastAsia" w:ascii="宋体" w:hAnsi="宋体" w:eastAsia="宋体" w:cs="Times New Roman"/>
          <w:szCs w:val="21"/>
        </w:rPr>
      </w:pPr>
      <w:r>
        <w:rPr>
          <w:rFonts w:ascii="宋体" w:hAnsi="宋体" w:eastAsia="宋体" w:cs="Times New Roman"/>
          <w:spacing w:val="-6"/>
          <w:szCs w:val="21"/>
        </w:rPr>
        <w:t>CA问题联系电话（人工）：汇信CA400-888-4636；天谷CA400-087-8198。</w:t>
      </w:r>
    </w:p>
    <w:bookmarkEnd w:id="34"/>
    <w:p w14:paraId="15DF0C23">
      <w:pPr>
        <w:adjustRightInd w:val="0"/>
        <w:snapToGrid w:val="0"/>
        <w:spacing w:line="288" w:lineRule="auto"/>
        <w:ind w:left="238"/>
        <w:jc w:val="center"/>
        <w:outlineLvl w:val="0"/>
        <w:rPr>
          <w:rFonts w:hint="eastAsia" w:ascii="宋体" w:hAnsi="宋体" w:eastAsia="宋体" w:cs="Times New Roman"/>
          <w:b/>
          <w:bCs/>
          <w:sz w:val="32"/>
          <w:szCs w:val="32"/>
        </w:rPr>
      </w:pPr>
      <w:r>
        <w:rPr>
          <w:rFonts w:hint="eastAsia" w:ascii="宋体" w:hAnsi="宋体" w:eastAsia="宋体" w:cs="Times New Roman"/>
          <w:szCs w:val="21"/>
        </w:rPr>
        <w:br w:type="page"/>
      </w:r>
      <w:r>
        <w:rPr>
          <w:rFonts w:hint="eastAsia" w:ascii="宋体" w:hAnsi="宋体" w:eastAsia="宋体" w:cs="Times New Roman"/>
          <w:b/>
          <w:sz w:val="32"/>
          <w:szCs w:val="32"/>
        </w:rPr>
        <w:t xml:space="preserve">第二章  </w:t>
      </w:r>
      <w:r>
        <w:rPr>
          <w:rFonts w:hint="eastAsia" w:ascii="宋体" w:hAnsi="宋体" w:eastAsia="宋体" w:cs="Times New Roman"/>
          <w:b/>
          <w:bCs/>
          <w:sz w:val="32"/>
          <w:szCs w:val="32"/>
        </w:rPr>
        <w:t>采购需求</w:t>
      </w:r>
    </w:p>
    <w:p w14:paraId="15DF0C24">
      <w:pPr>
        <w:adjustRightInd w:val="0"/>
        <w:snapToGrid w:val="0"/>
        <w:spacing w:line="288" w:lineRule="auto"/>
        <w:outlineLvl w:val="1"/>
        <w:rPr>
          <w:rFonts w:hint="eastAsia" w:ascii="宋体" w:hAnsi="宋体" w:eastAsia="宋体" w:cs="Times New Roman"/>
          <w:b/>
          <w:szCs w:val="21"/>
        </w:rPr>
      </w:pPr>
      <w:r>
        <w:rPr>
          <w:rFonts w:hint="eastAsia" w:ascii="宋体" w:hAnsi="宋体" w:eastAsia="宋体" w:cs="Times New Roman"/>
          <w:b/>
          <w:szCs w:val="21"/>
        </w:rPr>
        <w:t>一、为落实政府采购政策需满足的要求</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14:paraId="15DF0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2" w:hRule="atLeast"/>
        </w:trPr>
        <w:tc>
          <w:tcPr>
            <w:tcW w:w="708" w:type="dxa"/>
            <w:vAlign w:val="center"/>
          </w:tcPr>
          <w:p w14:paraId="15DF0C25">
            <w:pPr>
              <w:adjustRightInd w:val="0"/>
              <w:snapToGrid w:val="0"/>
              <w:spacing w:line="288" w:lineRule="auto"/>
              <w:jc w:val="center"/>
              <w:rPr>
                <w:rFonts w:hint="eastAsia" w:ascii="宋体" w:hAnsi="宋体" w:eastAsia="宋体" w:cs="宋体"/>
                <w:b/>
                <w:bCs/>
                <w:szCs w:val="21"/>
              </w:rPr>
            </w:pPr>
            <w:bookmarkStart w:id="35" w:name="_Hlk45005599"/>
            <w:r>
              <w:rPr>
                <w:rFonts w:hint="eastAsia" w:ascii="宋体" w:hAnsi="宋体" w:eastAsia="宋体" w:cs="宋体"/>
                <w:b/>
                <w:bCs/>
                <w:szCs w:val="21"/>
              </w:rPr>
              <w:t>序号</w:t>
            </w:r>
          </w:p>
        </w:tc>
        <w:tc>
          <w:tcPr>
            <w:tcW w:w="3256" w:type="dxa"/>
            <w:vAlign w:val="center"/>
          </w:tcPr>
          <w:p w14:paraId="15DF0C26">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政策名称</w:t>
            </w:r>
          </w:p>
        </w:tc>
        <w:tc>
          <w:tcPr>
            <w:tcW w:w="5529" w:type="dxa"/>
            <w:vAlign w:val="center"/>
          </w:tcPr>
          <w:p w14:paraId="15DF0C27">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内容</w:t>
            </w:r>
          </w:p>
        </w:tc>
      </w:tr>
      <w:tr w14:paraId="15DF0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5DF0C29">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szCs w:val="21"/>
              </w:rPr>
              <w:t>1</w:t>
            </w:r>
          </w:p>
        </w:tc>
        <w:tc>
          <w:tcPr>
            <w:tcW w:w="3256" w:type="dxa"/>
            <w:vAlign w:val="center"/>
          </w:tcPr>
          <w:p w14:paraId="15DF0C2A">
            <w:pPr>
              <w:adjustRightInd w:val="0"/>
              <w:snapToGrid w:val="0"/>
              <w:spacing w:line="288" w:lineRule="auto"/>
              <w:jc w:val="left"/>
              <w:rPr>
                <w:rFonts w:hint="eastAsia" w:ascii="宋体" w:hAnsi="宋体" w:eastAsia="宋体" w:cs="宋体"/>
                <w:b/>
                <w:bCs/>
                <w:szCs w:val="21"/>
              </w:rPr>
            </w:pPr>
            <w:r>
              <w:rPr>
                <w:rFonts w:hint="eastAsia" w:ascii="宋体" w:hAnsi="宋体" w:eastAsia="宋体" w:cs="宋体"/>
                <w:szCs w:val="21"/>
              </w:rPr>
              <w:t>政府采购进口产品</w:t>
            </w:r>
          </w:p>
        </w:tc>
        <w:tc>
          <w:tcPr>
            <w:tcW w:w="5529" w:type="dxa"/>
            <w:vAlign w:val="center"/>
          </w:tcPr>
          <w:p w14:paraId="15DF0C2B">
            <w:pPr>
              <w:adjustRightInd w:val="0"/>
              <w:snapToGrid w:val="0"/>
              <w:spacing w:line="288" w:lineRule="auto"/>
              <w:jc w:val="left"/>
              <w:rPr>
                <w:rFonts w:hint="eastAsia" w:ascii="宋体" w:hAnsi="宋体" w:eastAsia="宋体" w:cs="宋体"/>
                <w:b/>
                <w:bCs/>
                <w:szCs w:val="21"/>
              </w:rPr>
            </w:pPr>
            <w:r>
              <w:rPr>
                <w:rFonts w:hint="eastAsia" w:ascii="宋体" w:hAnsi="宋体" w:eastAsia="宋体" w:cs="宋体"/>
                <w:szCs w:val="21"/>
              </w:rPr>
              <w:t>不允许采购进口产品</w:t>
            </w:r>
          </w:p>
        </w:tc>
      </w:tr>
      <w:tr w14:paraId="15DF0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5DF0C2D">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szCs w:val="21"/>
              </w:rPr>
              <w:t>2</w:t>
            </w:r>
          </w:p>
        </w:tc>
        <w:tc>
          <w:tcPr>
            <w:tcW w:w="3256" w:type="dxa"/>
            <w:vAlign w:val="center"/>
          </w:tcPr>
          <w:p w14:paraId="15DF0C2E">
            <w:pPr>
              <w:adjustRightInd w:val="0"/>
              <w:snapToGrid w:val="0"/>
              <w:spacing w:line="288" w:lineRule="auto"/>
              <w:jc w:val="left"/>
              <w:rPr>
                <w:rFonts w:hint="eastAsia" w:ascii="宋体" w:hAnsi="宋体" w:eastAsia="宋体" w:cs="宋体"/>
                <w:b/>
                <w:bCs/>
                <w:szCs w:val="21"/>
              </w:rPr>
            </w:pPr>
            <w:r>
              <w:rPr>
                <w:rFonts w:hint="eastAsia" w:ascii="宋体" w:hAnsi="宋体" w:eastAsia="宋体" w:cs="宋体"/>
                <w:szCs w:val="21"/>
              </w:rPr>
              <w:t>政府强制采购节能产品</w:t>
            </w:r>
          </w:p>
        </w:tc>
        <w:tc>
          <w:tcPr>
            <w:tcW w:w="5529" w:type="dxa"/>
            <w:vAlign w:val="center"/>
          </w:tcPr>
          <w:p w14:paraId="15DF0C2F">
            <w:pPr>
              <w:adjustRightInd w:val="0"/>
              <w:snapToGrid w:val="0"/>
              <w:spacing w:line="288" w:lineRule="auto"/>
              <w:jc w:val="left"/>
              <w:rPr>
                <w:rFonts w:hint="eastAsia" w:ascii="宋体" w:hAnsi="宋体" w:eastAsia="宋体" w:cs="宋体"/>
                <w:b/>
                <w:bCs/>
                <w:szCs w:val="21"/>
              </w:rPr>
            </w:pPr>
            <w:r>
              <w:rPr>
                <w:rFonts w:hint="eastAsia" w:ascii="宋体" w:hAnsi="宋体" w:eastAsia="宋体" w:cs="宋体"/>
                <w:szCs w:val="21"/>
              </w:rPr>
              <w:t>不适用</w:t>
            </w:r>
          </w:p>
        </w:tc>
      </w:tr>
      <w:tr w14:paraId="15DF0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5DF0C31">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szCs w:val="21"/>
              </w:rPr>
              <w:t>3</w:t>
            </w:r>
          </w:p>
        </w:tc>
        <w:tc>
          <w:tcPr>
            <w:tcW w:w="3256" w:type="dxa"/>
            <w:vAlign w:val="center"/>
          </w:tcPr>
          <w:p w14:paraId="15DF0C32">
            <w:pPr>
              <w:adjustRightInd w:val="0"/>
              <w:snapToGrid w:val="0"/>
              <w:spacing w:line="288" w:lineRule="auto"/>
              <w:jc w:val="left"/>
              <w:rPr>
                <w:rFonts w:hint="eastAsia" w:ascii="宋体" w:hAnsi="宋体" w:eastAsia="宋体" w:cs="宋体"/>
                <w:b/>
                <w:bCs/>
                <w:szCs w:val="21"/>
              </w:rPr>
            </w:pPr>
            <w:r>
              <w:rPr>
                <w:rFonts w:hint="eastAsia" w:ascii="宋体" w:hAnsi="宋体" w:eastAsia="宋体" w:cs="宋体"/>
                <w:szCs w:val="21"/>
              </w:rPr>
              <w:t>政府优先采购节能、环保产品</w:t>
            </w:r>
          </w:p>
        </w:tc>
        <w:tc>
          <w:tcPr>
            <w:tcW w:w="5529" w:type="dxa"/>
            <w:vAlign w:val="center"/>
          </w:tcPr>
          <w:p w14:paraId="15DF0C33">
            <w:pPr>
              <w:adjustRightInd w:val="0"/>
              <w:snapToGrid w:val="0"/>
              <w:spacing w:line="288" w:lineRule="auto"/>
              <w:jc w:val="left"/>
              <w:rPr>
                <w:rFonts w:hint="eastAsia" w:ascii="宋体" w:hAnsi="宋体" w:eastAsia="宋体" w:cs="宋体"/>
                <w:b/>
                <w:bCs/>
                <w:szCs w:val="21"/>
              </w:rPr>
            </w:pPr>
            <w:r>
              <w:rPr>
                <w:rFonts w:hint="eastAsia" w:ascii="宋体" w:hAnsi="宋体" w:eastAsia="宋体" w:cs="宋体"/>
                <w:szCs w:val="21"/>
              </w:rPr>
              <w:t>提供材料详见招标文件第六章“商务和技术文件”</w:t>
            </w:r>
          </w:p>
        </w:tc>
      </w:tr>
      <w:tr w14:paraId="15DF0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5DF0C35">
            <w:pPr>
              <w:adjustRightInd w:val="0"/>
              <w:snapToGrid w:val="0"/>
              <w:spacing w:line="288" w:lineRule="auto"/>
              <w:jc w:val="center"/>
              <w:rPr>
                <w:rFonts w:hint="eastAsia" w:ascii="宋体" w:hAnsi="宋体" w:eastAsia="宋体" w:cs="宋体"/>
                <w:szCs w:val="21"/>
              </w:rPr>
            </w:pPr>
            <w:r>
              <w:rPr>
                <w:rFonts w:hint="eastAsia" w:ascii="宋体" w:hAnsi="宋体" w:eastAsia="宋体" w:cs="宋体"/>
                <w:szCs w:val="21"/>
              </w:rPr>
              <w:t>4</w:t>
            </w:r>
          </w:p>
        </w:tc>
        <w:tc>
          <w:tcPr>
            <w:tcW w:w="3256" w:type="dxa"/>
            <w:vAlign w:val="center"/>
          </w:tcPr>
          <w:p w14:paraId="15DF0C36">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政府采购支持科技创新</w:t>
            </w:r>
          </w:p>
        </w:tc>
        <w:tc>
          <w:tcPr>
            <w:tcW w:w="5529" w:type="dxa"/>
            <w:vAlign w:val="center"/>
          </w:tcPr>
          <w:p w14:paraId="15DF0C37">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提供材料详见招标文件第六章“商务和技术文件”</w:t>
            </w:r>
          </w:p>
        </w:tc>
      </w:tr>
      <w:tr w14:paraId="15DF0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5DF0C39">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szCs w:val="21"/>
              </w:rPr>
              <w:t>5</w:t>
            </w:r>
          </w:p>
        </w:tc>
        <w:tc>
          <w:tcPr>
            <w:tcW w:w="3256" w:type="dxa"/>
            <w:vAlign w:val="center"/>
          </w:tcPr>
          <w:p w14:paraId="15DF0C3A">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政府采购促进中小企业发展</w:t>
            </w:r>
          </w:p>
        </w:tc>
        <w:tc>
          <w:tcPr>
            <w:tcW w:w="5529" w:type="dxa"/>
            <w:vAlign w:val="center"/>
          </w:tcPr>
          <w:p w14:paraId="15DF0C3B">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提供材料详见招标文件第六章“报价文件”</w:t>
            </w:r>
          </w:p>
          <w:p w14:paraId="15DF0C3C">
            <w:pPr>
              <w:adjustRightInd w:val="0"/>
              <w:snapToGrid w:val="0"/>
              <w:spacing w:line="288" w:lineRule="auto"/>
              <w:jc w:val="left"/>
              <w:rPr>
                <w:rFonts w:hint="eastAsia" w:ascii="宋体" w:hAnsi="宋体" w:eastAsia="宋体" w:cs="Times New Roman"/>
                <w:b/>
                <w:bCs/>
                <w:szCs w:val="21"/>
              </w:rPr>
            </w:pPr>
            <w:r>
              <w:rPr>
                <w:rFonts w:hint="eastAsia" w:ascii="宋体" w:hAnsi="宋体" w:eastAsia="宋体" w:cs="Times New Roman"/>
                <w:b/>
                <w:bCs/>
                <w:szCs w:val="21"/>
              </w:rPr>
              <w:t>本项目属性为：货物</w:t>
            </w:r>
          </w:p>
          <w:p w14:paraId="15DF0C3D">
            <w:pPr>
              <w:adjustRightInd w:val="0"/>
              <w:snapToGrid w:val="0"/>
              <w:spacing w:line="288" w:lineRule="auto"/>
              <w:jc w:val="left"/>
              <w:rPr>
                <w:rFonts w:hint="eastAsia" w:ascii="宋体" w:hAnsi="宋体" w:eastAsia="宋体" w:cs="Times New Roman"/>
                <w:b/>
                <w:bCs/>
                <w:szCs w:val="21"/>
              </w:rPr>
            </w:pPr>
            <w:r>
              <w:rPr>
                <w:rFonts w:hint="eastAsia" w:ascii="宋体" w:hAnsi="宋体" w:eastAsia="宋体" w:cs="Times New Roman"/>
                <w:b/>
                <w:bCs/>
                <w:szCs w:val="21"/>
              </w:rPr>
              <w:t>采购标的对应的中小企业划分标准所属行业：工业</w:t>
            </w:r>
          </w:p>
          <w:p w14:paraId="15DF0C3E">
            <w:pPr>
              <w:adjustRightInd w:val="0"/>
              <w:snapToGrid w:val="0"/>
              <w:spacing w:line="288" w:lineRule="auto"/>
              <w:jc w:val="left"/>
              <w:rPr>
                <w:rFonts w:hint="eastAsia" w:ascii="宋体" w:hAnsi="宋体" w:eastAsia="宋体" w:cs="宋体"/>
                <w:b/>
                <w:bCs/>
                <w:szCs w:val="21"/>
              </w:rPr>
            </w:pPr>
            <w:r>
              <w:rPr>
                <w:rFonts w:hint="eastAsia" w:ascii="宋体" w:hAnsi="宋体" w:eastAsia="宋体" w:cs="Times New Roman"/>
                <w:b/>
                <w:bCs/>
                <w:szCs w:val="21"/>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15DF0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5DF0C40">
            <w:pPr>
              <w:adjustRightInd w:val="0"/>
              <w:snapToGrid w:val="0"/>
              <w:spacing w:line="288" w:lineRule="auto"/>
              <w:jc w:val="center"/>
              <w:rPr>
                <w:rFonts w:hint="eastAsia" w:ascii="宋体" w:hAnsi="宋体" w:eastAsia="宋体" w:cs="宋体"/>
                <w:szCs w:val="21"/>
              </w:rPr>
            </w:pPr>
            <w:r>
              <w:rPr>
                <w:rFonts w:hint="eastAsia" w:ascii="宋体" w:hAnsi="宋体" w:eastAsia="宋体" w:cs="宋体"/>
                <w:szCs w:val="21"/>
              </w:rPr>
              <w:t>6</w:t>
            </w:r>
          </w:p>
        </w:tc>
        <w:tc>
          <w:tcPr>
            <w:tcW w:w="3256" w:type="dxa"/>
            <w:vAlign w:val="center"/>
          </w:tcPr>
          <w:p w14:paraId="15DF0C41">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政府采购支持监狱企业发展</w:t>
            </w:r>
          </w:p>
        </w:tc>
        <w:tc>
          <w:tcPr>
            <w:tcW w:w="5529" w:type="dxa"/>
            <w:vAlign w:val="center"/>
          </w:tcPr>
          <w:p w14:paraId="15DF0C42">
            <w:pPr>
              <w:adjustRightInd w:val="0"/>
              <w:snapToGrid w:val="0"/>
              <w:spacing w:line="288" w:lineRule="auto"/>
              <w:jc w:val="left"/>
              <w:rPr>
                <w:rFonts w:hint="eastAsia" w:ascii="宋体" w:hAnsi="宋体" w:eastAsia="宋体" w:cs="Times New Roman"/>
                <w:b/>
                <w:bCs/>
                <w:szCs w:val="21"/>
              </w:rPr>
            </w:pPr>
            <w:r>
              <w:rPr>
                <w:rFonts w:hint="eastAsia" w:ascii="宋体" w:hAnsi="宋体" w:eastAsia="宋体" w:cs="宋体"/>
                <w:szCs w:val="21"/>
              </w:rPr>
              <w:t>提供材料详见招标文件第六章“报价文件”</w:t>
            </w:r>
          </w:p>
        </w:tc>
      </w:tr>
      <w:tr w14:paraId="15DF0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trPr>
        <w:tc>
          <w:tcPr>
            <w:tcW w:w="708" w:type="dxa"/>
            <w:vAlign w:val="center"/>
          </w:tcPr>
          <w:p w14:paraId="15DF0C44">
            <w:pPr>
              <w:adjustRightInd w:val="0"/>
              <w:snapToGrid w:val="0"/>
              <w:spacing w:line="288" w:lineRule="auto"/>
              <w:jc w:val="center"/>
              <w:rPr>
                <w:rFonts w:hint="eastAsia" w:ascii="宋体" w:hAnsi="宋体" w:eastAsia="宋体" w:cs="宋体"/>
                <w:szCs w:val="21"/>
              </w:rPr>
            </w:pPr>
            <w:r>
              <w:rPr>
                <w:rFonts w:hint="eastAsia" w:ascii="宋体" w:hAnsi="宋体" w:eastAsia="宋体" w:cs="宋体"/>
                <w:szCs w:val="21"/>
              </w:rPr>
              <w:t>7</w:t>
            </w:r>
          </w:p>
        </w:tc>
        <w:tc>
          <w:tcPr>
            <w:tcW w:w="3256" w:type="dxa"/>
            <w:vAlign w:val="center"/>
          </w:tcPr>
          <w:p w14:paraId="15DF0C45">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政府采购促进残疾人就业</w:t>
            </w:r>
          </w:p>
        </w:tc>
        <w:tc>
          <w:tcPr>
            <w:tcW w:w="5529" w:type="dxa"/>
            <w:vAlign w:val="center"/>
          </w:tcPr>
          <w:p w14:paraId="15DF0C46">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提供材料详见招标文件第六章“报价文件”</w:t>
            </w:r>
          </w:p>
        </w:tc>
      </w:tr>
      <w:bookmarkEnd w:id="35"/>
    </w:tbl>
    <w:p w14:paraId="15DF0C48">
      <w:pPr>
        <w:adjustRightInd w:val="0"/>
        <w:snapToGrid w:val="0"/>
        <w:spacing w:line="288" w:lineRule="auto"/>
        <w:rPr>
          <w:rFonts w:hint="eastAsia" w:ascii="宋体" w:hAnsi="宋体" w:eastAsia="宋体" w:cs="Times New Roman"/>
          <w:b/>
          <w:spacing w:val="-4"/>
          <w:szCs w:val="21"/>
        </w:rPr>
      </w:pPr>
    </w:p>
    <w:p w14:paraId="15DF0C49">
      <w:pPr>
        <w:adjustRightInd w:val="0"/>
        <w:snapToGrid w:val="0"/>
        <w:spacing w:line="288" w:lineRule="auto"/>
        <w:outlineLvl w:val="1"/>
        <w:rPr>
          <w:rFonts w:hint="eastAsia" w:ascii="宋体" w:hAnsi="宋体" w:eastAsia="宋体" w:cs="Times New Roman"/>
          <w:b/>
          <w:szCs w:val="21"/>
        </w:rPr>
      </w:pPr>
      <w:r>
        <w:rPr>
          <w:rFonts w:hint="eastAsia" w:ascii="宋体" w:hAnsi="宋体" w:eastAsia="宋体" w:cs="Times New Roman"/>
          <w:b/>
          <w:szCs w:val="21"/>
        </w:rPr>
        <w:t>二、采购资金的支付方式、时间、条件</w:t>
      </w:r>
    </w:p>
    <w:tbl>
      <w:tblPr>
        <w:tblStyle w:val="23"/>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69"/>
        <w:gridCol w:w="7759"/>
      </w:tblGrid>
      <w:tr w14:paraId="15DF0C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14:paraId="15DF0C4A">
            <w:pPr>
              <w:adjustRightInd w:val="0"/>
              <w:snapToGrid w:val="0"/>
              <w:spacing w:line="288" w:lineRule="auto"/>
              <w:jc w:val="center"/>
              <w:rPr>
                <w:rFonts w:hint="eastAsia" w:ascii="宋体" w:hAnsi="宋体" w:eastAsia="宋体" w:cs="Times New Roman"/>
                <w:b/>
                <w:spacing w:val="-6"/>
                <w:szCs w:val="21"/>
              </w:rPr>
            </w:pPr>
            <w:r>
              <w:rPr>
                <w:rFonts w:hint="eastAsia" w:ascii="宋体" w:hAnsi="宋体" w:eastAsia="宋体" w:cs="Times New Roman"/>
                <w:b/>
                <w:spacing w:val="-6"/>
                <w:szCs w:val="21"/>
                <w:lang w:bidi="ar"/>
              </w:rPr>
              <w:t>▲履约保证金</w:t>
            </w:r>
          </w:p>
        </w:tc>
        <w:tc>
          <w:tcPr>
            <w:tcW w:w="7759" w:type="dxa"/>
            <w:tcBorders>
              <w:top w:val="single" w:color="auto" w:sz="4" w:space="0"/>
              <w:left w:val="single" w:color="auto" w:sz="4" w:space="0"/>
              <w:bottom w:val="single" w:color="auto" w:sz="4" w:space="0"/>
              <w:right w:val="single" w:color="auto" w:sz="4" w:space="0"/>
            </w:tcBorders>
            <w:vAlign w:val="center"/>
          </w:tcPr>
          <w:p w14:paraId="15DF0C4B">
            <w:pPr>
              <w:adjustRightInd w:val="0"/>
              <w:snapToGrid w:val="0"/>
              <w:spacing w:line="288" w:lineRule="auto"/>
              <w:rPr>
                <w:rFonts w:hint="eastAsia" w:ascii="宋体" w:hAnsi="宋体" w:eastAsia="宋体" w:cs="宋体"/>
                <w:spacing w:val="-6"/>
                <w:kern w:val="0"/>
                <w:szCs w:val="21"/>
              </w:rPr>
            </w:pPr>
            <w:r>
              <w:rPr>
                <w:rFonts w:hint="eastAsia" w:ascii="宋体" w:hAnsi="宋体" w:eastAsia="宋体" w:cs="宋体"/>
                <w:spacing w:val="-6"/>
                <w:kern w:val="0"/>
                <w:szCs w:val="21"/>
                <w:lang w:bidi="ar"/>
              </w:rPr>
              <w:t>1.合同签订后5个工作日内，中标人向采购人提交合同总价1%的履约保证金，履约保证金在合同履约期间无违约情形的，项目验收结束后，于7个工作日内退还（不计息）；</w:t>
            </w:r>
          </w:p>
          <w:p w14:paraId="15DF0C4C">
            <w:pPr>
              <w:adjustRightInd w:val="0"/>
              <w:snapToGrid w:val="0"/>
              <w:spacing w:line="288" w:lineRule="auto"/>
              <w:rPr>
                <w:rFonts w:hint="eastAsia" w:ascii="宋体" w:hAnsi="宋体" w:eastAsia="宋体" w:cs="宋体"/>
                <w:spacing w:val="-6"/>
                <w:kern w:val="0"/>
                <w:szCs w:val="21"/>
              </w:rPr>
            </w:pPr>
            <w:r>
              <w:rPr>
                <w:rFonts w:hint="eastAsia" w:ascii="宋体" w:hAnsi="宋体" w:eastAsia="宋体" w:cs="宋体"/>
                <w:spacing w:val="-6"/>
                <w:kern w:val="0"/>
                <w:szCs w:val="21"/>
                <w:lang w:bidi="ar"/>
              </w:rPr>
              <w:t>2.提交方式：支票、汇票、本票或金融机构、担保机构出具的保函等非现金形式。</w:t>
            </w:r>
          </w:p>
          <w:p w14:paraId="15DF0C4D">
            <w:pPr>
              <w:adjustRightInd w:val="0"/>
              <w:snapToGrid w:val="0"/>
              <w:spacing w:line="288" w:lineRule="auto"/>
              <w:rPr>
                <w:rFonts w:hint="eastAsia" w:ascii="宋体" w:hAnsi="宋体" w:eastAsia="宋体" w:cs="宋体"/>
                <w:spacing w:val="-6"/>
                <w:kern w:val="0"/>
                <w:szCs w:val="21"/>
              </w:rPr>
            </w:pPr>
            <w:r>
              <w:rPr>
                <w:rFonts w:hint="eastAsia" w:ascii="宋体" w:hAnsi="宋体" w:eastAsia="宋体" w:cs="宋体"/>
                <w:spacing w:val="-6"/>
                <w:kern w:val="0"/>
                <w:szCs w:val="21"/>
                <w:lang w:bidi="ar"/>
              </w:rPr>
              <w:t>注：履约保证金如采用银行转账方式提交，具体转账信息如下：</w:t>
            </w:r>
          </w:p>
          <w:p w14:paraId="15DF0C4E">
            <w:pPr>
              <w:adjustRightInd w:val="0"/>
              <w:snapToGrid w:val="0"/>
              <w:spacing w:line="288" w:lineRule="auto"/>
              <w:rPr>
                <w:rFonts w:hint="eastAsia" w:ascii="宋体" w:hAnsi="宋体" w:eastAsia="宋体" w:cs="宋体"/>
                <w:spacing w:val="-6"/>
                <w:kern w:val="0"/>
                <w:szCs w:val="21"/>
              </w:rPr>
            </w:pPr>
            <w:r>
              <w:rPr>
                <w:rFonts w:hint="eastAsia" w:ascii="宋体" w:hAnsi="宋体" w:eastAsia="宋体" w:cs="宋体"/>
                <w:spacing w:val="-6"/>
                <w:kern w:val="0"/>
                <w:szCs w:val="21"/>
                <w:lang w:bidi="ar"/>
              </w:rPr>
              <w:t>收款单位（户名）：杭州电子科技大学</w:t>
            </w:r>
          </w:p>
          <w:p w14:paraId="15DF0C4F">
            <w:pPr>
              <w:adjustRightInd w:val="0"/>
              <w:snapToGrid w:val="0"/>
              <w:spacing w:line="288" w:lineRule="auto"/>
              <w:rPr>
                <w:rFonts w:hint="eastAsia" w:ascii="宋体" w:hAnsi="宋体" w:eastAsia="宋体" w:cs="宋体"/>
                <w:spacing w:val="-6"/>
                <w:kern w:val="0"/>
                <w:szCs w:val="21"/>
              </w:rPr>
            </w:pPr>
            <w:r>
              <w:rPr>
                <w:rFonts w:hint="eastAsia" w:ascii="宋体" w:hAnsi="宋体" w:eastAsia="宋体" w:cs="宋体"/>
                <w:spacing w:val="-6"/>
                <w:kern w:val="0"/>
                <w:szCs w:val="21"/>
                <w:lang w:bidi="ar"/>
              </w:rPr>
              <w:t>开户银行：工行高新支行</w:t>
            </w:r>
          </w:p>
          <w:p w14:paraId="15DF0C50">
            <w:pPr>
              <w:adjustRightInd w:val="0"/>
              <w:snapToGrid w:val="0"/>
              <w:spacing w:line="288" w:lineRule="auto"/>
              <w:rPr>
                <w:rFonts w:hint="eastAsia" w:ascii="宋体" w:hAnsi="宋体" w:eastAsia="宋体" w:cs="宋体"/>
                <w:spacing w:val="-6"/>
                <w:kern w:val="0"/>
                <w:szCs w:val="21"/>
              </w:rPr>
            </w:pPr>
            <w:r>
              <w:rPr>
                <w:rFonts w:hint="eastAsia" w:ascii="宋体" w:hAnsi="宋体" w:eastAsia="宋体" w:cs="宋体"/>
                <w:spacing w:val="-6"/>
                <w:kern w:val="0"/>
                <w:szCs w:val="21"/>
                <w:lang w:bidi="ar"/>
              </w:rPr>
              <w:t>银行账号：1202026209008806216</w:t>
            </w:r>
          </w:p>
        </w:tc>
      </w:tr>
      <w:tr w14:paraId="15DF0C5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0" w:hRule="atLeast"/>
        </w:trPr>
        <w:tc>
          <w:tcPr>
            <w:tcW w:w="1869" w:type="dxa"/>
            <w:tcBorders>
              <w:top w:val="single" w:color="auto" w:sz="4" w:space="0"/>
              <w:left w:val="single" w:color="auto" w:sz="4" w:space="0"/>
              <w:bottom w:val="single" w:color="auto" w:sz="4" w:space="0"/>
              <w:right w:val="single" w:color="auto" w:sz="4" w:space="0"/>
            </w:tcBorders>
            <w:vAlign w:val="center"/>
          </w:tcPr>
          <w:p w14:paraId="15DF0C52">
            <w:pPr>
              <w:adjustRightInd w:val="0"/>
              <w:snapToGrid w:val="0"/>
              <w:spacing w:line="288" w:lineRule="auto"/>
              <w:jc w:val="center"/>
              <w:rPr>
                <w:rFonts w:hint="eastAsia" w:ascii="宋体" w:hAnsi="宋体" w:eastAsia="宋体" w:cs="Times New Roman"/>
                <w:b/>
                <w:spacing w:val="-6"/>
                <w:szCs w:val="21"/>
              </w:rPr>
            </w:pPr>
            <w:bookmarkStart w:id="36" w:name="_Hlk45005608"/>
            <w:r>
              <w:rPr>
                <w:rFonts w:hint="eastAsia" w:ascii="宋体" w:hAnsi="宋体" w:eastAsia="宋体" w:cs="Times New Roman"/>
                <w:b/>
                <w:spacing w:val="-6"/>
                <w:szCs w:val="21"/>
              </w:rPr>
              <w:t>▲付款方式</w:t>
            </w:r>
          </w:p>
        </w:tc>
        <w:tc>
          <w:tcPr>
            <w:tcW w:w="7759" w:type="dxa"/>
            <w:tcBorders>
              <w:top w:val="single" w:color="auto" w:sz="4" w:space="0"/>
              <w:left w:val="single" w:color="auto" w:sz="4" w:space="0"/>
              <w:bottom w:val="single" w:color="auto" w:sz="4" w:space="0"/>
              <w:right w:val="single" w:color="auto" w:sz="4" w:space="0"/>
            </w:tcBorders>
            <w:vAlign w:val="center"/>
          </w:tcPr>
          <w:p w14:paraId="15DF0C53">
            <w:pPr>
              <w:autoSpaceDE w:val="0"/>
              <w:autoSpaceDN w:val="0"/>
              <w:adjustRightInd w:val="0"/>
              <w:snapToGrid w:val="0"/>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1.供应商为中小企业的，合同生效以及具备实施条件后7个工作日内，且供应商已向采购人提交银行、保险公司等金融机构出具的预付款保函的，采购人向供应商支付合同总价的50%；货物在供应商安装调试完毕并经采购人验收合格后，采购人在收到发票后7个工作日内，向供应商支付合同总价的50%；</w:t>
            </w:r>
          </w:p>
          <w:p w14:paraId="15DF0C54">
            <w:pPr>
              <w:autoSpaceDE w:val="0"/>
              <w:autoSpaceDN w:val="0"/>
              <w:adjustRightInd w:val="0"/>
              <w:snapToGrid w:val="0"/>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2.供应商为大型企业的，合同生效以及具备实施条件后7个工作日内，且供应商已向采购人提交银行、保险公司等金融机构出具的预付款保函的，采购人向供应商支付合同总价的</w:t>
            </w:r>
            <w:r>
              <w:rPr>
                <w:rFonts w:hint="eastAsia" w:ascii="宋体" w:hAnsi="宋体" w:eastAsia="宋体" w:cs="宋体"/>
                <w:spacing w:val="-6"/>
                <w:kern w:val="0"/>
                <w:szCs w:val="21"/>
                <w:lang w:val="en-US" w:eastAsia="zh-CN"/>
              </w:rPr>
              <w:t>5</w:t>
            </w:r>
            <w:r>
              <w:rPr>
                <w:rFonts w:hint="eastAsia" w:ascii="宋体" w:hAnsi="宋体" w:eastAsia="宋体" w:cs="宋体"/>
                <w:spacing w:val="-6"/>
                <w:kern w:val="0"/>
                <w:szCs w:val="21"/>
              </w:rPr>
              <w:t>0%；货物在供应商安装调试完毕并经采购人验收合格后，采购人在收到发票后7个工作日内，向供应商支付合同总价的</w:t>
            </w:r>
            <w:r>
              <w:rPr>
                <w:rFonts w:hint="eastAsia" w:ascii="宋体" w:hAnsi="宋体" w:eastAsia="宋体" w:cs="宋体"/>
                <w:spacing w:val="-6"/>
                <w:kern w:val="0"/>
                <w:szCs w:val="21"/>
                <w:lang w:val="en-US" w:eastAsia="zh-CN"/>
              </w:rPr>
              <w:t>5</w:t>
            </w:r>
            <w:bookmarkStart w:id="77" w:name="_GoBack"/>
            <w:bookmarkEnd w:id="77"/>
            <w:r>
              <w:rPr>
                <w:rFonts w:hint="eastAsia" w:ascii="宋体" w:hAnsi="宋体" w:eastAsia="宋体" w:cs="宋体"/>
                <w:spacing w:val="-6"/>
                <w:kern w:val="0"/>
                <w:szCs w:val="21"/>
              </w:rPr>
              <w:t>0%。</w:t>
            </w:r>
          </w:p>
          <w:p w14:paraId="15DF0C55">
            <w:pPr>
              <w:autoSpaceDE w:val="0"/>
              <w:autoSpaceDN w:val="0"/>
              <w:adjustRightInd w:val="0"/>
              <w:snapToGrid w:val="0"/>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3.在签订合同时，供应商明确表示无需预付款或者主动要求降低预付款比例的，可降低预付款比例（预付款保函同步调整）。</w:t>
            </w:r>
          </w:p>
          <w:p w14:paraId="15DF0C56">
            <w:pPr>
              <w:autoSpaceDE w:val="0"/>
              <w:autoSpaceDN w:val="0"/>
              <w:adjustRightInd w:val="0"/>
              <w:snapToGrid w:val="0"/>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4.若供应商收取预付款，要求预付款保函有效期覆盖项目验收合格时间；提供了预付款保函则供应商无需再缴纳履约保证金。</w:t>
            </w:r>
          </w:p>
          <w:p w14:paraId="15DF0C57">
            <w:pPr>
              <w:autoSpaceDE w:val="0"/>
              <w:autoSpaceDN w:val="0"/>
              <w:adjustRightInd w:val="0"/>
              <w:snapToGrid w:val="0"/>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5.签订合同时中标人明确表示无需预付款的，可以采用以下付款方式：</w:t>
            </w:r>
          </w:p>
          <w:p w14:paraId="15DF0C58">
            <w:pPr>
              <w:autoSpaceDE w:val="0"/>
              <w:autoSpaceDN w:val="0"/>
              <w:adjustRightInd w:val="0"/>
              <w:snapToGrid w:val="0"/>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①货到分期付款：货物送达并经采购人初步验收并收到发票后10个工作日内，采购人向中标人支付合同总价的70%；货物由中标人安装调试完毕并经采购人验收合格后，收到发票后10个工作日内，采购人向中标人支付合同总价的30%。</w:t>
            </w:r>
          </w:p>
          <w:p w14:paraId="15DF0C59">
            <w:pPr>
              <w:autoSpaceDE w:val="0"/>
              <w:autoSpaceDN w:val="0"/>
              <w:adjustRightInd w:val="0"/>
              <w:snapToGrid w:val="0"/>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②货到一次性支付：全部货物送达安装调试完毕，经采购人验收合格，收到发票后10个工作日内，采购人向中标人支付全部合同价款。</w:t>
            </w:r>
          </w:p>
          <w:p w14:paraId="15DF0C5A">
            <w:pPr>
              <w:autoSpaceDE w:val="0"/>
              <w:autoSpaceDN w:val="0"/>
              <w:adjustRightInd w:val="0"/>
              <w:snapToGrid w:val="0"/>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注：付款前，中标人须交纳合同约定的履约保证金（如有）并提供采购人财务处开具的履约保证金收据，中标人向采购人开具等额有效的合格增值税专用发票。采购人开票信息如下：</w:t>
            </w:r>
          </w:p>
          <w:p w14:paraId="15DF0C5B">
            <w:pPr>
              <w:autoSpaceDE w:val="0"/>
              <w:autoSpaceDN w:val="0"/>
              <w:adjustRightInd w:val="0"/>
              <w:snapToGrid w:val="0"/>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单位名称：杭州电子科技大学。税号：12330000470009026T</w:t>
            </w:r>
          </w:p>
          <w:p w14:paraId="15DF0C5C">
            <w:pPr>
              <w:autoSpaceDE w:val="0"/>
              <w:autoSpaceDN w:val="0"/>
              <w:adjustRightInd w:val="0"/>
              <w:snapToGrid w:val="0"/>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开户银行：工行杭州高新支行。账号：1202026209008806216</w:t>
            </w:r>
          </w:p>
        </w:tc>
      </w:tr>
      <w:bookmarkEnd w:id="36"/>
    </w:tbl>
    <w:p w14:paraId="15DF0C5E">
      <w:pPr>
        <w:adjustRightInd w:val="0"/>
        <w:snapToGrid w:val="0"/>
        <w:spacing w:line="288" w:lineRule="auto"/>
        <w:rPr>
          <w:rFonts w:hint="eastAsia" w:ascii="宋体" w:hAnsi="宋体" w:eastAsia="宋体" w:cs="Times New Roman"/>
          <w:spacing w:val="-4"/>
          <w:szCs w:val="21"/>
        </w:rPr>
      </w:pPr>
    </w:p>
    <w:p w14:paraId="15DF0C5F">
      <w:pPr>
        <w:adjustRightInd w:val="0"/>
        <w:snapToGrid w:val="0"/>
        <w:spacing w:line="288" w:lineRule="auto"/>
        <w:outlineLvl w:val="1"/>
        <w:rPr>
          <w:rFonts w:hint="eastAsia" w:ascii="宋体" w:hAnsi="宋体" w:eastAsia="宋体" w:cs="Times New Roman"/>
          <w:b/>
          <w:szCs w:val="21"/>
        </w:rPr>
      </w:pPr>
      <w:r>
        <w:rPr>
          <w:rFonts w:hint="eastAsia" w:ascii="宋体" w:hAnsi="宋体" w:eastAsia="宋体" w:cs="Times New Roman"/>
          <w:b/>
          <w:szCs w:val="21"/>
        </w:rPr>
        <w:t>三、服务要求（技术要求里另有注明的以技术要求为准）</w:t>
      </w:r>
    </w:p>
    <w:tbl>
      <w:tblPr>
        <w:tblStyle w:val="23"/>
        <w:tblW w:w="9498"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14:paraId="15DF0C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15DF0C60">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14:paraId="15DF0C61">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自合同签订之日起60个工作日内交付</w:t>
            </w:r>
          </w:p>
        </w:tc>
      </w:tr>
      <w:tr w14:paraId="15DF0C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15DF0C63">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14:paraId="15DF0C64">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采购人指定地点</w:t>
            </w:r>
          </w:p>
        </w:tc>
      </w:tr>
      <w:tr w14:paraId="15DF0C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15DF0C66">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szCs w:val="21"/>
              </w:rPr>
              <w:t>▲</w:t>
            </w:r>
            <w:r>
              <w:rPr>
                <w:rFonts w:hint="eastAsia" w:ascii="宋体" w:hAnsi="宋体" w:eastAsia="宋体" w:cs="宋体"/>
                <w:b/>
                <w:bCs/>
                <w:szCs w:val="21"/>
              </w:rPr>
              <w:t>质保期</w:t>
            </w:r>
          </w:p>
        </w:tc>
        <w:tc>
          <w:tcPr>
            <w:tcW w:w="7655" w:type="dxa"/>
            <w:tcBorders>
              <w:top w:val="single" w:color="auto" w:sz="4" w:space="0"/>
              <w:left w:val="single" w:color="auto" w:sz="4" w:space="0"/>
              <w:bottom w:val="single" w:color="auto" w:sz="4" w:space="0"/>
              <w:right w:val="single" w:color="auto" w:sz="4" w:space="0"/>
            </w:tcBorders>
            <w:vAlign w:val="center"/>
          </w:tcPr>
          <w:p w14:paraId="15DF0C67">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3年，项目验收合格后开始计算。</w:t>
            </w:r>
          </w:p>
        </w:tc>
      </w:tr>
      <w:tr w14:paraId="15DF0C7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15DF0C69">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14:paraId="15DF0C6A">
            <w:pPr>
              <w:adjustRightInd w:val="0"/>
              <w:snapToGrid w:val="0"/>
              <w:spacing w:line="288" w:lineRule="auto"/>
              <w:rPr>
                <w:rFonts w:hint="eastAsia" w:ascii="宋体" w:hAnsi="宋体" w:eastAsia="宋体" w:cs="宋体"/>
                <w:szCs w:val="21"/>
              </w:rPr>
            </w:pPr>
            <w:r>
              <w:rPr>
                <w:rFonts w:ascii="宋体" w:hAnsi="宋体" w:eastAsia="宋体" w:cs="宋体"/>
                <w:szCs w:val="21"/>
              </w:rPr>
              <w:t>1</w:t>
            </w:r>
            <w:r>
              <w:rPr>
                <w:rFonts w:hint="eastAsia" w:ascii="宋体" w:hAnsi="宋体" w:eastAsia="宋体" w:cs="宋体"/>
                <w:szCs w:val="21"/>
              </w:rPr>
              <w:t>.在质保期内，供应商应对货物出现的质量及安全问题负责处理解决并承担一切费用。</w:t>
            </w:r>
          </w:p>
          <w:p w14:paraId="15DF0C6B">
            <w:pPr>
              <w:adjustRightInd w:val="0"/>
              <w:snapToGrid w:val="0"/>
              <w:spacing w:line="288" w:lineRule="auto"/>
              <w:rPr>
                <w:rFonts w:hint="eastAsia" w:ascii="宋体" w:hAnsi="宋体" w:eastAsia="宋体" w:cs="宋体"/>
                <w:szCs w:val="21"/>
              </w:rPr>
            </w:pPr>
            <w:r>
              <w:rPr>
                <w:rFonts w:ascii="宋体" w:hAnsi="宋体" w:eastAsia="宋体" w:cs="宋体"/>
                <w:szCs w:val="21"/>
              </w:rPr>
              <w:t>2.</w:t>
            </w:r>
            <w:r>
              <w:rPr>
                <w:rFonts w:hint="eastAsia" w:ascii="宋体" w:hAnsi="宋体" w:eastAsia="宋体" w:cs="宋体"/>
                <w:szCs w:val="21"/>
              </w:rPr>
              <w:t>质保期内出现无法排除的故障，供应商需无条件更换同型号产品。</w:t>
            </w:r>
          </w:p>
          <w:p w14:paraId="15DF0C6C">
            <w:pPr>
              <w:adjustRightInd w:val="0"/>
              <w:snapToGrid w:val="0"/>
              <w:spacing w:line="288" w:lineRule="auto"/>
              <w:rPr>
                <w:rFonts w:hint="eastAsia" w:ascii="宋体" w:hAnsi="宋体" w:eastAsia="宋体" w:cs="宋体"/>
                <w:szCs w:val="21"/>
              </w:rPr>
            </w:pPr>
            <w:r>
              <w:rPr>
                <w:rFonts w:ascii="宋体" w:hAnsi="宋体" w:eastAsia="宋体" w:cs="宋体"/>
                <w:szCs w:val="21"/>
              </w:rPr>
              <w:t>3.</w:t>
            </w:r>
            <w:r>
              <w:rPr>
                <w:rFonts w:hint="eastAsia" w:ascii="宋体" w:hAnsi="宋体" w:eastAsia="宋体" w:cs="宋体"/>
                <w:szCs w:val="21"/>
              </w:rPr>
              <w:t>质保期满后，供应商继续为采购人服务，仅收取零配件成本费。</w:t>
            </w:r>
          </w:p>
          <w:p w14:paraId="15DF0C6D">
            <w:pPr>
              <w:adjustRightInd w:val="0"/>
              <w:snapToGrid w:val="0"/>
              <w:spacing w:line="288" w:lineRule="auto"/>
              <w:rPr>
                <w:rFonts w:hint="eastAsia" w:ascii="宋体" w:hAnsi="宋体" w:eastAsia="宋体" w:cs="宋体"/>
                <w:szCs w:val="21"/>
              </w:rPr>
            </w:pPr>
            <w:r>
              <w:rPr>
                <w:rFonts w:ascii="宋体" w:hAnsi="宋体" w:eastAsia="宋体" w:cs="宋体"/>
                <w:szCs w:val="21"/>
              </w:rPr>
              <w:t>4.</w:t>
            </w:r>
            <w:r>
              <w:rPr>
                <w:rFonts w:hint="eastAsia" w:ascii="宋体" w:hAnsi="宋体" w:eastAsia="宋体" w:cs="宋体"/>
                <w:szCs w:val="21"/>
              </w:rPr>
              <w:t>因人为因素出现的故障不在免费保修范围内。</w:t>
            </w:r>
          </w:p>
          <w:p w14:paraId="15DF0C6E">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5.远程技术支持：供应商应具有稳定的技术支持队伍和完善的服务支持网络，提供7×24小时技术支持服务，及时响应采购人的技术服务支持需求，提出有效的解决方案，解决采购人在货物使用过程中遇到的实际问题。</w:t>
            </w:r>
          </w:p>
          <w:p w14:paraId="15DF0C6F">
            <w:pPr>
              <w:adjustRightInd w:val="0"/>
              <w:snapToGrid w:val="0"/>
              <w:spacing w:line="288" w:lineRule="auto"/>
              <w:rPr>
                <w:rFonts w:hint="eastAsia" w:ascii="宋体" w:hAnsi="宋体" w:eastAsia="宋体" w:cs="宋体"/>
                <w:szCs w:val="21"/>
                <w:u w:val="single"/>
              </w:rPr>
            </w:pPr>
            <w:r>
              <w:rPr>
                <w:rFonts w:hint="eastAsia" w:ascii="宋体" w:hAnsi="宋体" w:eastAsia="宋体" w:cs="宋体"/>
                <w:szCs w:val="21"/>
                <w:lang w:bidi="ar"/>
              </w:rPr>
              <w:t>5.</w:t>
            </w:r>
            <w:r>
              <w:rPr>
                <w:rFonts w:hint="eastAsia" w:ascii="宋体" w:hAnsi="宋体" w:eastAsia="宋体" w:cs="宋体"/>
                <w:szCs w:val="21"/>
                <w:u w:val="single"/>
                <w:lang w:bidi="ar"/>
              </w:rPr>
              <w:t>如在使用过程中发生质量问题，供应商维修响应时间：1小时以内；</w:t>
            </w:r>
          </w:p>
          <w:p w14:paraId="15DF0C70">
            <w:pPr>
              <w:adjustRightInd w:val="0"/>
              <w:snapToGrid w:val="0"/>
              <w:spacing w:line="288" w:lineRule="auto"/>
              <w:rPr>
                <w:rFonts w:hint="eastAsia" w:ascii="宋体" w:hAnsi="宋体" w:eastAsia="宋体" w:cs="宋体"/>
                <w:szCs w:val="21"/>
                <w:u w:val="single"/>
              </w:rPr>
            </w:pPr>
            <w:r>
              <w:rPr>
                <w:rFonts w:hint="eastAsia" w:ascii="宋体" w:hAnsi="宋体" w:eastAsia="宋体" w:cs="宋体"/>
                <w:szCs w:val="21"/>
                <w:u w:val="single"/>
                <w:lang w:bidi="ar"/>
              </w:rPr>
              <w:t>电话技术支持时间：2小时以内；</w:t>
            </w:r>
          </w:p>
          <w:p w14:paraId="15DF0C71">
            <w:pPr>
              <w:spacing w:line="288" w:lineRule="auto"/>
              <w:rPr>
                <w:rFonts w:hint="eastAsia" w:ascii="宋体" w:hAnsi="宋体" w:eastAsia="宋体" w:cs="宋体"/>
                <w:szCs w:val="21"/>
                <w:u w:val="single"/>
              </w:rPr>
            </w:pPr>
            <w:r>
              <w:rPr>
                <w:rFonts w:hint="eastAsia" w:ascii="宋体" w:hAnsi="宋体" w:eastAsia="宋体" w:cs="宋体"/>
                <w:szCs w:val="21"/>
                <w:u w:val="single"/>
                <w:lang w:bidi="ar"/>
              </w:rPr>
              <w:t>对于通过电话、邮件等远程技术支持不能解决的问题，供应商应在24小时内派遣相关人员赶赴现场，48小时内维修完毕；发生紧急抢修事故的，供应商应在接到采购人通知后12小时内到达现场抢修，并于到达现场4小时之内排除故障。供应商未在约定时间内修复的或同一货物经2次维修后仍不能稳定、可靠运行的，采购人有权要求供应商免费更换</w:t>
            </w:r>
            <w:r>
              <w:rPr>
                <w:rFonts w:hint="eastAsia" w:ascii="宋体" w:hAnsi="宋体" w:eastAsia="宋体" w:cs="宋体"/>
                <w:szCs w:val="21"/>
                <w:u w:val="single"/>
              </w:rPr>
              <w:t>；</w:t>
            </w:r>
          </w:p>
          <w:p w14:paraId="15DF0C72">
            <w:pPr>
              <w:adjustRightInd w:val="0"/>
              <w:snapToGrid w:val="0"/>
              <w:spacing w:line="288" w:lineRule="auto"/>
              <w:rPr>
                <w:rFonts w:hint="eastAsia" w:ascii="宋体" w:hAnsi="宋体" w:eastAsia="宋体" w:cs="宋体"/>
                <w:szCs w:val="21"/>
                <w:u w:val="single"/>
              </w:rPr>
            </w:pPr>
            <w:r>
              <w:rPr>
                <w:rFonts w:hint="eastAsia" w:ascii="宋体" w:hAnsi="宋体" w:eastAsia="宋体" w:cs="宋体"/>
                <w:szCs w:val="21"/>
              </w:rPr>
              <w:t>6.供应商应提供详细的售后服务方案、售后服务承诺、售后服务保障措施。</w:t>
            </w:r>
          </w:p>
        </w:tc>
      </w:tr>
      <w:tr w14:paraId="15DF0C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15DF0C74">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14:paraId="15DF0C75">
            <w:pPr>
              <w:adjustRightInd w:val="0"/>
              <w:snapToGrid w:val="0"/>
              <w:spacing w:line="288" w:lineRule="auto"/>
              <w:rPr>
                <w:rFonts w:hint="eastAsia" w:ascii="宋体" w:hAnsi="宋体" w:eastAsia="宋体" w:cs="Times New Roman"/>
                <w:spacing w:val="-6"/>
                <w:szCs w:val="21"/>
              </w:rPr>
            </w:pPr>
            <w:r>
              <w:rPr>
                <w:rFonts w:hint="eastAsia" w:ascii="宋体" w:hAnsi="宋体" w:eastAsia="宋体" w:cs="宋体"/>
                <w:szCs w:val="21"/>
              </w:rPr>
              <w:t>▲1</w:t>
            </w:r>
            <w:r>
              <w:rPr>
                <w:rFonts w:ascii="宋体" w:hAnsi="宋体" w:eastAsia="宋体" w:cs="宋体"/>
                <w:szCs w:val="21"/>
              </w:rPr>
              <w:t>.</w:t>
            </w:r>
            <w:r>
              <w:rPr>
                <w:rFonts w:hint="eastAsia" w:ascii="宋体" w:hAnsi="宋体" w:eastAsia="宋体" w:cs="宋体"/>
                <w:szCs w:val="21"/>
              </w:rPr>
              <w:t>供应商应按招标文件规定向采购人提供全新的原装合格产品，产品应符合国家法律法规规定。</w:t>
            </w:r>
            <w:r>
              <w:rPr>
                <w:rFonts w:hint="eastAsia" w:ascii="宋体" w:hAnsi="宋体" w:eastAsia="宋体" w:cs="Times New Roman"/>
                <w:spacing w:val="-6"/>
                <w:szCs w:val="21"/>
              </w:rPr>
              <w:t>供应商应保证所提供的货物或其中任何一部分均不会侵犯第三方的知识产权。</w:t>
            </w:r>
          </w:p>
          <w:p w14:paraId="15DF0C76">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2.供应商应提供有关的全套技术文件。</w:t>
            </w:r>
          </w:p>
          <w:p w14:paraId="15DF0C77">
            <w:pPr>
              <w:adjustRightInd w:val="0"/>
              <w:snapToGrid w:val="0"/>
              <w:spacing w:line="288" w:lineRule="auto"/>
              <w:rPr>
                <w:rFonts w:hint="eastAsia" w:ascii="宋体" w:hAnsi="宋体" w:eastAsia="宋体" w:cs="宋体"/>
                <w:szCs w:val="21"/>
              </w:rPr>
            </w:pPr>
            <w:r>
              <w:rPr>
                <w:rFonts w:ascii="宋体" w:hAnsi="宋体" w:eastAsia="宋体" w:cs="宋体"/>
                <w:szCs w:val="21"/>
              </w:rPr>
              <w:t>3</w:t>
            </w:r>
            <w:r>
              <w:rPr>
                <w:rFonts w:hint="eastAsia" w:ascii="宋体" w:hAnsi="宋体" w:eastAsia="宋体" w:cs="宋体"/>
                <w:szCs w:val="21"/>
              </w:rPr>
              <w:t>.安装调试：</w:t>
            </w:r>
          </w:p>
          <w:p w14:paraId="15DF0C78">
            <w:pPr>
              <w:adjustRightInd w:val="0"/>
              <w:snapToGrid w:val="0"/>
              <w:spacing w:line="288" w:lineRule="auto"/>
              <w:rPr>
                <w:rFonts w:hint="eastAsia" w:ascii="宋体" w:hAnsi="宋体" w:eastAsia="宋体" w:cs="宋体"/>
                <w:szCs w:val="21"/>
              </w:rPr>
            </w:pPr>
            <w:r>
              <w:rPr>
                <w:rFonts w:ascii="宋体" w:hAnsi="宋体" w:eastAsia="宋体" w:cs="宋体"/>
                <w:szCs w:val="21"/>
              </w:rPr>
              <w:t>3</w:t>
            </w:r>
            <w:r>
              <w:rPr>
                <w:rFonts w:hint="eastAsia" w:ascii="宋体" w:hAnsi="宋体" w:eastAsia="宋体" w:cs="宋体"/>
                <w:szCs w:val="21"/>
              </w:rPr>
              <w:t>.1安装地点：采购人指定地点；</w:t>
            </w:r>
          </w:p>
          <w:p w14:paraId="15DF0C79">
            <w:pPr>
              <w:adjustRightInd w:val="0"/>
              <w:snapToGrid w:val="0"/>
              <w:spacing w:line="288" w:lineRule="auto"/>
              <w:rPr>
                <w:rFonts w:hint="eastAsia" w:ascii="宋体" w:hAnsi="宋体" w:eastAsia="宋体" w:cs="宋体"/>
                <w:szCs w:val="21"/>
              </w:rPr>
            </w:pPr>
            <w:r>
              <w:rPr>
                <w:rFonts w:ascii="宋体" w:hAnsi="宋体" w:eastAsia="宋体" w:cs="宋体"/>
                <w:szCs w:val="21"/>
              </w:rPr>
              <w:t>3</w:t>
            </w:r>
            <w:r>
              <w:rPr>
                <w:rFonts w:hint="eastAsia" w:ascii="宋体" w:hAnsi="宋体" w:eastAsia="宋体" w:cs="宋体"/>
                <w:szCs w:val="21"/>
              </w:rPr>
              <w:t>.2安装完成时间：接到采购人通知后在规定时间内完成安装和调试，如在规定的时间内由于供应商的原因不能完成安装和调试，供应商应承担由此给采购人造成的损失；</w:t>
            </w:r>
          </w:p>
          <w:p w14:paraId="15DF0C7A">
            <w:pPr>
              <w:adjustRightInd w:val="0"/>
              <w:snapToGrid w:val="0"/>
              <w:spacing w:line="288" w:lineRule="auto"/>
              <w:rPr>
                <w:rFonts w:hint="eastAsia" w:ascii="宋体" w:hAnsi="宋体" w:eastAsia="宋体" w:cs="宋体"/>
                <w:szCs w:val="21"/>
              </w:rPr>
            </w:pPr>
            <w:r>
              <w:rPr>
                <w:rFonts w:ascii="宋体" w:hAnsi="宋体" w:eastAsia="宋体" w:cs="宋体"/>
                <w:szCs w:val="21"/>
              </w:rPr>
              <w:t>3</w:t>
            </w:r>
            <w:r>
              <w:rPr>
                <w:rFonts w:hint="eastAsia" w:ascii="宋体" w:hAnsi="宋体" w:eastAsia="宋体" w:cs="宋体"/>
                <w:szCs w:val="21"/>
              </w:rPr>
              <w:t>.3如供应商委托国内代理（或其他机构）负责安装或配合安装应在签约时指明，但供应商仍要对合同货物及其安装质量负全部责任；</w:t>
            </w:r>
          </w:p>
          <w:p w14:paraId="15DF0C7B">
            <w:pPr>
              <w:adjustRightInd w:val="0"/>
              <w:snapToGrid w:val="0"/>
              <w:spacing w:line="288" w:lineRule="auto"/>
              <w:rPr>
                <w:rFonts w:hint="eastAsia" w:ascii="宋体" w:hAnsi="宋体" w:eastAsia="宋体" w:cs="宋体"/>
                <w:szCs w:val="21"/>
              </w:rPr>
            </w:pPr>
            <w:r>
              <w:rPr>
                <w:rFonts w:ascii="宋体" w:hAnsi="宋体" w:eastAsia="宋体" w:cs="宋体"/>
                <w:szCs w:val="21"/>
              </w:rPr>
              <w:t>3</w:t>
            </w:r>
            <w:r>
              <w:rPr>
                <w:rFonts w:hint="eastAsia" w:ascii="宋体" w:hAnsi="宋体" w:eastAsia="宋体" w:cs="宋体"/>
                <w:szCs w:val="21"/>
              </w:rPr>
              <w:t>.4安装标准：符合我国国家有关技术规范要求和技术标准，所有的软件和硬件必须保证同时安装到位；</w:t>
            </w:r>
          </w:p>
          <w:p w14:paraId="15DF0C7C">
            <w:pPr>
              <w:adjustRightInd w:val="0"/>
              <w:snapToGrid w:val="0"/>
              <w:spacing w:line="288" w:lineRule="auto"/>
              <w:rPr>
                <w:rFonts w:hint="eastAsia" w:ascii="宋体" w:hAnsi="宋体" w:eastAsia="宋体" w:cs="宋体"/>
                <w:szCs w:val="21"/>
              </w:rPr>
            </w:pPr>
            <w:r>
              <w:rPr>
                <w:rFonts w:ascii="宋体" w:hAnsi="宋体" w:eastAsia="宋体" w:cs="宋体"/>
                <w:szCs w:val="21"/>
              </w:rPr>
              <w:t>3</w:t>
            </w:r>
            <w:r>
              <w:rPr>
                <w:rFonts w:hint="eastAsia" w:ascii="宋体" w:hAnsi="宋体" w:eastAsia="宋体" w:cs="宋体"/>
                <w:szCs w:val="21"/>
              </w:rPr>
              <w:t>.5供应商免费提供合同货物的安装服务；</w:t>
            </w:r>
          </w:p>
          <w:p w14:paraId="15DF0C7D">
            <w:pPr>
              <w:adjustRightInd w:val="0"/>
              <w:snapToGrid w:val="0"/>
              <w:spacing w:line="288" w:lineRule="auto"/>
              <w:rPr>
                <w:rFonts w:hint="eastAsia" w:ascii="宋体" w:hAnsi="宋体" w:eastAsia="宋体" w:cs="宋体"/>
                <w:szCs w:val="21"/>
              </w:rPr>
            </w:pPr>
            <w:r>
              <w:rPr>
                <w:rFonts w:ascii="宋体" w:hAnsi="宋体" w:eastAsia="宋体" w:cs="宋体"/>
                <w:szCs w:val="21"/>
              </w:rPr>
              <w:t>3</w:t>
            </w:r>
            <w:r>
              <w:rPr>
                <w:rFonts w:hint="eastAsia" w:ascii="宋体" w:hAnsi="宋体" w:eastAsia="宋体" w:cs="宋体"/>
                <w:szCs w:val="21"/>
              </w:rPr>
              <w:t>.6供应商在投标文件中应提供安装调试计划和安装调试方案。</w:t>
            </w:r>
          </w:p>
          <w:p w14:paraId="15DF0C7E">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4.技术支持：</w:t>
            </w:r>
          </w:p>
          <w:p w14:paraId="15DF0C7F">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供应商应及时免费提供合同货物软件的升级，免费提供合同货物新功能和应用的资料。</w:t>
            </w:r>
          </w:p>
          <w:p w14:paraId="15DF0C80">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5.供应商应提供质保期满后主要零部件报价单、质保期满后维护费、软件升级及其相关服务内容；提供产品相关配件、附件、备品备件及耗材的准备和保障措施、消耗水平和成本方案。</w:t>
            </w:r>
          </w:p>
        </w:tc>
      </w:tr>
      <w:tr w14:paraId="15DF0C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15DF0C82">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培训</w:t>
            </w:r>
          </w:p>
        </w:tc>
        <w:tc>
          <w:tcPr>
            <w:tcW w:w="7655" w:type="dxa"/>
            <w:tcBorders>
              <w:top w:val="single" w:color="auto" w:sz="4" w:space="0"/>
              <w:left w:val="single" w:color="auto" w:sz="4" w:space="0"/>
              <w:bottom w:val="single" w:color="auto" w:sz="4" w:space="0"/>
              <w:right w:val="single" w:color="auto" w:sz="4" w:space="0"/>
            </w:tcBorders>
            <w:vAlign w:val="center"/>
          </w:tcPr>
          <w:p w14:paraId="15DF0C83">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1.供应商应对采购人的操作人员、维修人员免费进行培训；</w:t>
            </w:r>
          </w:p>
          <w:p w14:paraId="15DF0C84">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2.培训实现方式、时间、地点、人数应在投标文件中详细说明；</w:t>
            </w:r>
          </w:p>
          <w:p w14:paraId="15DF0C85">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3.供应商应提供相应的培训计划、培训范围，实施方案；</w:t>
            </w:r>
          </w:p>
          <w:p w14:paraId="15DF0C86">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4.供应商需提供完善售后服务方案及保障措施，需提供不少于3次的上门安装调试服务，提供详细的操作培训手册及至少3次的线上或线下操作培训。</w:t>
            </w:r>
          </w:p>
        </w:tc>
      </w:tr>
      <w:tr w14:paraId="15DF0C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15DF0C88">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14:paraId="15DF0C89">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1.验收由采购人负责实施；</w:t>
            </w:r>
          </w:p>
          <w:p w14:paraId="15DF0C8A">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2.验收依据：</w:t>
            </w:r>
          </w:p>
          <w:p w14:paraId="15DF0C8B">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2.1合同、招标文件、投标文件；</w:t>
            </w:r>
          </w:p>
          <w:p w14:paraId="15DF0C8C">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2.2供应商提供的技术规格、经采购人认可的合同货物的有效检验文件；</w:t>
            </w:r>
          </w:p>
          <w:p w14:paraId="15DF0C8D">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2.3供应商投标文件中提供的经采购人认可的合同货物的验收标准（符合中国有关的国家、地方、行业标准）和检测办法及相应检测手段。</w:t>
            </w:r>
          </w:p>
          <w:p w14:paraId="15DF0C8E">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3.供应商应派员在所供货物到采购人处时进行到货验收，有需要时能联系产品制造商到场共同验收，若发现任何损坏及质量问题，供应商负责妥善处理直至采购人满意，由此产生的费用由供应商承担。</w:t>
            </w:r>
          </w:p>
          <w:p w14:paraId="15DF0C8F">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4.验收合格的条件：</w:t>
            </w:r>
          </w:p>
          <w:p w14:paraId="15DF0C90">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4.1所供货物符合产品标准和合同的要求；</w:t>
            </w:r>
          </w:p>
          <w:p w14:paraId="15DF0C91">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4.2在进行测试和验收过程中发现的问题已被解决并得到采购人的认可；</w:t>
            </w:r>
          </w:p>
          <w:p w14:paraId="15DF0C92">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4.3合同中规定的所有货物和材料均已交付；</w:t>
            </w:r>
          </w:p>
          <w:p w14:paraId="15DF0C93">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4.4所供货物已通过使用单位组织的验收；</w:t>
            </w:r>
          </w:p>
          <w:p w14:paraId="15DF0C94">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4.5所有相关的技术文件及资料均已提交并得到接受。</w:t>
            </w:r>
          </w:p>
        </w:tc>
      </w:tr>
    </w:tbl>
    <w:p w14:paraId="15DF0C96">
      <w:pPr>
        <w:adjustRightInd w:val="0"/>
        <w:snapToGrid w:val="0"/>
        <w:spacing w:line="288" w:lineRule="auto"/>
        <w:rPr>
          <w:rFonts w:hint="eastAsia" w:ascii="宋体" w:hAnsi="宋体" w:eastAsia="宋体" w:cs="Times New Roman"/>
          <w:b/>
          <w:szCs w:val="21"/>
        </w:rPr>
      </w:pPr>
    </w:p>
    <w:p w14:paraId="15DF0C97">
      <w:pPr>
        <w:adjustRightInd w:val="0"/>
        <w:snapToGrid w:val="0"/>
        <w:spacing w:line="288" w:lineRule="auto"/>
        <w:outlineLvl w:val="1"/>
        <w:rPr>
          <w:rFonts w:hint="eastAsia" w:ascii="宋体" w:hAnsi="宋体" w:eastAsia="宋体" w:cs="Times New Roman"/>
          <w:b/>
          <w:szCs w:val="21"/>
        </w:rPr>
      </w:pPr>
      <w:r>
        <w:rPr>
          <w:rFonts w:hint="eastAsia" w:ascii="宋体" w:hAnsi="宋体" w:eastAsia="宋体" w:cs="Times New Roman"/>
          <w:b/>
          <w:szCs w:val="21"/>
        </w:rPr>
        <w:t>四、技术要求</w:t>
      </w:r>
    </w:p>
    <w:p w14:paraId="15DF0C98">
      <w:pPr>
        <w:adjustRightInd w:val="0"/>
        <w:snapToGrid w:val="0"/>
        <w:spacing w:line="288" w:lineRule="auto"/>
        <w:rPr>
          <w:rFonts w:hint="eastAsia" w:ascii="宋体" w:hAnsi="宋体" w:eastAsia="宋体" w:cs="宋体"/>
          <w:b/>
          <w:bCs/>
          <w:szCs w:val="21"/>
        </w:rPr>
      </w:pPr>
      <w:bookmarkStart w:id="37" w:name="_Hlk92271413"/>
      <w:r>
        <w:rPr>
          <w:rFonts w:hint="eastAsia" w:ascii="宋体" w:hAnsi="宋体" w:eastAsia="宋体" w:cs="宋体"/>
          <w:b/>
          <w:bCs/>
          <w:szCs w:val="21"/>
        </w:rPr>
        <w:t>1</w:t>
      </w:r>
      <w:r>
        <w:rPr>
          <w:rFonts w:ascii="宋体" w:hAnsi="宋体" w:eastAsia="宋体" w:cs="宋体"/>
          <w:b/>
          <w:bCs/>
          <w:szCs w:val="21"/>
        </w:rPr>
        <w:t>.</w:t>
      </w:r>
      <w:r>
        <w:rPr>
          <w:rFonts w:hint="eastAsia" w:ascii="宋体" w:hAnsi="宋体" w:eastAsia="宋体" w:cs="宋体"/>
          <w:b/>
          <w:bCs/>
          <w:szCs w:val="21"/>
        </w:rPr>
        <w:t>需执行的国家相关标准、行业标准、地方标准或者其他标准、规范：</w:t>
      </w:r>
      <w:bookmarkStart w:id="38" w:name="_Hlk94018176"/>
      <w:r>
        <w:rPr>
          <w:rFonts w:hint="eastAsia" w:ascii="宋体" w:hAnsi="宋体" w:eastAsia="宋体" w:cs="宋体"/>
          <w:szCs w:val="21"/>
        </w:rPr>
        <w:t>如技术要求中未注明需执行的国家相关标准、行业标准、地方标准或者其他标准、规范的，执行最新标准、规范。</w:t>
      </w:r>
      <w:bookmarkEnd w:id="38"/>
    </w:p>
    <w:bookmarkEnd w:id="37"/>
    <w:p w14:paraId="15DF0C99">
      <w:pPr>
        <w:adjustRightInd w:val="0"/>
        <w:snapToGrid w:val="0"/>
        <w:spacing w:line="288" w:lineRule="auto"/>
        <w:rPr>
          <w:rFonts w:hint="eastAsia" w:ascii="宋体" w:hAnsi="宋体" w:eastAsia="宋体" w:cs="宋体"/>
          <w:b/>
          <w:bCs/>
          <w:szCs w:val="21"/>
        </w:rPr>
      </w:pPr>
      <w:r>
        <w:rPr>
          <w:rFonts w:ascii="宋体" w:hAnsi="宋体" w:eastAsia="宋体" w:cs="宋体"/>
          <w:b/>
          <w:bCs/>
          <w:szCs w:val="21"/>
        </w:rPr>
        <w:t>2</w:t>
      </w:r>
      <w:r>
        <w:rPr>
          <w:rFonts w:hint="eastAsia" w:ascii="宋体" w:hAnsi="宋体" w:eastAsia="宋体" w:cs="宋体"/>
          <w:b/>
          <w:bCs/>
          <w:szCs w:val="21"/>
        </w:rPr>
        <w:t>.需实现的功能或者目标：满足裸眼立体物理实验平台的使用需求。</w:t>
      </w:r>
    </w:p>
    <w:p w14:paraId="15DF0C9A">
      <w:pPr>
        <w:adjustRightInd w:val="0"/>
        <w:snapToGrid w:val="0"/>
        <w:spacing w:line="288" w:lineRule="auto"/>
        <w:rPr>
          <w:rFonts w:hint="eastAsia" w:ascii="宋体" w:hAnsi="宋体" w:eastAsia="宋体" w:cs="Times New Roman"/>
          <w:b/>
          <w:bCs/>
          <w:spacing w:val="-4"/>
          <w:szCs w:val="21"/>
        </w:rPr>
      </w:pPr>
      <w:r>
        <w:rPr>
          <w:rFonts w:ascii="宋体" w:hAnsi="宋体" w:eastAsia="宋体" w:cs="Times New Roman"/>
          <w:b/>
          <w:bCs/>
          <w:spacing w:val="-4"/>
          <w:szCs w:val="21"/>
        </w:rPr>
        <w:t>3.</w:t>
      </w:r>
      <w:r>
        <w:rPr>
          <w:rFonts w:hint="eastAsia" w:ascii="宋体" w:hAnsi="宋体" w:eastAsia="宋体" w:cs="Times New Roman"/>
          <w:b/>
          <w:bCs/>
          <w:spacing w:val="-4"/>
          <w:szCs w:val="21"/>
        </w:rPr>
        <w:t>需满足的质量、安全、技术规格、物理特性等要求：</w:t>
      </w:r>
    </w:p>
    <w:tbl>
      <w:tblPr>
        <w:tblStyle w:val="23"/>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810"/>
        <w:gridCol w:w="661"/>
        <w:gridCol w:w="661"/>
        <w:gridCol w:w="6269"/>
      </w:tblGrid>
      <w:tr w14:paraId="15DF0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15DF0C9B">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序号</w:t>
            </w:r>
          </w:p>
        </w:tc>
        <w:tc>
          <w:tcPr>
            <w:tcW w:w="1810" w:type="dxa"/>
            <w:vAlign w:val="center"/>
          </w:tcPr>
          <w:p w14:paraId="15DF0C9C">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名称</w:t>
            </w:r>
          </w:p>
        </w:tc>
        <w:tc>
          <w:tcPr>
            <w:tcW w:w="661" w:type="dxa"/>
            <w:vAlign w:val="center"/>
          </w:tcPr>
          <w:p w14:paraId="15DF0C9D">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数量</w:t>
            </w:r>
          </w:p>
        </w:tc>
        <w:tc>
          <w:tcPr>
            <w:tcW w:w="661" w:type="dxa"/>
            <w:vAlign w:val="center"/>
          </w:tcPr>
          <w:p w14:paraId="15DF0C9E">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单位</w:t>
            </w:r>
          </w:p>
        </w:tc>
        <w:tc>
          <w:tcPr>
            <w:tcW w:w="6269" w:type="dxa"/>
            <w:vAlign w:val="center"/>
          </w:tcPr>
          <w:p w14:paraId="15DF0C9F">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（功能或者目标）、质量、安全、技术规格、物理特性等要求</w:t>
            </w:r>
          </w:p>
        </w:tc>
      </w:tr>
      <w:tr w14:paraId="15DF0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15DF0CA1">
            <w:pPr>
              <w:adjustRightInd w:val="0"/>
              <w:snapToGrid w:val="0"/>
              <w:spacing w:line="288" w:lineRule="auto"/>
              <w:jc w:val="center"/>
              <w:rPr>
                <w:rFonts w:hint="eastAsia" w:ascii="宋体" w:hAnsi="宋体" w:eastAsia="宋体" w:cs="宋体"/>
                <w:szCs w:val="21"/>
              </w:rPr>
            </w:pPr>
            <w:r>
              <w:rPr>
                <w:rFonts w:hint="eastAsia" w:ascii="宋体" w:hAnsi="宋体" w:eastAsia="宋体" w:cs="宋体"/>
                <w:b/>
                <w:bCs/>
                <w:szCs w:val="21"/>
              </w:rPr>
              <w:t>1</w:t>
            </w:r>
          </w:p>
        </w:tc>
        <w:tc>
          <w:tcPr>
            <w:tcW w:w="1810" w:type="dxa"/>
            <w:vAlign w:val="center"/>
          </w:tcPr>
          <w:p w14:paraId="15DF0CA2">
            <w:pPr>
              <w:adjustRightInd w:val="0"/>
              <w:snapToGrid w:val="0"/>
              <w:spacing w:line="288" w:lineRule="auto"/>
              <w:jc w:val="center"/>
              <w:rPr>
                <w:rFonts w:hint="eastAsia" w:ascii="宋体" w:hAnsi="宋体" w:eastAsia="宋体" w:cs="Times New Roman"/>
                <w:szCs w:val="21"/>
              </w:rPr>
            </w:pPr>
            <w:r>
              <w:rPr>
                <w:rFonts w:hint="eastAsia" w:ascii="宋体" w:hAnsi="宋体" w:eastAsia="宋体" w:cs="Times New Roman"/>
                <w:b/>
                <w:bCs/>
                <w:szCs w:val="21"/>
              </w:rPr>
              <w:t>裸眼立体物理实验平台</w:t>
            </w:r>
          </w:p>
        </w:tc>
        <w:tc>
          <w:tcPr>
            <w:tcW w:w="661" w:type="dxa"/>
            <w:vAlign w:val="center"/>
          </w:tcPr>
          <w:p w14:paraId="15DF0CA3">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4</w:t>
            </w:r>
          </w:p>
        </w:tc>
        <w:tc>
          <w:tcPr>
            <w:tcW w:w="661" w:type="dxa"/>
            <w:vAlign w:val="center"/>
          </w:tcPr>
          <w:p w14:paraId="15DF0CA4">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套</w:t>
            </w:r>
          </w:p>
        </w:tc>
        <w:tc>
          <w:tcPr>
            <w:tcW w:w="6269" w:type="dxa"/>
            <w:vAlign w:val="center"/>
          </w:tcPr>
          <w:p w14:paraId="15DF0CA5">
            <w:pPr>
              <w:adjustRightInd w:val="0"/>
              <w:snapToGrid w:val="0"/>
              <w:spacing w:line="288" w:lineRule="auto"/>
              <w:jc w:val="left"/>
              <w:rPr>
                <w:rFonts w:hint="eastAsia" w:ascii="宋体" w:hAnsi="宋体" w:eastAsia="宋体" w:cs="宋体"/>
                <w:b/>
                <w:bCs/>
                <w:szCs w:val="21"/>
              </w:rPr>
            </w:pPr>
            <w:r>
              <w:rPr>
                <w:rFonts w:hint="eastAsia" w:ascii="宋体" w:hAnsi="宋体" w:eastAsia="宋体" w:cs="宋体"/>
                <w:b/>
                <w:bCs/>
                <w:szCs w:val="21"/>
              </w:rPr>
              <w:t>一、裸眼立体物理实验平台功能要求：</w:t>
            </w:r>
          </w:p>
          <w:p w14:paraId="15DF0CA6">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highlight w:val="none"/>
              </w:rPr>
              <w:t>★1.平台账号覆盖院校师生及社会学员的需求，支持2000人以上在线学习</w:t>
            </w:r>
            <w:r>
              <w:rPr>
                <w:rFonts w:hint="eastAsia" w:ascii="宋体" w:hAnsi="宋体" w:eastAsia="宋体" w:cs="宋体"/>
                <w:b/>
                <w:bCs/>
                <w:szCs w:val="21"/>
                <w:highlight w:val="none"/>
                <w:lang w:eastAsia="zh-CN"/>
              </w:rPr>
              <w:t>（</w:t>
            </w:r>
            <w:r>
              <w:rPr>
                <w:rFonts w:hint="eastAsia" w:ascii="宋体" w:hAnsi="宋体" w:eastAsia="宋体" w:cs="宋体"/>
                <w:b/>
                <w:bCs/>
                <w:szCs w:val="21"/>
                <w:highlight w:val="none"/>
                <w:lang w:val="en-US" w:eastAsia="zh-CN"/>
              </w:rPr>
              <w:t>提供证明材料</w:t>
            </w:r>
            <w:r>
              <w:rPr>
                <w:rFonts w:hint="eastAsia" w:ascii="宋体" w:hAnsi="宋体" w:eastAsia="宋体" w:cs="宋体"/>
                <w:b/>
                <w:bCs/>
                <w:szCs w:val="21"/>
                <w:highlight w:val="none"/>
                <w:lang w:eastAsia="zh-CN"/>
              </w:rPr>
              <w:t>）</w:t>
            </w:r>
            <w:r>
              <w:rPr>
                <w:rFonts w:hint="eastAsia" w:ascii="宋体" w:hAnsi="宋体" w:eastAsia="宋体" w:cs="宋体"/>
                <w:szCs w:val="21"/>
                <w:highlight w:val="none"/>
              </w:rPr>
              <w:t>；</w:t>
            </w:r>
          </w:p>
          <w:p w14:paraId="15DF0CA7">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2.平台需统一教学应用界面，用户可通过网页入口完成全部学习过程；</w:t>
            </w:r>
          </w:p>
          <w:p w14:paraId="15DF0CA8">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3.平台需提供接口，支持用户自主更新、形成用户特色教学资源；</w:t>
            </w:r>
          </w:p>
          <w:p w14:paraId="15DF0CA9">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4.支持用户自主更新与实验配套的教案、演示录像等教辅资源；</w:t>
            </w:r>
          </w:p>
          <w:p w14:paraId="15DF0CAA">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5.需具有实验数据保存功能：提供仿真实验数据接口，可将符合标准的第三方仿真实验的实验数据保存到服务器，供教师查看；</w:t>
            </w:r>
          </w:p>
          <w:p w14:paraId="15DF0CAB">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6.支持教师查看学生实验操作情况：学生通过操作仿真实验时，会把学生当前操作时间以及结束时间保存下来以便记录学生的操作情况。管理员可通过仿真实验系统网站的“实验统计”查看学生对虚拟实验的完成情况。方便教师清晰详细的了解学生虚拟实验完成情况；</w:t>
            </w:r>
          </w:p>
          <w:p w14:paraId="15DF0CAC">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7.支持学生在线评价实验功能：学生操作完实验后可对实验进行评价打分，提出自己对实验的建议；</w:t>
            </w:r>
          </w:p>
          <w:p w14:paraId="15DF0CAD">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8.支持资源权限管理，授权用户可开展虚拟实验操作；</w:t>
            </w:r>
          </w:p>
          <w:p w14:paraId="15DF0CAE">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9.系统需支持在线用户实验队列管理。可根据需要配置队列最大并发数，超过队列最大数后，系统自动提示用户；</w:t>
            </w:r>
          </w:p>
          <w:p w14:paraId="15DF0CAF">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10.实验教辅资源项目可根据用户需要动态配置；</w:t>
            </w:r>
          </w:p>
          <w:p w14:paraId="15DF0CB0">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11.支持word版报告功能；</w:t>
            </w:r>
          </w:p>
          <w:p w14:paraId="15DF0CB1">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12.平台需符合教育部示范性虚拟仿真实验教学项目学生学习情况对接要求，可用于国家级虚拟仿真课程申报对接。</w:t>
            </w:r>
          </w:p>
          <w:p w14:paraId="15DF0CB2">
            <w:pPr>
              <w:adjustRightInd w:val="0"/>
              <w:snapToGrid w:val="0"/>
              <w:spacing w:line="288" w:lineRule="auto"/>
              <w:jc w:val="left"/>
              <w:rPr>
                <w:rFonts w:hint="eastAsia" w:ascii="宋体" w:hAnsi="宋体" w:eastAsia="宋体" w:cs="宋体"/>
                <w:b/>
                <w:bCs/>
                <w:szCs w:val="21"/>
              </w:rPr>
            </w:pPr>
            <w:r>
              <w:rPr>
                <w:rFonts w:hint="eastAsia" w:ascii="宋体" w:hAnsi="宋体" w:eastAsia="宋体" w:cs="宋体"/>
                <w:b/>
                <w:bCs/>
                <w:szCs w:val="21"/>
              </w:rPr>
              <w:t>二、裸眼3D/XR智能终端：</w:t>
            </w:r>
          </w:p>
          <w:p w14:paraId="15DF0CB3">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★1.屏幕物理尺寸≥28英寸，有效画面显示尺寸(mm)：≥620(H)x341(V)，无需佩戴任何辅助设备实现裸眼3D观看，屏幕分辨率：≥3840×2160，支持观看者佩戴口罩</w:t>
            </w:r>
            <w:r>
              <w:rPr>
                <w:rFonts w:hint="eastAsia" w:ascii="宋体" w:hAnsi="宋体" w:eastAsia="宋体" w:cs="宋体"/>
                <w:b/>
                <w:bCs/>
                <w:szCs w:val="21"/>
              </w:rPr>
              <w:t>（提供证明材料）；</w:t>
            </w:r>
          </w:p>
          <w:p w14:paraId="15DF0CB4">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★2.光栅技术：全贴合柱镜光栅</w:t>
            </w:r>
            <w:r>
              <w:rPr>
                <w:rFonts w:hint="eastAsia" w:ascii="宋体" w:hAnsi="宋体" w:eastAsia="宋体" w:cs="宋体"/>
                <w:b/>
                <w:bCs/>
                <w:szCs w:val="21"/>
              </w:rPr>
              <w:t>（提供证明材料）；</w:t>
            </w:r>
          </w:p>
          <w:p w14:paraId="15DF0CB5">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★3.3D观看范围：观看距离0.6～1.3米；3D 观看视角：水平角度≥42°</w:t>
            </w:r>
            <w:r>
              <w:rPr>
                <w:rFonts w:hint="eastAsia" w:ascii="宋体" w:hAnsi="宋体" w:eastAsia="宋体" w:cs="宋体"/>
                <w:b/>
                <w:bCs/>
                <w:szCs w:val="21"/>
              </w:rPr>
              <w:t>（提供证明材料）；</w:t>
            </w:r>
          </w:p>
          <w:p w14:paraId="15DF0CB6">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4.智能2D/3D显示：可实现有人观看时3D显示，无人观看时2D显示；</w:t>
            </w:r>
          </w:p>
          <w:p w14:paraId="15DF0CB7">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5.3D显示方式：裸眼3D显示，无需任何辅助设备；</w:t>
            </w:r>
          </w:p>
          <w:p w14:paraId="15DF0CB8">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6.3D处理：人眼跟踪裸眼3D处理，实时4K@60Hz处理，支持4K@60Hz视频输入和显示，显示延时≤1/60秒；</w:t>
            </w:r>
          </w:p>
          <w:p w14:paraId="15DF0CB9">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7.屏幕具备AI距离、角度提示功能，实时引导观看者正确3D观看；</w:t>
            </w:r>
          </w:p>
          <w:p w14:paraId="15DF0CBA">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★8.支持键盘快捷方式实现模式切换、景深增大、景深减小、景深复位、跟踪位置设置、交换左右视图</w:t>
            </w:r>
            <w:r>
              <w:rPr>
                <w:rFonts w:hint="eastAsia" w:ascii="宋体" w:hAnsi="宋体" w:eastAsia="宋体" w:cs="宋体"/>
                <w:b/>
                <w:bCs/>
                <w:szCs w:val="21"/>
              </w:rPr>
              <w:t>（提供证明材料）；</w:t>
            </w:r>
          </w:p>
          <w:p w14:paraId="15DF0CBB">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9.立体交互笔空间自由度：6自由度。空间精度：≤±2mm，立体交互笔使用范围：宽度1000-1250mm，高度630-1800mm，深度250-1350mm；</w:t>
            </w:r>
          </w:p>
          <w:p w14:paraId="15DF0CBC">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10.系统可扩展支持FBX、OBJ、GLTF2、STL、PLY、3MF、DAE七种主流3D模型的实时渲染成3D左右格式达到裸眼3D显示。支持高精度六自由度（6DoF）交互笔对模型进行平移、旋转等操作，并兼容3D模型纹理、材质及动画的加载与播放。同时，系统应具备2D/3D显示模式一键切换功能，满足不同场景下的可视化需求</w:t>
            </w:r>
            <w:r>
              <w:rPr>
                <w:rFonts w:hint="eastAsia" w:ascii="宋体" w:hAnsi="宋体" w:eastAsia="宋体" w:cs="宋体"/>
                <w:b/>
                <w:bCs/>
                <w:szCs w:val="21"/>
              </w:rPr>
              <w:t>（提供证明材料）；</w:t>
            </w:r>
          </w:p>
          <w:p w14:paraId="15DF0CBD">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11.3D驱动自检测功能：支持3D相机，3D配置文件自检测功能并实时显示结果；</w:t>
            </w:r>
          </w:p>
          <w:p w14:paraId="15DF0CBE">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★12.显示屏幕具备视觉健康保护功能</w:t>
            </w:r>
            <w:r>
              <w:rPr>
                <w:rFonts w:hint="eastAsia" w:ascii="宋体" w:hAnsi="宋体" w:eastAsia="宋体" w:cs="宋体"/>
                <w:b/>
                <w:bCs/>
                <w:szCs w:val="21"/>
              </w:rPr>
              <w:t>（提供证明材料）；</w:t>
            </w:r>
          </w:p>
          <w:p w14:paraId="15DF0CBF">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13.视频接口参数：</w:t>
            </w:r>
          </w:p>
          <w:p w14:paraId="15DF0CC0">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13.1 HDMI 输入：HDMI 2.0 ≥ 2（支持左右 3D、行交织 3D 信号输入，支持 4K @ 60Hz）；</w:t>
            </w:r>
          </w:p>
          <w:p w14:paraId="15DF0CC1">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13.2 DP 输入：DP 1.2 ≥2（支持左右 3D、行交织 3D 信号输入，支持 4K @ 60Hz）；</w:t>
            </w:r>
          </w:p>
          <w:p w14:paraId="15DF0CC2">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14.图像处理器：不低于CPU 13代 I7；</w:t>
            </w:r>
          </w:p>
          <w:p w14:paraId="15DF0CC3">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15.硬盘：≥512GB SSD；</w:t>
            </w:r>
          </w:p>
          <w:p w14:paraId="15DF0CC4">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16.内存：≥16GB；</w:t>
            </w:r>
          </w:p>
          <w:p w14:paraId="15DF0CC5">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17.显卡：不低于RTX4060；</w:t>
            </w:r>
          </w:p>
          <w:p w14:paraId="15DF0CC6">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18.操作系统：Windows 11 64bit。</w:t>
            </w:r>
          </w:p>
          <w:p w14:paraId="15DF0CC7">
            <w:pPr>
              <w:adjustRightInd w:val="0"/>
              <w:snapToGrid w:val="0"/>
              <w:spacing w:line="288" w:lineRule="auto"/>
              <w:jc w:val="left"/>
              <w:rPr>
                <w:rFonts w:hint="eastAsia" w:ascii="宋体" w:hAnsi="宋体" w:eastAsia="宋体" w:cs="宋体"/>
                <w:b/>
                <w:bCs/>
                <w:szCs w:val="21"/>
              </w:rPr>
            </w:pPr>
            <w:r>
              <w:rPr>
                <w:rFonts w:hint="eastAsia" w:ascii="宋体" w:hAnsi="宋体" w:eastAsia="宋体" w:cs="宋体"/>
                <w:b/>
                <w:bCs/>
                <w:szCs w:val="21"/>
              </w:rPr>
              <w:t>二、配套仿真实验资源：</w:t>
            </w:r>
          </w:p>
          <w:p w14:paraId="15DF0CC8">
            <w:pPr>
              <w:adjustRightInd w:val="0"/>
              <w:snapToGrid w:val="0"/>
              <w:spacing w:line="288" w:lineRule="auto"/>
              <w:jc w:val="left"/>
              <w:rPr>
                <w:rFonts w:hint="eastAsia" w:ascii="宋体" w:hAnsi="宋体" w:eastAsia="宋体" w:cs="宋体"/>
                <w:szCs w:val="21"/>
                <w:lang w:eastAsia="zh-CN"/>
              </w:rPr>
            </w:pPr>
            <w:r>
              <w:rPr>
                <w:rFonts w:hint="eastAsia" w:ascii="宋体" w:hAnsi="宋体" w:eastAsia="宋体" w:cs="宋体"/>
                <w:szCs w:val="21"/>
              </w:rPr>
              <w:t>1.需采用真实3D建模，提供模式实际3D 实验操作环境，用户可自由操作仪器、观察现象、完成实验</w:t>
            </w:r>
            <w:r>
              <w:rPr>
                <w:rFonts w:hint="eastAsia" w:ascii="宋体" w:hAnsi="宋体" w:eastAsia="宋体" w:cs="宋体"/>
                <w:b/>
                <w:bCs/>
                <w:szCs w:val="21"/>
                <w:lang w:eastAsia="zh-CN"/>
              </w:rPr>
              <w:t>；</w:t>
            </w:r>
          </w:p>
          <w:p w14:paraId="15DF0CC9">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2.需提供实验原理和背景介绍：介绍该实验由来以及在物理学理论发展及研究中的作用、在国民经济和日常生活中的应用，培养学生创新思想，激发学习热情，符合课程思政建设需要；</w:t>
            </w:r>
          </w:p>
          <w:p w14:paraId="15DF0CCA">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3.需提供实验仪器三维展示图和功能说明，将实验原理、仪器工作原理等采用动画等方式直观讲解；</w:t>
            </w:r>
          </w:p>
          <w:p w14:paraId="15DF0CCB">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4.实验内容支持划分成不同步骤，选择某个特定步骤后，支持直接从当前步骤开始实验。支持某个步骤反复练习；</w:t>
            </w:r>
          </w:p>
          <w:p w14:paraId="15DF0CCC">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5.需从实验原理、仪器功能出发，建立相应的数学、物理模型，根据实验操作实时计算实验现象，不同实验操作得到不同的实验结果，正确操作观察到正确的现象，错误操作得到合理的错误现象和结果；</w:t>
            </w:r>
          </w:p>
          <w:p w14:paraId="15DF0CCD">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6.实验灵活度要高。支持在学生虚拟环境中自行设计实验方案、自主操作仪器完成实验，不同的实验操作得到与实际相符的不同实验现象，实验路径不唯一；</w:t>
            </w:r>
          </w:p>
          <w:p w14:paraId="15DF0CCE">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7.实验操作需提供智能视角功能：</w:t>
            </w:r>
          </w:p>
          <w:p w14:paraId="15DF0CCF">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7.1 突出实验操作，实现智能化最佳视距视角自动调整；</w:t>
            </w:r>
          </w:p>
          <w:p w14:paraId="15DF0CD0">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7.2 提供可调视角的观察窗，学生可通过调整观察角度在观察窗内观察实验各部位的现象；</w:t>
            </w:r>
          </w:p>
          <w:p w14:paraId="15DF0CD1">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8.需提供智能指导功能，可对学生提问给出智能回答；</w:t>
            </w:r>
          </w:p>
          <w:p w14:paraId="15DF0CD2">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9.实验资源需满足不同性能机器的运行需要，可设置实验室环境、画质、音效、画面亮度等；</w:t>
            </w:r>
          </w:p>
          <w:p w14:paraId="15DF0CD3">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10.能够构建裸眼立体的物理实验环境，支持力学、光学、电磁学等多学科物理实验的立体可视化呈现，让使用者无需佩戴辅助设备即可观察到三维立体的实验现象，助力物理实验教学与研究，提升实验的直观性和趣味性，需支持20个以上大学物理实验的立体展示；</w:t>
            </w:r>
          </w:p>
          <w:p w14:paraId="15DF0CD9">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★11.实验资源需适配本次所投标的全部裸眼设备及平台。</w:t>
            </w:r>
          </w:p>
        </w:tc>
      </w:tr>
    </w:tbl>
    <w:p w14:paraId="15DF0CDB">
      <w:pPr>
        <w:autoSpaceDE w:val="0"/>
        <w:adjustRightInd w:val="0"/>
        <w:snapToGrid w:val="0"/>
        <w:spacing w:line="288" w:lineRule="auto"/>
        <w:rPr>
          <w:rFonts w:hint="eastAsia" w:ascii="宋体" w:hAnsi="宋体" w:eastAsia="宋体" w:cs="宋体"/>
          <w:b/>
          <w:bCs/>
          <w:szCs w:val="21"/>
        </w:rPr>
      </w:pPr>
      <w:r>
        <w:rPr>
          <w:rFonts w:hint="eastAsia" w:ascii="宋体" w:hAnsi="宋体" w:eastAsia="宋体" w:cs="宋体"/>
          <w:b/>
          <w:bCs/>
          <w:szCs w:val="21"/>
        </w:rPr>
        <w:t>4.演示：</w:t>
      </w:r>
    </w:p>
    <w:p w14:paraId="15DF0CDC">
      <w:pPr>
        <w:autoSpaceDE w:val="0"/>
        <w:adjustRightInd w:val="0"/>
        <w:snapToGrid w:val="0"/>
        <w:spacing w:line="288" w:lineRule="auto"/>
        <w:ind w:firstLine="422" w:firstLineChars="200"/>
        <w:rPr>
          <w:rFonts w:hint="eastAsia" w:ascii="宋体" w:hAnsi="宋体" w:eastAsia="宋体" w:cs="宋体"/>
          <w:b/>
          <w:bCs/>
          <w:szCs w:val="21"/>
        </w:rPr>
      </w:pPr>
      <w:r>
        <w:rPr>
          <w:rFonts w:hint="eastAsia" w:ascii="宋体" w:hAnsi="宋体" w:eastAsia="宋体" w:cs="宋体"/>
          <w:b/>
          <w:bCs/>
          <w:szCs w:val="21"/>
        </w:rPr>
        <w:t>▲4.1 供应商演示内容需为真人操作真实软件录制的视频进行，未提供任何演示或以PPT、截图等方式演示的投标无效。</w:t>
      </w:r>
    </w:p>
    <w:p w14:paraId="15DF0CDD">
      <w:pPr>
        <w:autoSpaceDE w:val="0"/>
        <w:adjustRightInd w:val="0"/>
        <w:snapToGrid w:val="0"/>
        <w:spacing w:line="288" w:lineRule="auto"/>
        <w:ind w:firstLine="422" w:firstLineChars="200"/>
        <w:rPr>
          <w:rFonts w:hint="eastAsia" w:ascii="宋体" w:hAnsi="宋体" w:eastAsia="宋体" w:cs="宋体"/>
          <w:b/>
          <w:bCs/>
          <w:szCs w:val="21"/>
        </w:rPr>
      </w:pPr>
      <w:r>
        <w:rPr>
          <w:rFonts w:hint="eastAsia" w:ascii="宋体" w:hAnsi="宋体" w:eastAsia="宋体" w:cs="宋体"/>
          <w:b/>
          <w:bCs/>
          <w:szCs w:val="21"/>
        </w:rPr>
        <w:t>4.2 演示内容如下：</w:t>
      </w:r>
    </w:p>
    <w:p w14:paraId="0185C6B3">
      <w:pPr>
        <w:adjustRightInd w:val="0"/>
        <w:snapToGrid w:val="0"/>
        <w:spacing w:line="288" w:lineRule="auto"/>
        <w:ind w:firstLine="422" w:firstLineChars="200"/>
        <w:rPr>
          <w:rFonts w:hint="eastAsia" w:ascii="宋体" w:hAnsi="宋体" w:eastAsia="宋体" w:cs="宋体"/>
          <w:b/>
          <w:bCs/>
          <w:highlight w:val="none"/>
        </w:rPr>
      </w:pPr>
      <w:r>
        <w:rPr>
          <w:rFonts w:hint="eastAsia" w:ascii="宋体" w:hAnsi="宋体" w:eastAsia="宋体" w:cs="宋体"/>
          <w:b/>
          <w:bCs/>
          <w:highlight w:val="none"/>
        </w:rPr>
        <w:t>4.2.1</w:t>
      </w:r>
      <w:r>
        <w:rPr>
          <w:rFonts w:hint="eastAsia" w:ascii="宋体" w:hAnsi="宋体" w:eastAsia="宋体" w:cs="宋体"/>
          <w:b/>
          <w:bCs/>
          <w:highlight w:val="none"/>
          <w:lang w:val="en-US" w:eastAsia="zh-CN"/>
        </w:rPr>
        <w:t xml:space="preserve"> </w:t>
      </w:r>
      <w:r>
        <w:rPr>
          <w:rFonts w:hint="eastAsia" w:ascii="宋体" w:hAnsi="宋体" w:eastAsia="宋体" w:cs="宋体"/>
          <w:b/>
          <w:bCs/>
          <w:highlight w:val="none"/>
        </w:rPr>
        <w:t>裸眼立体物理实验平台：</w:t>
      </w:r>
    </w:p>
    <w:p w14:paraId="04247EB3">
      <w:pPr>
        <w:adjustRightInd w:val="0"/>
        <w:snapToGrid w:val="0"/>
        <w:spacing w:line="288"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支持教师查看学生实验操作情况：学生通过操作仿真实验时，会把学生当前操作时间以及结束时间保存下来以便记录学生的操作情况。管理员可通过仿真实验系统网站的“实验统计”查看学生对虚拟实验的完成情况。方便教师清晰详细的了解学生虚拟实验完成情况；</w:t>
      </w:r>
    </w:p>
    <w:p w14:paraId="071D38F4">
      <w:pPr>
        <w:adjustRightInd w:val="0"/>
        <w:snapToGrid w:val="0"/>
        <w:spacing w:line="288"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（2）支持学生在线评价实验功能：学生操作完实验后可对实验进行评价打分，提出自己对实验的建议；</w:t>
      </w:r>
    </w:p>
    <w:p w14:paraId="071E8FCA">
      <w:pPr>
        <w:adjustRightInd w:val="0"/>
        <w:snapToGrid w:val="0"/>
        <w:spacing w:line="288" w:lineRule="auto"/>
        <w:ind w:firstLine="422" w:firstLineChars="200"/>
        <w:rPr>
          <w:rFonts w:hint="eastAsia" w:ascii="宋体" w:hAnsi="宋体" w:eastAsia="宋体" w:cs="宋体"/>
          <w:b/>
          <w:bCs/>
          <w:szCs w:val="21"/>
          <w:highlight w:val="none"/>
        </w:rPr>
      </w:pPr>
      <w:r>
        <w:rPr>
          <w:rFonts w:hint="eastAsia" w:ascii="宋体" w:hAnsi="宋体" w:eastAsia="宋体" w:cs="宋体"/>
          <w:b/>
          <w:bCs/>
          <w:highlight w:val="none"/>
        </w:rPr>
        <w:t>4.2.2演示</w:t>
      </w:r>
      <w:r>
        <w:rPr>
          <w:rFonts w:hint="eastAsia" w:ascii="宋体" w:hAnsi="宋体" w:eastAsia="宋体" w:cs="宋体"/>
          <w:b/>
          <w:bCs/>
          <w:szCs w:val="21"/>
          <w:highlight w:val="none"/>
        </w:rPr>
        <w:t>配套仿真实验资源要求以下3项</w:t>
      </w:r>
    </w:p>
    <w:p w14:paraId="3A7EF3DC">
      <w:pPr>
        <w:numPr>
          <w:ilvl w:val="0"/>
          <w:numId w:val="0"/>
        </w:numPr>
        <w:adjustRightInd w:val="0"/>
        <w:snapToGrid w:val="0"/>
        <w:spacing w:line="288"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1</w:t>
      </w:r>
      <w:r>
        <w:rPr>
          <w:rFonts w:hint="eastAsia" w:ascii="宋体" w:hAnsi="宋体" w:eastAsia="宋体" w:cs="宋体"/>
          <w:szCs w:val="21"/>
          <w:highlight w:val="none"/>
          <w:lang w:eastAsia="zh-CN"/>
        </w:rPr>
        <w:t>）</w:t>
      </w:r>
      <w:r>
        <w:rPr>
          <w:rFonts w:hint="eastAsia" w:ascii="宋体" w:hAnsi="宋体" w:eastAsia="宋体" w:cs="宋体"/>
          <w:szCs w:val="21"/>
          <w:highlight w:val="none"/>
        </w:rPr>
        <w:t>需采用真实3D建模，提供模式实际3D 实验操作环境，用户可自由操作仪器、观察现象、完成实验；</w:t>
      </w:r>
    </w:p>
    <w:p w14:paraId="335E02CA">
      <w:pPr>
        <w:numPr>
          <w:ilvl w:val="0"/>
          <w:numId w:val="0"/>
        </w:numPr>
        <w:adjustRightInd w:val="0"/>
        <w:snapToGrid w:val="0"/>
        <w:spacing w:line="288"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2</w:t>
      </w:r>
      <w:r>
        <w:rPr>
          <w:rFonts w:hint="eastAsia" w:ascii="宋体" w:hAnsi="宋体" w:eastAsia="宋体" w:cs="宋体"/>
          <w:szCs w:val="21"/>
          <w:highlight w:val="none"/>
          <w:lang w:eastAsia="zh-CN"/>
        </w:rPr>
        <w:t>）</w:t>
      </w:r>
      <w:r>
        <w:rPr>
          <w:rFonts w:hint="eastAsia" w:ascii="宋体" w:hAnsi="宋体" w:eastAsia="宋体" w:cs="宋体"/>
          <w:szCs w:val="21"/>
          <w:highlight w:val="none"/>
        </w:rPr>
        <w:t>需提供实验原理和背景介绍：介绍该实验由来以及在物理学理论发展及研究中的作用、在国民经济和日常生活中的应用，培养学生创新思想，激发学习热情，符合课程思政建设需要；</w:t>
      </w:r>
    </w:p>
    <w:p w14:paraId="15DF0CDE">
      <w:pPr>
        <w:numPr>
          <w:ilvl w:val="0"/>
          <w:numId w:val="0"/>
        </w:numPr>
        <w:adjustRightInd w:val="0"/>
        <w:snapToGrid w:val="0"/>
        <w:spacing w:line="288" w:lineRule="auto"/>
        <w:ind w:firstLine="420" w:firstLineChars="200"/>
        <w:rPr>
          <w:rFonts w:hint="eastAsia" w:ascii="宋体" w:hAnsi="宋体" w:eastAsia="宋体" w:cs="宋体"/>
          <w:highlight w:val="none"/>
        </w:rPr>
      </w:pP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3</w:t>
      </w:r>
      <w:r>
        <w:rPr>
          <w:rFonts w:hint="eastAsia" w:ascii="宋体" w:hAnsi="宋体" w:eastAsia="宋体" w:cs="宋体"/>
          <w:szCs w:val="21"/>
          <w:highlight w:val="none"/>
          <w:lang w:eastAsia="zh-CN"/>
        </w:rPr>
        <w:t>）</w:t>
      </w:r>
      <w:r>
        <w:rPr>
          <w:rFonts w:hint="eastAsia" w:ascii="宋体" w:hAnsi="宋体" w:eastAsia="宋体" w:cs="宋体"/>
          <w:szCs w:val="21"/>
          <w:highlight w:val="none"/>
        </w:rPr>
        <w:t>实验操作需提供智能视角功能：突出实验操作，实现智能化最佳视距视角自动调整</w:t>
      </w:r>
      <w:r>
        <w:rPr>
          <w:rFonts w:hint="eastAsia" w:ascii="宋体" w:hAnsi="宋体" w:eastAsia="宋体" w:cs="宋体"/>
          <w:szCs w:val="21"/>
          <w:highlight w:val="none"/>
          <w:lang w:eastAsia="zh-CN"/>
        </w:rPr>
        <w:t>；</w:t>
      </w:r>
      <w:r>
        <w:rPr>
          <w:rFonts w:hint="eastAsia" w:ascii="宋体" w:hAnsi="宋体" w:eastAsia="宋体" w:cs="宋体"/>
          <w:szCs w:val="21"/>
          <w:highlight w:val="none"/>
        </w:rPr>
        <w:t>提供可调视角的观察窗，学生可通过调整观察角度在观察窗内观察实验各部位的现象。</w:t>
      </w:r>
    </w:p>
    <w:p w14:paraId="15DF0CDF">
      <w:pPr>
        <w:adjustRightInd w:val="0"/>
        <w:snapToGrid w:val="0"/>
        <w:spacing w:line="288" w:lineRule="auto"/>
        <w:ind w:firstLine="420" w:firstLineChars="200"/>
        <w:rPr>
          <w:rFonts w:hint="eastAsia" w:ascii="宋体" w:hAnsi="宋体" w:eastAsia="宋体" w:cs="宋体"/>
        </w:rPr>
      </w:pPr>
      <w:r>
        <w:rPr>
          <w:rFonts w:hint="eastAsia" w:ascii="宋体" w:hAnsi="宋体" w:eastAsia="宋体" w:cs="宋体"/>
        </w:rPr>
        <w:t>4.3 演示U盘：</w:t>
      </w:r>
    </w:p>
    <w:p w14:paraId="15DF0CE0">
      <w:pPr>
        <w:adjustRightInd w:val="0"/>
        <w:snapToGrid w:val="0"/>
        <w:spacing w:line="288" w:lineRule="auto"/>
        <w:ind w:firstLine="420" w:firstLineChars="200"/>
        <w:rPr>
          <w:rFonts w:hint="eastAsia" w:ascii="宋体" w:hAnsi="宋体" w:eastAsia="宋体" w:cs="宋体"/>
        </w:rPr>
      </w:pPr>
      <w:r>
        <w:rPr>
          <w:rFonts w:hint="eastAsia" w:ascii="宋体" w:hAnsi="宋体" w:eastAsia="宋体" w:cs="宋体"/>
        </w:rPr>
        <w:t>（1）根据“电子交易/不见面开评标”原则，供应商需将以上演示及讲解过程录制视频，演示时长不超过10分钟以.mp4格式存储于U盘。</w:t>
      </w:r>
    </w:p>
    <w:p w14:paraId="15DF0CE1">
      <w:pPr>
        <w:adjustRightInd w:val="0"/>
        <w:snapToGrid w:val="0"/>
        <w:spacing w:line="288" w:lineRule="auto"/>
        <w:ind w:firstLine="420" w:firstLineChars="200"/>
        <w:rPr>
          <w:rFonts w:hint="eastAsia" w:ascii="宋体" w:hAnsi="宋体" w:eastAsia="宋体" w:cs="宋体"/>
        </w:rPr>
      </w:pPr>
      <w:r>
        <w:rPr>
          <w:rFonts w:hint="eastAsia" w:ascii="宋体" w:hAnsi="宋体" w:eastAsia="宋体" w:cs="宋体"/>
        </w:rPr>
        <w:t>（2）演示U盘可以EMS或顺丰邮寄形式在响应截止时间前递交，演示U盘应当密封包装并在包装上标注演示U盘、响应项目名称、投标人名称并加盖公章。</w:t>
      </w:r>
    </w:p>
    <w:p w14:paraId="15DF0CE2">
      <w:pPr>
        <w:widowControl/>
        <w:adjustRightInd w:val="0"/>
        <w:snapToGrid w:val="0"/>
        <w:spacing w:line="288" w:lineRule="auto"/>
        <w:jc w:val="left"/>
        <w:rPr>
          <w:rFonts w:hint="eastAsia" w:ascii="宋体" w:hAnsi="宋体" w:eastAsia="宋体" w:cs="Times New Roman"/>
          <w:szCs w:val="21"/>
        </w:rPr>
      </w:pPr>
      <w:r>
        <w:rPr>
          <w:rFonts w:hint="eastAsia" w:ascii="宋体" w:hAnsi="宋体" w:eastAsia="宋体" w:cs="宋体"/>
        </w:rPr>
        <w:t>（3）未按招标文件要求提供演示U盘造成专家无法正常评审的风险由供应商自行承担。</w:t>
      </w:r>
      <w:r>
        <w:rPr>
          <w:rFonts w:ascii="宋体" w:hAnsi="宋体" w:eastAsia="宋体" w:cs="Times New Roman"/>
          <w:szCs w:val="21"/>
        </w:rPr>
        <w:br w:type="page"/>
      </w:r>
    </w:p>
    <w:p w14:paraId="15DF0CE3">
      <w:pPr>
        <w:adjustRightInd w:val="0"/>
        <w:snapToGrid w:val="0"/>
        <w:spacing w:line="288" w:lineRule="auto"/>
        <w:jc w:val="center"/>
        <w:outlineLvl w:val="0"/>
        <w:rPr>
          <w:rFonts w:hint="eastAsia" w:ascii="宋体" w:hAnsi="宋体" w:eastAsia="宋体" w:cs="Times New Roman"/>
          <w:sz w:val="32"/>
          <w:szCs w:val="32"/>
        </w:rPr>
      </w:pPr>
      <w:r>
        <w:rPr>
          <w:rFonts w:hint="eastAsia" w:ascii="宋体" w:hAnsi="宋体" w:eastAsia="宋体" w:cs="Times New Roman"/>
          <w:b/>
          <w:sz w:val="32"/>
          <w:szCs w:val="32"/>
        </w:rPr>
        <w:t>第三章  投标人须知</w:t>
      </w:r>
    </w:p>
    <w:p w14:paraId="15DF0CE4">
      <w:pPr>
        <w:adjustRightInd w:val="0"/>
        <w:snapToGrid w:val="0"/>
        <w:spacing w:line="288" w:lineRule="auto"/>
        <w:ind w:left="238"/>
        <w:jc w:val="center"/>
        <w:outlineLvl w:val="1"/>
        <w:rPr>
          <w:rFonts w:hint="eastAsia" w:ascii="宋体" w:hAnsi="宋体" w:eastAsia="宋体" w:cs="Times New Roman"/>
          <w:b/>
          <w:szCs w:val="21"/>
        </w:rPr>
      </w:pPr>
      <w:r>
        <w:rPr>
          <w:rFonts w:hint="eastAsia" w:ascii="宋体" w:hAnsi="宋体" w:eastAsia="宋体" w:cs="Times New Roman"/>
          <w:b/>
          <w:szCs w:val="21"/>
        </w:rPr>
        <w:t>投标人</w:t>
      </w:r>
      <w:r>
        <w:rPr>
          <w:rFonts w:ascii="宋体" w:hAnsi="宋体" w:eastAsia="宋体" w:cs="Times New Roman"/>
          <w:b/>
          <w:szCs w:val="21"/>
        </w:rPr>
        <w:t>须知</w:t>
      </w:r>
      <w:r>
        <w:rPr>
          <w:rFonts w:hint="eastAsia" w:ascii="宋体" w:hAnsi="宋体" w:eastAsia="宋体" w:cs="Times New Roman"/>
          <w:b/>
          <w:szCs w:val="21"/>
        </w:rPr>
        <w:t>前附表</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14:paraId="15DF0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5DF0CE5">
            <w:pPr>
              <w:adjustRightInd w:val="0"/>
              <w:snapToGrid w:val="0"/>
              <w:spacing w:line="288" w:lineRule="auto"/>
              <w:jc w:val="center"/>
              <w:rPr>
                <w:rFonts w:hint="eastAsia" w:ascii="宋体" w:hAnsi="宋体" w:eastAsia="宋体"/>
                <w:b/>
                <w:bCs/>
                <w:szCs w:val="21"/>
              </w:rPr>
            </w:pPr>
            <w:r>
              <w:rPr>
                <w:rFonts w:hint="eastAsia" w:ascii="宋体" w:hAnsi="宋体" w:eastAsia="宋体"/>
                <w:b/>
                <w:bCs/>
                <w:szCs w:val="21"/>
              </w:rPr>
              <w:t>条款号</w:t>
            </w:r>
          </w:p>
        </w:tc>
        <w:tc>
          <w:tcPr>
            <w:tcW w:w="1701" w:type="dxa"/>
            <w:vAlign w:val="center"/>
          </w:tcPr>
          <w:p w14:paraId="15DF0CE6">
            <w:pPr>
              <w:adjustRightInd w:val="0"/>
              <w:snapToGrid w:val="0"/>
              <w:spacing w:line="288" w:lineRule="auto"/>
              <w:jc w:val="center"/>
              <w:rPr>
                <w:rFonts w:hint="eastAsia" w:ascii="宋体" w:hAnsi="宋体" w:eastAsia="宋体"/>
                <w:b/>
                <w:bCs/>
                <w:szCs w:val="21"/>
              </w:rPr>
            </w:pPr>
            <w:r>
              <w:rPr>
                <w:rFonts w:hint="eastAsia" w:ascii="宋体" w:hAnsi="宋体" w:eastAsia="宋体"/>
                <w:b/>
                <w:bCs/>
                <w:szCs w:val="21"/>
              </w:rPr>
              <w:t>内容</w:t>
            </w:r>
          </w:p>
        </w:tc>
        <w:tc>
          <w:tcPr>
            <w:tcW w:w="6663" w:type="dxa"/>
            <w:vAlign w:val="center"/>
          </w:tcPr>
          <w:p w14:paraId="15DF0CE7">
            <w:pPr>
              <w:adjustRightInd w:val="0"/>
              <w:snapToGrid w:val="0"/>
              <w:spacing w:line="288" w:lineRule="auto"/>
              <w:jc w:val="center"/>
              <w:rPr>
                <w:rFonts w:hint="eastAsia" w:ascii="宋体" w:hAnsi="宋体" w:eastAsia="宋体"/>
                <w:b/>
                <w:bCs/>
                <w:szCs w:val="21"/>
              </w:rPr>
            </w:pPr>
            <w:r>
              <w:rPr>
                <w:rFonts w:hint="eastAsia" w:ascii="宋体" w:hAnsi="宋体" w:eastAsia="宋体"/>
                <w:b/>
                <w:bCs/>
                <w:szCs w:val="21"/>
              </w:rPr>
              <w:t>说明与要求</w:t>
            </w:r>
          </w:p>
        </w:tc>
      </w:tr>
      <w:tr w14:paraId="15DF0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5DF0CE9">
            <w:pPr>
              <w:adjustRightInd w:val="0"/>
              <w:snapToGrid w:val="0"/>
              <w:spacing w:line="288" w:lineRule="auto"/>
              <w:jc w:val="center"/>
              <w:rPr>
                <w:rFonts w:hint="eastAsia" w:ascii="宋体" w:hAnsi="宋体" w:eastAsia="宋体"/>
                <w:szCs w:val="21"/>
              </w:rPr>
            </w:pPr>
            <w:r>
              <w:rPr>
                <w:rFonts w:hint="eastAsia" w:ascii="宋体" w:hAnsi="宋体" w:eastAsia="宋体"/>
                <w:szCs w:val="21"/>
              </w:rPr>
              <w:t>（一）</w:t>
            </w:r>
          </w:p>
        </w:tc>
        <w:tc>
          <w:tcPr>
            <w:tcW w:w="1701" w:type="dxa"/>
            <w:vAlign w:val="center"/>
          </w:tcPr>
          <w:p w14:paraId="15DF0CEA">
            <w:pPr>
              <w:adjustRightInd w:val="0"/>
              <w:snapToGrid w:val="0"/>
              <w:spacing w:line="288" w:lineRule="auto"/>
              <w:jc w:val="center"/>
              <w:rPr>
                <w:rFonts w:hint="eastAsia" w:ascii="宋体" w:hAnsi="宋体" w:eastAsia="宋体"/>
                <w:szCs w:val="21"/>
              </w:rPr>
            </w:pPr>
            <w:r>
              <w:rPr>
                <w:rFonts w:hint="eastAsia" w:ascii="宋体" w:hAnsi="宋体" w:eastAsia="宋体"/>
                <w:szCs w:val="21"/>
              </w:rPr>
              <w:t>适用范围</w:t>
            </w:r>
          </w:p>
        </w:tc>
        <w:tc>
          <w:tcPr>
            <w:tcW w:w="6663" w:type="dxa"/>
            <w:vAlign w:val="center"/>
          </w:tcPr>
          <w:p w14:paraId="15DF0CEB">
            <w:pPr>
              <w:adjustRightInd w:val="0"/>
              <w:snapToGrid w:val="0"/>
              <w:spacing w:line="288" w:lineRule="auto"/>
              <w:rPr>
                <w:rFonts w:hint="eastAsia" w:ascii="宋体" w:hAnsi="宋体" w:eastAsia="宋体"/>
                <w:szCs w:val="21"/>
              </w:rPr>
            </w:pPr>
            <w:r>
              <w:rPr>
                <w:rFonts w:hint="eastAsia" w:ascii="宋体" w:hAnsi="宋体" w:eastAsia="宋体"/>
                <w:szCs w:val="21"/>
              </w:rPr>
              <w:t>本招标文件适用于杭州电子科技大学裸眼立体物理实验平台的招标、评标、定标、验收、合同履约、付款等（法律、法规另有规定的，从其规定）。</w:t>
            </w:r>
          </w:p>
        </w:tc>
      </w:tr>
      <w:tr w14:paraId="15DF0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5DF0CED">
            <w:pPr>
              <w:adjustRightInd w:val="0"/>
              <w:snapToGrid w:val="0"/>
              <w:spacing w:line="288" w:lineRule="auto"/>
              <w:jc w:val="center"/>
              <w:rPr>
                <w:rFonts w:hint="eastAsia" w:ascii="宋体" w:hAnsi="宋体" w:eastAsia="宋体"/>
                <w:szCs w:val="21"/>
              </w:rPr>
            </w:pPr>
            <w:r>
              <w:rPr>
                <w:rFonts w:hint="eastAsia" w:ascii="宋体" w:hAnsi="宋体" w:eastAsia="宋体"/>
                <w:szCs w:val="21"/>
              </w:rPr>
              <w:t>（二）</w:t>
            </w:r>
          </w:p>
        </w:tc>
        <w:tc>
          <w:tcPr>
            <w:tcW w:w="1701" w:type="dxa"/>
            <w:vAlign w:val="center"/>
          </w:tcPr>
          <w:p w14:paraId="15DF0CEE">
            <w:pPr>
              <w:adjustRightInd w:val="0"/>
              <w:snapToGrid w:val="0"/>
              <w:spacing w:line="288" w:lineRule="auto"/>
              <w:jc w:val="center"/>
              <w:rPr>
                <w:rFonts w:hint="eastAsia" w:ascii="宋体" w:hAnsi="宋体" w:eastAsia="宋体"/>
                <w:szCs w:val="21"/>
              </w:rPr>
            </w:pPr>
            <w:r>
              <w:rPr>
                <w:rFonts w:hint="eastAsia" w:ascii="宋体" w:hAnsi="宋体" w:eastAsia="宋体"/>
                <w:szCs w:val="21"/>
              </w:rPr>
              <w:t>招标方式</w:t>
            </w:r>
          </w:p>
        </w:tc>
        <w:tc>
          <w:tcPr>
            <w:tcW w:w="6663" w:type="dxa"/>
            <w:vAlign w:val="center"/>
          </w:tcPr>
          <w:p w14:paraId="15DF0CEF">
            <w:pPr>
              <w:adjustRightInd w:val="0"/>
              <w:snapToGrid w:val="0"/>
              <w:spacing w:line="288" w:lineRule="auto"/>
              <w:rPr>
                <w:rFonts w:hint="eastAsia" w:ascii="宋体" w:hAnsi="宋体" w:eastAsia="宋体"/>
                <w:szCs w:val="21"/>
              </w:rPr>
            </w:pPr>
            <w:r>
              <w:rPr>
                <w:rFonts w:hint="eastAsia" w:ascii="宋体" w:hAnsi="宋体" w:eastAsia="宋体"/>
                <w:szCs w:val="21"/>
              </w:rPr>
              <w:t>本次招标采用公开招标（线上电子招投标）方式进行。</w:t>
            </w:r>
          </w:p>
        </w:tc>
      </w:tr>
      <w:tr w14:paraId="15DF0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5DF0CF1">
            <w:pPr>
              <w:adjustRightInd w:val="0"/>
              <w:snapToGrid w:val="0"/>
              <w:spacing w:line="288" w:lineRule="auto"/>
              <w:jc w:val="center"/>
              <w:rPr>
                <w:rFonts w:hint="eastAsia" w:ascii="宋体" w:hAnsi="宋体" w:eastAsia="宋体"/>
                <w:szCs w:val="21"/>
              </w:rPr>
            </w:pPr>
            <w:r>
              <w:rPr>
                <w:rFonts w:hint="eastAsia" w:ascii="宋体" w:hAnsi="宋体" w:eastAsia="宋体"/>
                <w:szCs w:val="21"/>
              </w:rPr>
              <w:t>（三）</w:t>
            </w:r>
          </w:p>
        </w:tc>
        <w:tc>
          <w:tcPr>
            <w:tcW w:w="1701" w:type="dxa"/>
            <w:vAlign w:val="center"/>
          </w:tcPr>
          <w:p w14:paraId="15DF0CF2">
            <w:pPr>
              <w:adjustRightInd w:val="0"/>
              <w:snapToGrid w:val="0"/>
              <w:spacing w:line="288" w:lineRule="auto"/>
              <w:jc w:val="center"/>
              <w:rPr>
                <w:rFonts w:hint="eastAsia" w:ascii="宋体" w:hAnsi="宋体" w:eastAsia="宋体"/>
                <w:szCs w:val="21"/>
              </w:rPr>
            </w:pPr>
            <w:r>
              <w:rPr>
                <w:rFonts w:hint="eastAsia" w:ascii="宋体" w:hAnsi="宋体" w:eastAsia="宋体"/>
                <w:szCs w:val="21"/>
              </w:rPr>
              <w:t>投标委托</w:t>
            </w:r>
          </w:p>
        </w:tc>
        <w:tc>
          <w:tcPr>
            <w:tcW w:w="6663" w:type="dxa"/>
            <w:vAlign w:val="center"/>
          </w:tcPr>
          <w:p w14:paraId="15DF0CF3">
            <w:pPr>
              <w:adjustRightInd w:val="0"/>
              <w:snapToGrid w:val="0"/>
              <w:spacing w:line="288" w:lineRule="auto"/>
              <w:rPr>
                <w:rFonts w:hint="eastAsia" w:ascii="宋体" w:hAnsi="宋体" w:eastAsia="宋体"/>
                <w:szCs w:val="21"/>
              </w:rPr>
            </w:pPr>
            <w:r>
              <w:rPr>
                <w:rFonts w:hint="eastAsia" w:ascii="宋体" w:hAnsi="宋体" w:eastAsia="宋体"/>
                <w:szCs w:val="21"/>
              </w:rPr>
              <w:t>▲1</w:t>
            </w:r>
            <w:r>
              <w:rPr>
                <w:rFonts w:ascii="宋体" w:hAnsi="宋体" w:eastAsia="宋体"/>
                <w:szCs w:val="21"/>
              </w:rPr>
              <w:t>.投标人代表是法定代表人</w:t>
            </w:r>
            <w:r>
              <w:rPr>
                <w:rFonts w:hint="eastAsia" w:ascii="宋体" w:hAnsi="宋体" w:eastAsia="宋体"/>
                <w:szCs w:val="21"/>
              </w:rPr>
              <w:t>（单位负责人、自然人本人）的，须提供本人身份证明。</w:t>
            </w:r>
          </w:p>
          <w:p w14:paraId="15DF0CF4">
            <w:pPr>
              <w:adjustRightInd w:val="0"/>
              <w:snapToGrid w:val="0"/>
              <w:spacing w:line="288" w:lineRule="auto"/>
              <w:rPr>
                <w:rFonts w:hint="eastAsia" w:ascii="宋体" w:hAnsi="宋体" w:eastAsia="宋体"/>
                <w:szCs w:val="21"/>
              </w:rPr>
            </w:pPr>
            <w:r>
              <w:rPr>
                <w:rFonts w:hint="eastAsia" w:ascii="宋体" w:hAnsi="宋体" w:eastAsia="宋体"/>
                <w:szCs w:val="21"/>
              </w:rPr>
              <w:t>▲</w:t>
            </w:r>
            <w:r>
              <w:rPr>
                <w:rFonts w:ascii="宋体" w:hAnsi="宋体" w:eastAsia="宋体"/>
                <w:szCs w:val="21"/>
              </w:rPr>
              <w:t>2</w:t>
            </w:r>
            <w:r>
              <w:rPr>
                <w:rFonts w:hint="eastAsia" w:ascii="宋体" w:hAnsi="宋体" w:eastAsia="宋体"/>
                <w:szCs w:val="21"/>
              </w:rPr>
              <w:t>.</w:t>
            </w:r>
            <w:r>
              <w:rPr>
                <w:rFonts w:ascii="宋体" w:hAnsi="宋体" w:eastAsia="宋体"/>
                <w:szCs w:val="21"/>
              </w:rPr>
              <w:t>投标人代表不是法定代表人</w:t>
            </w:r>
            <w:r>
              <w:rPr>
                <w:rFonts w:hint="eastAsia" w:ascii="宋体" w:hAnsi="宋体" w:eastAsia="宋体"/>
                <w:szCs w:val="21"/>
              </w:rPr>
              <w:t>（单位负责人、自然人本人）的</w:t>
            </w:r>
            <w:r>
              <w:rPr>
                <w:rFonts w:ascii="宋体" w:hAnsi="宋体" w:eastAsia="宋体"/>
                <w:szCs w:val="21"/>
              </w:rPr>
              <w:t>，须提供</w:t>
            </w:r>
            <w:r>
              <w:rPr>
                <w:rFonts w:ascii="宋体" w:hAnsi="宋体" w:eastAsia="宋体"/>
                <w:bCs/>
                <w:szCs w:val="21"/>
              </w:rPr>
              <w:t>授权</w:t>
            </w:r>
            <w:r>
              <w:rPr>
                <w:rFonts w:hint="eastAsia" w:ascii="宋体" w:hAnsi="宋体" w:eastAsia="宋体"/>
                <w:bCs/>
                <w:szCs w:val="21"/>
              </w:rPr>
              <w:t>委托</w:t>
            </w:r>
            <w:r>
              <w:rPr>
                <w:rFonts w:ascii="宋体" w:hAnsi="宋体" w:eastAsia="宋体"/>
                <w:bCs/>
                <w:szCs w:val="21"/>
              </w:rPr>
              <w:t>书</w:t>
            </w:r>
            <w:r>
              <w:rPr>
                <w:rFonts w:hint="eastAsia" w:ascii="宋体" w:hAnsi="宋体" w:eastAsia="宋体"/>
                <w:szCs w:val="21"/>
              </w:rPr>
              <w:t>（格式详见招标文件第六章）和授权代表社保缴纳证明（2025年1月（含）</w:t>
            </w:r>
            <w:r>
              <w:rPr>
                <w:rFonts w:ascii="宋体" w:hAnsi="宋体" w:eastAsia="宋体"/>
                <w:szCs w:val="21"/>
              </w:rPr>
              <w:t>以后任意一月）</w:t>
            </w:r>
            <w:r>
              <w:rPr>
                <w:rFonts w:hint="eastAsia" w:ascii="宋体" w:hAnsi="宋体" w:eastAsia="宋体"/>
                <w:szCs w:val="21"/>
              </w:rPr>
              <w:t>；</w:t>
            </w:r>
          </w:p>
          <w:p w14:paraId="15DF0CF5">
            <w:pPr>
              <w:adjustRightInd w:val="0"/>
              <w:snapToGrid w:val="0"/>
              <w:spacing w:line="288" w:lineRule="auto"/>
              <w:rPr>
                <w:rFonts w:hint="eastAsia" w:ascii="宋体" w:hAnsi="宋体" w:eastAsia="宋体"/>
                <w:szCs w:val="21"/>
              </w:rPr>
            </w:pPr>
            <w:r>
              <w:rPr>
                <w:rFonts w:hint="eastAsia" w:ascii="宋体" w:hAnsi="宋体" w:eastAsia="宋体"/>
                <w:szCs w:val="21"/>
              </w:rPr>
              <w:t>▲</w:t>
            </w:r>
            <w:r>
              <w:rPr>
                <w:rFonts w:ascii="宋体" w:hAnsi="宋体" w:eastAsia="宋体"/>
                <w:szCs w:val="21"/>
              </w:rPr>
              <w:t>3.</w:t>
            </w:r>
            <w:r>
              <w:rPr>
                <w:rFonts w:hint="eastAsia" w:ascii="宋体" w:hAnsi="宋体" w:eastAsia="宋体"/>
                <w:szCs w:val="21"/>
              </w:rPr>
              <w:t>投标人委派不在本单位缴纳社保的人员作为授权代表的，应当在投标文件中，说明具体原因、授权代表缴纳社保的单位，并附列该授权代表缴纳社保清单。</w:t>
            </w:r>
          </w:p>
        </w:tc>
      </w:tr>
      <w:tr w14:paraId="15DF0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5DF0CF7">
            <w:pPr>
              <w:adjustRightInd w:val="0"/>
              <w:snapToGrid w:val="0"/>
              <w:spacing w:line="288" w:lineRule="auto"/>
              <w:jc w:val="center"/>
              <w:rPr>
                <w:rFonts w:hint="eastAsia" w:ascii="宋体" w:hAnsi="宋体" w:eastAsia="宋体"/>
                <w:szCs w:val="21"/>
              </w:rPr>
            </w:pPr>
            <w:r>
              <w:rPr>
                <w:rFonts w:hint="eastAsia" w:ascii="宋体" w:hAnsi="宋体" w:eastAsia="宋体"/>
                <w:szCs w:val="21"/>
              </w:rPr>
              <w:t>（四）</w:t>
            </w:r>
          </w:p>
        </w:tc>
        <w:tc>
          <w:tcPr>
            <w:tcW w:w="1701" w:type="dxa"/>
            <w:vAlign w:val="center"/>
          </w:tcPr>
          <w:p w14:paraId="15DF0CF8">
            <w:pPr>
              <w:adjustRightInd w:val="0"/>
              <w:snapToGrid w:val="0"/>
              <w:spacing w:line="288" w:lineRule="auto"/>
              <w:jc w:val="center"/>
              <w:rPr>
                <w:rFonts w:hint="eastAsia" w:ascii="宋体" w:hAnsi="宋体" w:eastAsia="宋体"/>
                <w:szCs w:val="21"/>
              </w:rPr>
            </w:pPr>
            <w:r>
              <w:rPr>
                <w:rFonts w:hint="eastAsia" w:ascii="宋体" w:hAnsi="宋体" w:eastAsia="宋体"/>
                <w:szCs w:val="21"/>
              </w:rPr>
              <w:t>投标费用</w:t>
            </w:r>
          </w:p>
        </w:tc>
        <w:tc>
          <w:tcPr>
            <w:tcW w:w="6663" w:type="dxa"/>
            <w:vAlign w:val="center"/>
          </w:tcPr>
          <w:p w14:paraId="15DF0CF9">
            <w:pPr>
              <w:adjustRightInd w:val="0"/>
              <w:snapToGrid w:val="0"/>
              <w:spacing w:line="288" w:lineRule="auto"/>
              <w:rPr>
                <w:rFonts w:hint="eastAsia" w:ascii="宋体" w:hAnsi="宋体" w:eastAsia="宋体"/>
                <w:szCs w:val="21"/>
              </w:rPr>
            </w:pPr>
            <w:r>
              <w:rPr>
                <w:rFonts w:hint="eastAsia" w:ascii="宋体" w:hAnsi="宋体" w:eastAsia="宋体"/>
                <w:szCs w:val="21"/>
              </w:rPr>
              <w:t>1.不论投标结果如何，投标人均应自行承担所有与投标有关的全部费用；</w:t>
            </w:r>
          </w:p>
          <w:p w14:paraId="15DF0CFA">
            <w:pPr>
              <w:adjustRightInd w:val="0"/>
              <w:snapToGrid w:val="0"/>
              <w:spacing w:line="288" w:lineRule="auto"/>
              <w:rPr>
                <w:rFonts w:hint="eastAsia" w:ascii="宋体" w:hAnsi="宋体" w:eastAsia="宋体"/>
                <w:szCs w:val="21"/>
              </w:rPr>
            </w:pPr>
            <w:r>
              <w:rPr>
                <w:rFonts w:hint="eastAsia" w:ascii="宋体" w:hAnsi="宋体" w:eastAsia="宋体"/>
                <w:szCs w:val="21"/>
              </w:rPr>
              <w:t>2.中标人在中标通知书发出之日起七个工作日内，向采购代理机构交纳代理服务费；</w:t>
            </w:r>
          </w:p>
          <w:p w14:paraId="15DF0CFB">
            <w:pPr>
              <w:adjustRightInd w:val="0"/>
              <w:snapToGrid w:val="0"/>
              <w:spacing w:line="288" w:lineRule="auto"/>
              <w:rPr>
                <w:rFonts w:hint="eastAsia" w:ascii="宋体" w:hAnsi="宋体" w:eastAsia="宋体"/>
                <w:szCs w:val="21"/>
              </w:rPr>
            </w:pPr>
            <w:r>
              <w:rPr>
                <w:rFonts w:hint="eastAsia" w:ascii="宋体" w:hAnsi="宋体" w:eastAsia="宋体"/>
                <w:szCs w:val="21"/>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14:paraId="15DF0CFC">
            <w:pPr>
              <w:adjustRightInd w:val="0"/>
              <w:snapToGrid w:val="0"/>
              <w:spacing w:line="288" w:lineRule="auto"/>
              <w:rPr>
                <w:rFonts w:hint="eastAsia" w:ascii="宋体" w:hAnsi="宋体" w:eastAsia="宋体"/>
                <w:szCs w:val="21"/>
              </w:rPr>
            </w:pPr>
            <w:r>
              <w:rPr>
                <w:rFonts w:hint="eastAsia" w:ascii="宋体" w:hAnsi="宋体" w:eastAsia="宋体"/>
                <w:szCs w:val="21"/>
              </w:rPr>
              <w:t>4</w:t>
            </w:r>
            <w:r>
              <w:rPr>
                <w:rFonts w:ascii="宋体" w:hAnsi="宋体" w:eastAsia="宋体"/>
                <w:szCs w:val="21"/>
              </w:rPr>
              <w:t>.</w:t>
            </w:r>
            <w:r>
              <w:rPr>
                <w:rFonts w:hint="eastAsia" w:ascii="宋体" w:hAnsi="宋体" w:eastAsia="宋体"/>
                <w:szCs w:val="21"/>
              </w:rPr>
              <w:t>收费标准（差额累进）：</w:t>
            </w:r>
          </w:p>
          <w:tbl>
            <w:tblPr>
              <w:tblStyle w:val="23"/>
              <w:tblW w:w="5621"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14:paraId="15DF0CF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15DF0CFD">
                  <w:pPr>
                    <w:adjustRightInd w:val="0"/>
                    <w:snapToGrid w:val="0"/>
                    <w:spacing w:line="288" w:lineRule="auto"/>
                    <w:jc w:val="center"/>
                    <w:rPr>
                      <w:rFonts w:hint="eastAsia" w:ascii="宋体" w:hAnsi="宋体" w:eastAsia="宋体"/>
                      <w:szCs w:val="21"/>
                    </w:rPr>
                  </w:pPr>
                  <w:r>
                    <w:rPr>
                      <w:rFonts w:hint="eastAsia" w:ascii="宋体" w:hAnsi="宋体" w:eastAsia="宋体"/>
                      <w:szCs w:val="21"/>
                    </w:rPr>
                    <w:t>中标金额（万元）</w:t>
                  </w:r>
                </w:p>
              </w:tc>
              <w:tc>
                <w:tcPr>
                  <w:tcW w:w="3070" w:type="dxa"/>
                  <w:tcMar>
                    <w:top w:w="0" w:type="dxa"/>
                    <w:left w:w="108" w:type="dxa"/>
                    <w:bottom w:w="0" w:type="dxa"/>
                    <w:right w:w="108" w:type="dxa"/>
                  </w:tcMar>
                  <w:vAlign w:val="center"/>
                </w:tcPr>
                <w:p w14:paraId="15DF0CFE">
                  <w:pPr>
                    <w:adjustRightInd w:val="0"/>
                    <w:snapToGrid w:val="0"/>
                    <w:spacing w:line="288" w:lineRule="auto"/>
                    <w:jc w:val="center"/>
                    <w:rPr>
                      <w:rFonts w:hint="eastAsia" w:ascii="宋体" w:hAnsi="宋体" w:eastAsia="宋体"/>
                      <w:szCs w:val="21"/>
                    </w:rPr>
                  </w:pPr>
                  <w:r>
                    <w:rPr>
                      <w:rFonts w:hint="eastAsia" w:ascii="宋体" w:hAnsi="宋体" w:eastAsia="宋体"/>
                      <w:szCs w:val="21"/>
                    </w:rPr>
                    <w:t>收费标准（费率，%）</w:t>
                  </w:r>
                </w:p>
              </w:tc>
            </w:tr>
            <w:tr w14:paraId="15DF0D0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15DF0D00">
                  <w:pPr>
                    <w:adjustRightInd w:val="0"/>
                    <w:snapToGrid w:val="0"/>
                    <w:spacing w:line="288" w:lineRule="auto"/>
                    <w:jc w:val="center"/>
                    <w:rPr>
                      <w:rFonts w:hint="eastAsia" w:ascii="宋体" w:hAnsi="宋体" w:eastAsia="宋体"/>
                      <w:szCs w:val="21"/>
                    </w:rPr>
                  </w:pPr>
                  <w:r>
                    <w:rPr>
                      <w:rFonts w:hint="eastAsia" w:ascii="宋体" w:hAnsi="宋体" w:eastAsia="宋体"/>
                      <w:szCs w:val="21"/>
                    </w:rPr>
                    <w:t>100以下</w:t>
                  </w:r>
                </w:p>
              </w:tc>
              <w:tc>
                <w:tcPr>
                  <w:tcW w:w="3070" w:type="dxa"/>
                  <w:tcMar>
                    <w:top w:w="0" w:type="dxa"/>
                    <w:left w:w="108" w:type="dxa"/>
                    <w:bottom w:w="0" w:type="dxa"/>
                    <w:right w:w="108" w:type="dxa"/>
                  </w:tcMar>
                  <w:vAlign w:val="center"/>
                </w:tcPr>
                <w:p w14:paraId="15DF0D01">
                  <w:pPr>
                    <w:adjustRightInd w:val="0"/>
                    <w:snapToGrid w:val="0"/>
                    <w:spacing w:line="288" w:lineRule="auto"/>
                    <w:jc w:val="center"/>
                    <w:rPr>
                      <w:rFonts w:hint="eastAsia" w:ascii="宋体" w:hAnsi="宋体" w:eastAsia="宋体"/>
                      <w:szCs w:val="21"/>
                    </w:rPr>
                  </w:pPr>
                  <w:r>
                    <w:rPr>
                      <w:rFonts w:hint="eastAsia" w:ascii="宋体" w:hAnsi="宋体" w:eastAsia="宋体"/>
                      <w:szCs w:val="21"/>
                    </w:rPr>
                    <w:t>1.05（不足3000元的按3000元计）</w:t>
                  </w:r>
                </w:p>
              </w:tc>
            </w:tr>
            <w:tr w14:paraId="15DF0D0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15DF0D03">
                  <w:pPr>
                    <w:adjustRightInd w:val="0"/>
                    <w:snapToGrid w:val="0"/>
                    <w:spacing w:line="288" w:lineRule="auto"/>
                    <w:jc w:val="center"/>
                    <w:rPr>
                      <w:rFonts w:hint="eastAsia" w:ascii="宋体" w:hAnsi="宋体" w:eastAsia="宋体"/>
                      <w:szCs w:val="21"/>
                    </w:rPr>
                  </w:pPr>
                  <w:r>
                    <w:rPr>
                      <w:rFonts w:hint="eastAsia" w:ascii="宋体" w:hAnsi="宋体" w:eastAsia="宋体"/>
                      <w:szCs w:val="21"/>
                    </w:rPr>
                    <w:t>100-500</w:t>
                  </w:r>
                </w:p>
              </w:tc>
              <w:tc>
                <w:tcPr>
                  <w:tcW w:w="3070" w:type="dxa"/>
                  <w:tcMar>
                    <w:top w:w="0" w:type="dxa"/>
                    <w:left w:w="108" w:type="dxa"/>
                    <w:bottom w:w="0" w:type="dxa"/>
                    <w:right w:w="108" w:type="dxa"/>
                  </w:tcMar>
                  <w:vAlign w:val="center"/>
                </w:tcPr>
                <w:p w14:paraId="15DF0D04">
                  <w:pPr>
                    <w:adjustRightInd w:val="0"/>
                    <w:snapToGrid w:val="0"/>
                    <w:spacing w:line="288" w:lineRule="auto"/>
                    <w:jc w:val="center"/>
                    <w:rPr>
                      <w:rFonts w:hint="eastAsia" w:ascii="宋体" w:hAnsi="宋体" w:eastAsia="宋体"/>
                      <w:szCs w:val="21"/>
                    </w:rPr>
                  </w:pPr>
                  <w:r>
                    <w:rPr>
                      <w:rFonts w:hint="eastAsia" w:ascii="宋体" w:hAnsi="宋体" w:eastAsia="宋体"/>
                      <w:szCs w:val="21"/>
                    </w:rPr>
                    <w:t>0.77</w:t>
                  </w:r>
                </w:p>
              </w:tc>
            </w:tr>
          </w:tbl>
          <w:p w14:paraId="15DF0D06">
            <w:pPr>
              <w:adjustRightInd w:val="0"/>
              <w:snapToGrid w:val="0"/>
              <w:spacing w:line="288" w:lineRule="auto"/>
              <w:rPr>
                <w:rFonts w:hint="eastAsia" w:ascii="宋体" w:hAnsi="宋体" w:eastAsia="宋体"/>
                <w:szCs w:val="21"/>
              </w:rPr>
            </w:pPr>
          </w:p>
        </w:tc>
      </w:tr>
      <w:tr w14:paraId="15DF0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5DF0D08">
            <w:pPr>
              <w:adjustRightInd w:val="0"/>
              <w:snapToGrid w:val="0"/>
              <w:spacing w:line="288" w:lineRule="auto"/>
              <w:jc w:val="center"/>
              <w:rPr>
                <w:rFonts w:hint="eastAsia" w:ascii="宋体" w:hAnsi="宋体" w:eastAsia="宋体"/>
                <w:szCs w:val="21"/>
              </w:rPr>
            </w:pPr>
            <w:r>
              <w:rPr>
                <w:rFonts w:hint="eastAsia" w:ascii="宋体" w:hAnsi="宋体" w:eastAsia="宋体"/>
                <w:szCs w:val="21"/>
              </w:rPr>
              <w:t>（五）</w:t>
            </w:r>
          </w:p>
        </w:tc>
        <w:tc>
          <w:tcPr>
            <w:tcW w:w="1701" w:type="dxa"/>
            <w:vAlign w:val="center"/>
          </w:tcPr>
          <w:p w14:paraId="15DF0D09">
            <w:pPr>
              <w:adjustRightInd w:val="0"/>
              <w:snapToGrid w:val="0"/>
              <w:spacing w:line="288" w:lineRule="auto"/>
              <w:ind w:right="-105" w:rightChars="-50"/>
              <w:jc w:val="center"/>
              <w:rPr>
                <w:rFonts w:hint="eastAsia" w:ascii="宋体" w:hAnsi="宋体" w:eastAsia="宋体"/>
                <w:szCs w:val="21"/>
              </w:rPr>
            </w:pPr>
            <w:r>
              <w:rPr>
                <w:rFonts w:hint="eastAsia" w:ascii="宋体" w:hAnsi="宋体" w:eastAsia="宋体" w:cs="Times New Roman"/>
                <w:spacing w:val="-6"/>
                <w:szCs w:val="21"/>
              </w:rPr>
              <w:t>投标保证金（元）</w:t>
            </w:r>
          </w:p>
        </w:tc>
        <w:tc>
          <w:tcPr>
            <w:tcW w:w="6663" w:type="dxa"/>
            <w:vAlign w:val="center"/>
          </w:tcPr>
          <w:p w14:paraId="15DF0D0A">
            <w:pPr>
              <w:adjustRightInd w:val="0"/>
              <w:snapToGrid w:val="0"/>
              <w:spacing w:line="288" w:lineRule="auto"/>
              <w:rPr>
                <w:rFonts w:hint="eastAsia" w:ascii="宋体" w:hAnsi="宋体" w:eastAsia="宋体"/>
                <w:szCs w:val="21"/>
              </w:rPr>
            </w:pPr>
            <w:r>
              <w:rPr>
                <w:rFonts w:hint="eastAsia" w:ascii="宋体" w:hAnsi="宋体" w:eastAsia="宋体" w:cs="Times New Roman"/>
                <w:spacing w:val="-6"/>
                <w:szCs w:val="21"/>
              </w:rPr>
              <w:t>无。</w:t>
            </w:r>
          </w:p>
        </w:tc>
      </w:tr>
      <w:tr w14:paraId="15DF0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5DF0D0C">
            <w:pPr>
              <w:adjustRightInd w:val="0"/>
              <w:snapToGrid w:val="0"/>
              <w:spacing w:line="288" w:lineRule="auto"/>
              <w:jc w:val="center"/>
              <w:rPr>
                <w:rFonts w:hint="eastAsia" w:ascii="宋体" w:hAnsi="宋体" w:eastAsia="宋体"/>
                <w:szCs w:val="21"/>
              </w:rPr>
            </w:pPr>
            <w:r>
              <w:rPr>
                <w:rFonts w:hint="eastAsia" w:ascii="宋体" w:hAnsi="宋体" w:eastAsia="宋体"/>
                <w:szCs w:val="21"/>
              </w:rPr>
              <w:t>（六）</w:t>
            </w:r>
          </w:p>
        </w:tc>
        <w:tc>
          <w:tcPr>
            <w:tcW w:w="1701" w:type="dxa"/>
            <w:vAlign w:val="center"/>
          </w:tcPr>
          <w:p w14:paraId="15DF0D0D">
            <w:pPr>
              <w:adjustRightInd w:val="0"/>
              <w:snapToGrid w:val="0"/>
              <w:spacing w:line="288" w:lineRule="auto"/>
              <w:jc w:val="center"/>
              <w:rPr>
                <w:rFonts w:hint="eastAsia" w:ascii="宋体" w:hAnsi="宋体" w:eastAsia="宋体"/>
                <w:szCs w:val="21"/>
              </w:rPr>
            </w:pPr>
            <w:r>
              <w:rPr>
                <w:rFonts w:hint="eastAsia" w:ascii="宋体" w:hAnsi="宋体" w:eastAsia="宋体"/>
                <w:szCs w:val="21"/>
              </w:rPr>
              <w:t>联合体投标</w:t>
            </w:r>
          </w:p>
        </w:tc>
        <w:tc>
          <w:tcPr>
            <w:tcW w:w="6663" w:type="dxa"/>
            <w:vAlign w:val="center"/>
          </w:tcPr>
          <w:p w14:paraId="15DF0D0E">
            <w:pPr>
              <w:adjustRightInd w:val="0"/>
              <w:snapToGrid w:val="0"/>
              <w:spacing w:line="288" w:lineRule="auto"/>
              <w:rPr>
                <w:rFonts w:hint="eastAsia" w:ascii="宋体" w:hAnsi="宋体" w:eastAsia="宋体"/>
                <w:szCs w:val="21"/>
              </w:rPr>
            </w:pPr>
            <w:r>
              <w:rPr>
                <w:rFonts w:hint="eastAsia" w:ascii="宋体" w:hAnsi="宋体" w:eastAsia="宋体"/>
                <w:szCs w:val="21"/>
              </w:rPr>
              <w:t>本项目（是）接受联合体投标。</w:t>
            </w:r>
          </w:p>
        </w:tc>
      </w:tr>
      <w:tr w14:paraId="15DF0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5DF0D10">
            <w:pPr>
              <w:adjustRightInd w:val="0"/>
              <w:snapToGrid w:val="0"/>
              <w:spacing w:line="288" w:lineRule="auto"/>
              <w:jc w:val="center"/>
              <w:rPr>
                <w:rFonts w:hint="eastAsia" w:ascii="宋体" w:hAnsi="宋体" w:eastAsia="宋体"/>
                <w:szCs w:val="21"/>
              </w:rPr>
            </w:pPr>
            <w:r>
              <w:rPr>
                <w:rFonts w:hint="eastAsia" w:ascii="宋体" w:hAnsi="宋体" w:eastAsia="宋体"/>
                <w:szCs w:val="21"/>
              </w:rPr>
              <w:t>（七）</w:t>
            </w:r>
          </w:p>
        </w:tc>
        <w:tc>
          <w:tcPr>
            <w:tcW w:w="1701" w:type="dxa"/>
            <w:vAlign w:val="center"/>
          </w:tcPr>
          <w:p w14:paraId="15DF0D11">
            <w:pPr>
              <w:adjustRightInd w:val="0"/>
              <w:snapToGrid w:val="0"/>
              <w:spacing w:line="288" w:lineRule="auto"/>
              <w:jc w:val="center"/>
              <w:rPr>
                <w:rFonts w:hint="eastAsia" w:ascii="宋体" w:hAnsi="宋体" w:eastAsia="宋体"/>
                <w:szCs w:val="21"/>
              </w:rPr>
            </w:pPr>
            <w:r>
              <w:rPr>
                <w:rFonts w:hint="eastAsia" w:ascii="宋体" w:hAnsi="宋体" w:eastAsia="宋体"/>
                <w:szCs w:val="21"/>
              </w:rPr>
              <w:t>转包与分包</w:t>
            </w:r>
          </w:p>
        </w:tc>
        <w:tc>
          <w:tcPr>
            <w:tcW w:w="6663" w:type="dxa"/>
            <w:vAlign w:val="center"/>
          </w:tcPr>
          <w:p w14:paraId="15DF0D12">
            <w:pPr>
              <w:adjustRightInd w:val="0"/>
              <w:snapToGrid w:val="0"/>
              <w:spacing w:line="288" w:lineRule="auto"/>
              <w:rPr>
                <w:rFonts w:hint="eastAsia" w:ascii="宋体" w:hAnsi="宋体" w:eastAsia="宋体"/>
                <w:szCs w:val="21"/>
              </w:rPr>
            </w:pPr>
            <w:r>
              <w:rPr>
                <w:rFonts w:hint="eastAsia" w:ascii="宋体" w:hAnsi="宋体" w:eastAsia="宋体"/>
                <w:szCs w:val="21"/>
              </w:rPr>
              <w:t>1</w:t>
            </w:r>
            <w:r>
              <w:rPr>
                <w:rFonts w:ascii="宋体" w:hAnsi="宋体" w:eastAsia="宋体"/>
                <w:szCs w:val="21"/>
              </w:rPr>
              <w:t>.</w:t>
            </w:r>
            <w:r>
              <w:rPr>
                <w:rFonts w:hint="eastAsia" w:ascii="宋体" w:hAnsi="宋体" w:eastAsia="宋体"/>
                <w:szCs w:val="21"/>
              </w:rPr>
              <w:t>本项目不允许转包；</w:t>
            </w:r>
          </w:p>
          <w:p w14:paraId="15DF0D13">
            <w:pPr>
              <w:adjustRightInd w:val="0"/>
              <w:snapToGrid w:val="0"/>
              <w:spacing w:line="288" w:lineRule="auto"/>
              <w:rPr>
                <w:rFonts w:hint="eastAsia" w:ascii="宋体" w:hAnsi="宋体" w:eastAsia="宋体"/>
                <w:szCs w:val="21"/>
              </w:rPr>
            </w:pPr>
            <w:r>
              <w:rPr>
                <w:rFonts w:ascii="宋体" w:hAnsi="宋体" w:eastAsia="宋体"/>
                <w:szCs w:val="21"/>
              </w:rPr>
              <w:t>2.</w:t>
            </w:r>
            <w:r>
              <w:rPr>
                <w:rFonts w:hint="eastAsia" w:ascii="宋体" w:hAnsi="宋体" w:eastAsia="宋体"/>
                <w:szCs w:val="21"/>
              </w:rPr>
              <w:t>本项目</w:t>
            </w:r>
            <w:r>
              <w:rPr>
                <w:rFonts w:hint="eastAsia" w:ascii="宋体" w:hAnsi="宋体" w:eastAsia="宋体"/>
                <w:b/>
                <w:bCs/>
                <w:szCs w:val="21"/>
                <w:u w:val="single"/>
              </w:rPr>
              <w:t>允许</w:t>
            </w:r>
            <w:r>
              <w:rPr>
                <w:rFonts w:hint="eastAsia" w:ascii="宋体" w:hAnsi="宋体" w:eastAsia="宋体"/>
                <w:szCs w:val="21"/>
              </w:rPr>
              <w:t>分包，</w:t>
            </w:r>
            <w:r>
              <w:rPr>
                <w:rFonts w:ascii="宋体" w:hAnsi="宋体" w:eastAsia="宋体"/>
                <w:szCs w:val="21"/>
              </w:rPr>
              <w:t>可以分包履行的（非主体、非关键性的工作）具体内容、金额或者比例：</w:t>
            </w:r>
            <w:r>
              <w:rPr>
                <w:rFonts w:hint="eastAsia" w:ascii="宋体" w:hAnsi="宋体" w:eastAsia="宋体"/>
                <w:szCs w:val="21"/>
                <w:u w:val="single"/>
              </w:rPr>
              <w:t>货物运输</w:t>
            </w:r>
            <w:r>
              <w:rPr>
                <w:rFonts w:ascii="宋体" w:hAnsi="宋体" w:eastAsia="宋体"/>
                <w:szCs w:val="21"/>
                <w:u w:val="single"/>
              </w:rPr>
              <w:t>。</w:t>
            </w:r>
          </w:p>
          <w:p w14:paraId="15DF0D14">
            <w:pPr>
              <w:adjustRightInd w:val="0"/>
              <w:snapToGrid w:val="0"/>
              <w:spacing w:line="288" w:lineRule="auto"/>
              <w:rPr>
                <w:rFonts w:hint="eastAsia" w:ascii="宋体" w:hAnsi="宋体" w:eastAsia="宋体" w:cs="Times New Roman"/>
                <w:spacing w:val="-6"/>
                <w:szCs w:val="21"/>
              </w:rPr>
            </w:pPr>
            <w:r>
              <w:rPr>
                <w:rFonts w:hint="eastAsia" w:ascii="宋体" w:hAnsi="宋体" w:eastAsia="宋体"/>
                <w:szCs w:val="21"/>
              </w:rPr>
              <w:t>说明：投标人根据招标文件的规定和采购项目的实际情况，拟在中标后将中标项目的非主体、非关键性工作分包的，应当在投标文件中载明分包承担主体，分包承担主体应当具备相应资质条件且不得再次分包。</w:t>
            </w:r>
          </w:p>
        </w:tc>
      </w:tr>
      <w:tr w14:paraId="15DF0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5DF0D16">
            <w:pPr>
              <w:adjustRightInd w:val="0"/>
              <w:snapToGrid w:val="0"/>
              <w:spacing w:line="288" w:lineRule="auto"/>
              <w:jc w:val="center"/>
              <w:rPr>
                <w:rFonts w:hint="eastAsia" w:ascii="宋体" w:hAnsi="宋体" w:eastAsia="宋体"/>
                <w:szCs w:val="21"/>
              </w:rPr>
            </w:pPr>
            <w:r>
              <w:rPr>
                <w:rFonts w:hint="eastAsia" w:ascii="宋体" w:hAnsi="宋体" w:eastAsia="宋体"/>
                <w:szCs w:val="21"/>
              </w:rPr>
              <w:t>（八）</w:t>
            </w:r>
          </w:p>
        </w:tc>
        <w:tc>
          <w:tcPr>
            <w:tcW w:w="1701" w:type="dxa"/>
            <w:vAlign w:val="center"/>
          </w:tcPr>
          <w:p w14:paraId="15DF0D17">
            <w:pPr>
              <w:adjustRightInd w:val="0"/>
              <w:snapToGrid w:val="0"/>
              <w:spacing w:line="288" w:lineRule="auto"/>
              <w:jc w:val="center"/>
              <w:rPr>
                <w:rFonts w:hint="eastAsia" w:ascii="宋体" w:hAnsi="宋体" w:eastAsia="宋体"/>
                <w:szCs w:val="21"/>
              </w:rPr>
            </w:pPr>
            <w:r>
              <w:rPr>
                <w:rFonts w:hint="eastAsia" w:ascii="宋体" w:hAnsi="宋体" w:eastAsia="宋体"/>
                <w:b/>
                <w:bCs/>
                <w:szCs w:val="21"/>
              </w:rPr>
              <w:t>信用记录</w:t>
            </w:r>
          </w:p>
        </w:tc>
        <w:tc>
          <w:tcPr>
            <w:tcW w:w="6663" w:type="dxa"/>
            <w:vAlign w:val="center"/>
          </w:tcPr>
          <w:p w14:paraId="15DF0D18">
            <w:pPr>
              <w:adjustRightInd w:val="0"/>
              <w:snapToGrid w:val="0"/>
              <w:spacing w:line="288" w:lineRule="auto"/>
              <w:rPr>
                <w:rFonts w:hint="eastAsia" w:ascii="宋体" w:hAnsi="宋体" w:eastAsia="宋体"/>
                <w:szCs w:val="21"/>
              </w:rPr>
            </w:pPr>
            <w:r>
              <w:rPr>
                <w:rFonts w:hint="eastAsia" w:ascii="宋体" w:hAnsi="宋体" w:eastAsia="宋体"/>
                <w:bCs/>
                <w:szCs w:val="21"/>
              </w:rPr>
              <w:t>根据财库[2016]125号《关于在政府采购活动中查询及使用信用记录有关问题的通知》要求，采购代理机构会对投标人信用记录进行查询并甄别。信用</w:t>
            </w:r>
            <w:r>
              <w:rPr>
                <w:rFonts w:hint="eastAsia" w:ascii="宋体" w:hAnsi="宋体" w:eastAsia="宋体"/>
                <w:szCs w:val="21"/>
              </w:rPr>
              <w:t>信息查询的截止时点：投标截止时间；</w:t>
            </w:r>
          </w:p>
          <w:p w14:paraId="15DF0D19">
            <w:pPr>
              <w:adjustRightInd w:val="0"/>
              <w:snapToGrid w:val="0"/>
              <w:spacing w:line="288" w:lineRule="auto"/>
              <w:rPr>
                <w:rFonts w:hint="eastAsia" w:ascii="宋体" w:hAnsi="宋体" w:eastAsia="宋体"/>
                <w:szCs w:val="21"/>
              </w:rPr>
            </w:pPr>
            <w:r>
              <w:rPr>
                <w:rFonts w:hint="eastAsia" w:ascii="宋体" w:hAnsi="宋体" w:eastAsia="宋体"/>
                <w:szCs w:val="21"/>
              </w:rPr>
              <w:t>（</w:t>
            </w:r>
            <w:r>
              <w:rPr>
                <w:rFonts w:ascii="宋体" w:hAnsi="宋体" w:eastAsia="宋体"/>
                <w:szCs w:val="21"/>
              </w:rPr>
              <w:t>1</w:t>
            </w:r>
            <w:r>
              <w:rPr>
                <w:rFonts w:hint="eastAsia" w:ascii="宋体" w:hAnsi="宋体" w:eastAsia="宋体"/>
                <w:szCs w:val="21"/>
              </w:rPr>
              <w:t>）查询渠道：“信用中国”（www.creditchina.gov.cn）、“中国政府采购网”（www.ccgp.gov.cn）；</w:t>
            </w:r>
          </w:p>
          <w:p w14:paraId="15DF0D1A">
            <w:pPr>
              <w:adjustRightInd w:val="0"/>
              <w:snapToGrid w:val="0"/>
              <w:spacing w:line="288" w:lineRule="auto"/>
              <w:rPr>
                <w:rFonts w:hint="eastAsia" w:ascii="宋体" w:hAnsi="宋体" w:eastAsia="宋体"/>
                <w:szCs w:val="21"/>
              </w:rPr>
            </w:pPr>
            <w:r>
              <w:rPr>
                <w:rFonts w:hint="eastAsia" w:ascii="宋体" w:hAnsi="宋体" w:eastAsia="宋体"/>
                <w:szCs w:val="21"/>
              </w:rPr>
              <w:t>（</w:t>
            </w:r>
            <w:r>
              <w:rPr>
                <w:rFonts w:ascii="宋体" w:hAnsi="宋体" w:eastAsia="宋体"/>
                <w:szCs w:val="21"/>
              </w:rPr>
              <w:t>2</w:t>
            </w:r>
            <w:r>
              <w:rPr>
                <w:rFonts w:hint="eastAsia" w:ascii="宋体" w:hAnsi="宋体" w:eastAsia="宋体"/>
                <w:szCs w:val="21"/>
              </w:rPr>
              <w:t>）信用信息查询记录和证据留存具体方式：采购代理机构经办人和监督人员将查询网页打印、签名与其他采购文件一并保存；</w:t>
            </w:r>
          </w:p>
          <w:p w14:paraId="15DF0D1B">
            <w:pPr>
              <w:adjustRightInd w:val="0"/>
              <w:snapToGrid w:val="0"/>
              <w:spacing w:line="288" w:lineRule="auto"/>
              <w:rPr>
                <w:rFonts w:hint="eastAsia" w:ascii="宋体" w:hAnsi="宋体" w:eastAsia="宋体"/>
                <w:szCs w:val="21"/>
              </w:rPr>
            </w:pPr>
            <w:r>
              <w:rPr>
                <w:rFonts w:hint="eastAsia" w:ascii="宋体" w:hAnsi="宋体" w:eastAsia="宋体"/>
                <w:szCs w:val="21"/>
              </w:rPr>
              <w:t>（</w:t>
            </w:r>
            <w:r>
              <w:rPr>
                <w:rFonts w:ascii="宋体" w:hAnsi="宋体" w:eastAsia="宋体"/>
                <w:szCs w:val="21"/>
              </w:rPr>
              <w:t>3</w:t>
            </w:r>
            <w:r>
              <w:rPr>
                <w:rFonts w:hint="eastAsia" w:ascii="宋体" w:hAnsi="宋体" w:eastAsia="宋体"/>
                <w:bCs/>
                <w:szCs w:val="21"/>
              </w:rPr>
              <w:t>）信用信息的使用规则：投标人被列入失信被执行人、重大税收违法案件当事人名单、政府采购严重违法失信行为记录名单的，拒绝其参与政府采购活动。</w:t>
            </w:r>
          </w:p>
        </w:tc>
      </w:tr>
      <w:tr w14:paraId="15DF0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5DF0D1D">
            <w:pPr>
              <w:adjustRightInd w:val="0"/>
              <w:snapToGrid w:val="0"/>
              <w:spacing w:line="288" w:lineRule="auto"/>
              <w:jc w:val="center"/>
              <w:rPr>
                <w:rFonts w:hint="eastAsia" w:ascii="宋体" w:hAnsi="宋体" w:eastAsia="宋体"/>
                <w:szCs w:val="21"/>
              </w:rPr>
            </w:pPr>
            <w:r>
              <w:rPr>
                <w:rFonts w:hint="eastAsia" w:ascii="宋体" w:hAnsi="宋体" w:eastAsia="宋体"/>
                <w:szCs w:val="21"/>
              </w:rPr>
              <w:t>（九）</w:t>
            </w:r>
          </w:p>
        </w:tc>
        <w:tc>
          <w:tcPr>
            <w:tcW w:w="1701" w:type="dxa"/>
            <w:vAlign w:val="center"/>
          </w:tcPr>
          <w:p w14:paraId="15DF0D1E">
            <w:pPr>
              <w:adjustRightInd w:val="0"/>
              <w:snapToGrid w:val="0"/>
              <w:spacing w:line="288" w:lineRule="auto"/>
              <w:jc w:val="center"/>
              <w:rPr>
                <w:rFonts w:hint="eastAsia" w:ascii="宋体" w:hAnsi="宋体" w:eastAsia="宋体"/>
                <w:szCs w:val="21"/>
              </w:rPr>
            </w:pPr>
            <w:r>
              <w:rPr>
                <w:rFonts w:hint="eastAsia" w:ascii="宋体" w:hAnsi="宋体" w:eastAsia="宋体"/>
                <w:szCs w:val="21"/>
              </w:rPr>
              <w:t>资格审查要求的资格证明材料</w:t>
            </w:r>
          </w:p>
        </w:tc>
        <w:tc>
          <w:tcPr>
            <w:tcW w:w="6663" w:type="dxa"/>
            <w:vAlign w:val="center"/>
          </w:tcPr>
          <w:p w14:paraId="15DF0D1F">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资格审查要求的资格证明材料（均需加盖公章）</w:t>
            </w:r>
          </w:p>
          <w:p w14:paraId="15DF0D20">
            <w:pPr>
              <w:adjustRightInd w:val="0"/>
              <w:snapToGrid w:val="0"/>
              <w:spacing w:line="288" w:lineRule="auto"/>
              <w:rPr>
                <w:rFonts w:hint="eastAsia" w:ascii="宋体" w:hAnsi="宋体" w:eastAsia="宋体"/>
                <w:bCs/>
                <w:szCs w:val="21"/>
              </w:rPr>
            </w:pPr>
            <w:r>
              <w:rPr>
                <w:rFonts w:hint="eastAsia" w:ascii="宋体" w:hAnsi="宋体" w:eastAsia="宋体"/>
                <w:szCs w:val="21"/>
              </w:rPr>
              <w:t>（</w:t>
            </w:r>
            <w:r>
              <w:rPr>
                <w:rFonts w:hint="eastAsia" w:ascii="宋体" w:hAnsi="宋体" w:eastAsia="宋体"/>
                <w:bCs/>
                <w:szCs w:val="21"/>
              </w:rPr>
              <w:t>1）有效的法人或者其他组织的营业执照等证明文件，自然人的身份证明</w:t>
            </w:r>
          </w:p>
          <w:p w14:paraId="15DF0D21">
            <w:pPr>
              <w:adjustRightInd w:val="0"/>
              <w:snapToGrid w:val="0"/>
              <w:spacing w:line="288" w:lineRule="auto"/>
              <w:rPr>
                <w:rFonts w:hint="eastAsia" w:ascii="宋体" w:hAnsi="宋体" w:eastAsia="宋体"/>
                <w:bCs/>
                <w:szCs w:val="21"/>
              </w:rPr>
            </w:pPr>
            <w:r>
              <w:rPr>
                <w:rFonts w:hint="eastAsia" w:ascii="宋体" w:hAnsi="宋体" w:eastAsia="宋体"/>
                <w:szCs w:val="21"/>
              </w:rPr>
              <w:t>（</w:t>
            </w:r>
            <w:r>
              <w:rPr>
                <w:rFonts w:hint="eastAsia" w:ascii="宋体" w:hAnsi="宋体" w:eastAsia="宋体"/>
                <w:bCs/>
                <w:szCs w:val="21"/>
              </w:rPr>
              <w:t>2）符合参加政府采购活动应当具备的一般条件的承诺函</w:t>
            </w:r>
          </w:p>
          <w:p w14:paraId="15DF0D22">
            <w:pPr>
              <w:adjustRightInd w:val="0"/>
              <w:snapToGrid w:val="0"/>
              <w:spacing w:line="288" w:lineRule="auto"/>
              <w:rPr>
                <w:rFonts w:hint="eastAsia" w:ascii="宋体" w:hAnsi="宋体" w:eastAsia="宋体"/>
                <w:bCs/>
                <w:szCs w:val="21"/>
              </w:rPr>
            </w:pPr>
            <w:r>
              <w:rPr>
                <w:rFonts w:hint="eastAsia" w:ascii="宋体" w:hAnsi="宋体" w:eastAsia="宋体"/>
                <w:bCs/>
                <w:szCs w:val="21"/>
              </w:rPr>
              <w:t>（</w:t>
            </w:r>
            <w:r>
              <w:rPr>
                <w:rFonts w:ascii="宋体" w:hAnsi="宋体" w:eastAsia="宋体"/>
                <w:bCs/>
                <w:szCs w:val="21"/>
              </w:rPr>
              <w:t>3</w:t>
            </w:r>
            <w:r>
              <w:rPr>
                <w:rFonts w:hint="eastAsia" w:ascii="宋体" w:hAnsi="宋体" w:eastAsia="宋体"/>
                <w:bCs/>
                <w:szCs w:val="21"/>
              </w:rPr>
              <w:t>）</w:t>
            </w:r>
            <w:r>
              <w:rPr>
                <w:rFonts w:ascii="宋体" w:hAnsi="宋体" w:eastAsia="宋体"/>
                <w:bCs/>
                <w:szCs w:val="21"/>
              </w:rPr>
              <w:t>落实政府采购政策需满足的资格要求：</w:t>
            </w:r>
            <w:r>
              <w:rPr>
                <w:rFonts w:hint="eastAsia" w:ascii="宋体" w:hAnsi="宋体" w:eastAsia="宋体"/>
                <w:bCs/>
                <w:szCs w:val="21"/>
              </w:rPr>
              <w:t>无</w:t>
            </w:r>
          </w:p>
          <w:p w14:paraId="15DF0D23">
            <w:pPr>
              <w:adjustRightInd w:val="0"/>
              <w:snapToGrid w:val="0"/>
              <w:spacing w:line="288" w:lineRule="auto"/>
              <w:rPr>
                <w:rFonts w:hint="eastAsia" w:ascii="宋体" w:hAnsi="宋体" w:eastAsia="宋体"/>
                <w:bCs/>
                <w:szCs w:val="21"/>
              </w:rPr>
            </w:pPr>
            <w:r>
              <w:rPr>
                <w:rFonts w:hint="eastAsia" w:ascii="宋体" w:hAnsi="宋体" w:eastAsia="宋体"/>
                <w:szCs w:val="21"/>
              </w:rPr>
              <w:t>（</w:t>
            </w:r>
            <w:r>
              <w:rPr>
                <w:rFonts w:ascii="宋体" w:hAnsi="宋体" w:eastAsia="宋体"/>
                <w:szCs w:val="21"/>
              </w:rPr>
              <w:t>4）</w:t>
            </w:r>
            <w:r>
              <w:rPr>
                <w:rFonts w:hint="eastAsia" w:ascii="宋体" w:hAnsi="宋体" w:eastAsia="宋体"/>
                <w:szCs w:val="21"/>
              </w:rPr>
              <w:t>本项目的特定资格要求</w:t>
            </w:r>
            <w:r>
              <w:rPr>
                <w:rFonts w:ascii="宋体" w:hAnsi="宋体" w:eastAsia="宋体"/>
                <w:szCs w:val="21"/>
              </w:rPr>
              <w:t>证明材料</w:t>
            </w:r>
            <w:r>
              <w:rPr>
                <w:rFonts w:ascii="宋体" w:hAnsi="宋体" w:eastAsia="宋体"/>
                <w:bCs/>
                <w:szCs w:val="21"/>
              </w:rPr>
              <w:t>：</w:t>
            </w:r>
            <w:r>
              <w:rPr>
                <w:rFonts w:hint="eastAsia" w:ascii="宋体" w:hAnsi="宋体" w:eastAsia="宋体"/>
                <w:bCs/>
                <w:szCs w:val="21"/>
              </w:rPr>
              <w:t>无</w:t>
            </w:r>
          </w:p>
        </w:tc>
      </w:tr>
      <w:tr w14:paraId="15DF0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5DF0D25">
            <w:pPr>
              <w:adjustRightInd w:val="0"/>
              <w:snapToGrid w:val="0"/>
              <w:spacing w:line="288" w:lineRule="auto"/>
              <w:jc w:val="center"/>
              <w:rPr>
                <w:rFonts w:hint="eastAsia" w:ascii="宋体" w:hAnsi="宋体" w:eastAsia="宋体"/>
                <w:szCs w:val="21"/>
              </w:rPr>
            </w:pPr>
            <w:r>
              <w:rPr>
                <w:rFonts w:hint="eastAsia" w:ascii="宋体" w:hAnsi="宋体" w:eastAsia="宋体"/>
                <w:szCs w:val="21"/>
              </w:rPr>
              <w:t>（十）</w:t>
            </w:r>
          </w:p>
        </w:tc>
        <w:tc>
          <w:tcPr>
            <w:tcW w:w="1701" w:type="dxa"/>
            <w:vAlign w:val="center"/>
          </w:tcPr>
          <w:p w14:paraId="15DF0D26">
            <w:pPr>
              <w:adjustRightInd w:val="0"/>
              <w:snapToGrid w:val="0"/>
              <w:spacing w:line="288" w:lineRule="auto"/>
              <w:jc w:val="center"/>
              <w:rPr>
                <w:rFonts w:hint="eastAsia" w:ascii="宋体" w:hAnsi="宋体" w:eastAsia="宋体"/>
                <w:szCs w:val="21"/>
              </w:rPr>
            </w:pPr>
            <w:r>
              <w:rPr>
                <w:rFonts w:hint="eastAsia" w:ascii="宋体" w:hAnsi="宋体" w:eastAsia="宋体"/>
                <w:szCs w:val="21"/>
              </w:rPr>
              <w:t>投标文件份数</w:t>
            </w:r>
          </w:p>
        </w:tc>
        <w:tc>
          <w:tcPr>
            <w:tcW w:w="6663" w:type="dxa"/>
            <w:vAlign w:val="center"/>
          </w:tcPr>
          <w:p w14:paraId="15DF0D27">
            <w:pPr>
              <w:adjustRightInd w:val="0"/>
              <w:snapToGrid w:val="0"/>
              <w:spacing w:line="288" w:lineRule="auto"/>
              <w:jc w:val="left"/>
              <w:rPr>
                <w:rFonts w:hint="eastAsia" w:ascii="宋体" w:hAnsi="宋体" w:eastAsia="宋体"/>
                <w:bCs/>
                <w:spacing w:val="-6"/>
                <w:szCs w:val="21"/>
              </w:rPr>
            </w:pPr>
            <w:r>
              <w:rPr>
                <w:rFonts w:hint="eastAsia" w:ascii="宋体" w:hAnsi="宋体" w:eastAsia="宋体"/>
                <w:bCs/>
                <w:spacing w:val="-6"/>
                <w:szCs w:val="21"/>
              </w:rPr>
              <w:t>电子加密投标文件：政府采购云平台在线上传一份；</w:t>
            </w:r>
          </w:p>
          <w:p w14:paraId="15DF0D28">
            <w:pPr>
              <w:adjustRightInd w:val="0"/>
              <w:snapToGrid w:val="0"/>
              <w:spacing w:line="288" w:lineRule="auto"/>
              <w:jc w:val="left"/>
              <w:rPr>
                <w:rFonts w:hint="eastAsia" w:ascii="宋体" w:hAnsi="宋体" w:eastAsia="宋体" w:cs="宋体"/>
                <w:bCs/>
                <w:szCs w:val="21"/>
              </w:rPr>
            </w:pPr>
            <w:r>
              <w:rPr>
                <w:rFonts w:hint="eastAsia" w:ascii="宋体" w:hAnsi="宋体" w:eastAsia="宋体"/>
                <w:bCs/>
                <w:spacing w:val="-6"/>
                <w:szCs w:val="21"/>
              </w:rPr>
              <w:t>备份投标文件：密封包装后EMS或顺丰邮寄形式递交一份（邮寄地址：</w:t>
            </w:r>
            <w:r>
              <w:rPr>
                <w:rFonts w:hint="eastAsia" w:ascii="宋体" w:hAnsi="宋体" w:eastAsia="宋体" w:cs="宋体"/>
                <w:bCs/>
                <w:szCs w:val="21"/>
              </w:rPr>
              <w:t>杭州市西湖区玉古路173号中田大厦21楼H室，浙江求是招标代理有限公司（陈应俭、俞炳）收，电话：0571-87670302，寄出后将（快递单号、项目名称、公司名称、联系方式等相关信息）发至：zb02@qszb.net，以便查收）。</w:t>
            </w:r>
          </w:p>
          <w:p w14:paraId="15DF0D29">
            <w:pPr>
              <w:adjustRightInd w:val="0"/>
              <w:snapToGrid w:val="0"/>
              <w:spacing w:line="288" w:lineRule="auto"/>
              <w:jc w:val="left"/>
              <w:rPr>
                <w:rFonts w:hint="eastAsia" w:ascii="宋体" w:hAnsi="宋体" w:eastAsia="宋体"/>
                <w:bCs/>
                <w:spacing w:val="-6"/>
                <w:szCs w:val="21"/>
              </w:rPr>
            </w:pPr>
            <w:r>
              <w:rPr>
                <w:rFonts w:hint="eastAsia" w:ascii="宋体" w:hAnsi="宋体" w:eastAsia="宋体" w:cs="宋体"/>
                <w:b/>
                <w:szCs w:val="21"/>
              </w:rPr>
              <w:t>特别说明：双休日和法定节假日不收件，投标人自行承担邮寄风险。</w:t>
            </w:r>
          </w:p>
        </w:tc>
      </w:tr>
      <w:tr w14:paraId="15DF0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5DF0D2B">
            <w:pPr>
              <w:adjustRightInd w:val="0"/>
              <w:snapToGrid w:val="0"/>
              <w:spacing w:line="288" w:lineRule="auto"/>
              <w:jc w:val="center"/>
              <w:rPr>
                <w:rFonts w:hint="eastAsia" w:ascii="宋体" w:hAnsi="宋体" w:eastAsia="宋体"/>
                <w:szCs w:val="21"/>
              </w:rPr>
            </w:pPr>
            <w:r>
              <w:rPr>
                <w:rFonts w:hint="eastAsia" w:ascii="宋体" w:hAnsi="宋体" w:eastAsia="宋体"/>
                <w:szCs w:val="21"/>
              </w:rPr>
              <w:t>（十一）</w:t>
            </w:r>
          </w:p>
        </w:tc>
        <w:tc>
          <w:tcPr>
            <w:tcW w:w="1701" w:type="dxa"/>
            <w:vAlign w:val="center"/>
          </w:tcPr>
          <w:p w14:paraId="15DF0D2C">
            <w:pPr>
              <w:adjustRightInd w:val="0"/>
              <w:snapToGrid w:val="0"/>
              <w:spacing w:line="288" w:lineRule="auto"/>
              <w:jc w:val="center"/>
              <w:rPr>
                <w:rFonts w:hint="eastAsia" w:ascii="宋体" w:hAnsi="宋体" w:eastAsia="宋体"/>
                <w:szCs w:val="21"/>
              </w:rPr>
            </w:pPr>
            <w:r>
              <w:rPr>
                <w:rFonts w:hint="eastAsia" w:ascii="宋体" w:hAnsi="宋体" w:eastAsia="宋体"/>
                <w:szCs w:val="21"/>
              </w:rPr>
              <w:t>投标报价</w:t>
            </w:r>
          </w:p>
        </w:tc>
        <w:tc>
          <w:tcPr>
            <w:tcW w:w="6663" w:type="dxa"/>
            <w:vAlign w:val="center"/>
          </w:tcPr>
          <w:p w14:paraId="15DF0D2D">
            <w:pPr>
              <w:adjustRightInd w:val="0"/>
              <w:snapToGrid w:val="0"/>
              <w:spacing w:line="288" w:lineRule="auto"/>
              <w:rPr>
                <w:rFonts w:hint="eastAsia" w:ascii="宋体" w:hAnsi="宋体" w:eastAsia="宋体"/>
                <w:szCs w:val="21"/>
              </w:rPr>
            </w:pPr>
            <w:bookmarkStart w:id="39" w:name="OLE_LINK1"/>
            <w:r>
              <w:rPr>
                <w:rFonts w:hint="eastAsia" w:ascii="宋体" w:hAnsi="宋体" w:eastAsia="宋体"/>
                <w:szCs w:val="21"/>
              </w:rPr>
              <w:t>1.报价应按招标文件要求的格式编制、填写报价内容（可自行增行），未按招标文件要求编制、填写的投标文件可能被拒绝；</w:t>
            </w:r>
          </w:p>
          <w:p w14:paraId="15DF0D2E">
            <w:pPr>
              <w:adjustRightInd w:val="0"/>
              <w:snapToGrid w:val="0"/>
              <w:spacing w:line="288" w:lineRule="auto"/>
              <w:rPr>
                <w:rFonts w:hint="eastAsia" w:ascii="宋体" w:hAnsi="宋体" w:eastAsia="宋体"/>
                <w:szCs w:val="21"/>
              </w:rPr>
            </w:pPr>
            <w:r>
              <w:rPr>
                <w:rFonts w:hint="eastAsia" w:ascii="宋体" w:hAnsi="宋体" w:eastAsia="宋体"/>
                <w:szCs w:val="21"/>
              </w:rPr>
              <w:t>2.以人民币报价；</w:t>
            </w:r>
          </w:p>
          <w:p w14:paraId="15DF0D2F">
            <w:pPr>
              <w:adjustRightInd w:val="0"/>
              <w:snapToGrid w:val="0"/>
              <w:spacing w:line="288" w:lineRule="auto"/>
              <w:rPr>
                <w:rFonts w:hint="eastAsia" w:ascii="宋体" w:hAnsi="宋体" w:eastAsia="宋体"/>
                <w:szCs w:val="21"/>
              </w:rPr>
            </w:pPr>
            <w:r>
              <w:rPr>
                <w:rFonts w:hint="eastAsia" w:ascii="宋体" w:hAnsi="宋体" w:eastAsia="宋体"/>
                <w:szCs w:val="21"/>
              </w:rPr>
              <w:t>3.投标报价是履行合同的最终价格，有关本项目实施所涉及的一切费用均计入报价；总价不为零，分项报价中部分产品、服务单价为零的，视作已包含在总价中；</w:t>
            </w:r>
          </w:p>
          <w:p w14:paraId="15DF0D30">
            <w:pPr>
              <w:adjustRightInd w:val="0"/>
              <w:snapToGrid w:val="0"/>
              <w:spacing w:line="288" w:lineRule="auto"/>
              <w:rPr>
                <w:rFonts w:hint="eastAsia" w:ascii="宋体" w:hAnsi="宋体" w:eastAsia="宋体"/>
                <w:szCs w:val="21"/>
              </w:rPr>
            </w:pPr>
            <w:r>
              <w:rPr>
                <w:rFonts w:hint="eastAsia" w:ascii="宋体" w:hAnsi="宋体" w:eastAsia="宋体"/>
                <w:szCs w:val="21"/>
              </w:rPr>
              <w:t>4.投标文件只允许有一个报价，有选择的报价将不予接受。</w:t>
            </w:r>
          </w:p>
          <w:p w14:paraId="15DF0D31">
            <w:pPr>
              <w:pStyle w:val="13"/>
              <w:adjustRightInd w:val="0"/>
              <w:snapToGrid w:val="0"/>
              <w:spacing w:before="0" w:beforeLines="0" w:after="0" w:afterLines="0" w:line="288" w:lineRule="auto"/>
              <w:jc w:val="left"/>
              <w:rPr>
                <w:rFonts w:hint="eastAsia" w:hAnsi="宋体" w:eastAsia="宋体" w:cs="宋体"/>
                <w:sz w:val="21"/>
                <w:szCs w:val="21"/>
              </w:rPr>
            </w:pPr>
            <w:r>
              <w:rPr>
                <w:rFonts w:hint="eastAsia" w:hAnsi="宋体" w:eastAsia="宋体" w:cs="宋体"/>
                <w:sz w:val="21"/>
                <w:szCs w:val="21"/>
              </w:rPr>
              <w:t>▲5</w:t>
            </w:r>
            <w:r>
              <w:rPr>
                <w:rFonts w:hAnsi="宋体" w:eastAsia="宋体" w:cs="宋体"/>
                <w:sz w:val="21"/>
                <w:szCs w:val="21"/>
              </w:rPr>
              <w:t>.</w:t>
            </w:r>
            <w:r>
              <w:rPr>
                <w:rFonts w:hint="eastAsia" w:hAnsi="宋体" w:eastAsia="宋体" w:cs="宋体"/>
                <w:sz w:val="21"/>
                <w:szCs w:val="21"/>
              </w:rPr>
              <w:t>采购人将以合同形式有偿取得货物或服务，不接受投标人给予的赠品、回扣或者与采购无关的其他商品、服务</w:t>
            </w:r>
            <w:r>
              <w:rPr>
                <w:rFonts w:hAnsi="宋体" w:eastAsia="宋体" w:cs="宋体"/>
                <w:sz w:val="21"/>
                <w:szCs w:val="21"/>
              </w:rPr>
              <w:t>。</w:t>
            </w:r>
            <w:bookmarkEnd w:id="39"/>
          </w:p>
        </w:tc>
      </w:tr>
      <w:tr w14:paraId="15DF0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5DF0D33">
            <w:pPr>
              <w:adjustRightInd w:val="0"/>
              <w:snapToGrid w:val="0"/>
              <w:spacing w:line="288" w:lineRule="auto"/>
              <w:jc w:val="center"/>
              <w:rPr>
                <w:rFonts w:hint="eastAsia" w:ascii="宋体" w:hAnsi="宋体" w:eastAsia="宋体"/>
                <w:szCs w:val="21"/>
              </w:rPr>
            </w:pPr>
            <w:r>
              <w:rPr>
                <w:rFonts w:hint="eastAsia" w:ascii="宋体" w:hAnsi="宋体" w:eastAsia="宋体"/>
                <w:szCs w:val="21"/>
              </w:rPr>
              <w:t>（十二）</w:t>
            </w:r>
          </w:p>
        </w:tc>
        <w:tc>
          <w:tcPr>
            <w:tcW w:w="1701" w:type="dxa"/>
            <w:vAlign w:val="center"/>
          </w:tcPr>
          <w:p w14:paraId="15DF0D34">
            <w:pPr>
              <w:adjustRightInd w:val="0"/>
              <w:snapToGrid w:val="0"/>
              <w:spacing w:line="288" w:lineRule="auto"/>
              <w:jc w:val="center"/>
              <w:rPr>
                <w:rFonts w:hint="eastAsia" w:ascii="宋体" w:hAnsi="宋体" w:eastAsia="宋体"/>
                <w:szCs w:val="21"/>
              </w:rPr>
            </w:pPr>
            <w:r>
              <w:rPr>
                <w:rFonts w:hint="eastAsia" w:ascii="宋体" w:hAnsi="宋体" w:eastAsia="宋体"/>
                <w:szCs w:val="21"/>
              </w:rPr>
              <w:t>投标有效期</w:t>
            </w:r>
          </w:p>
        </w:tc>
        <w:tc>
          <w:tcPr>
            <w:tcW w:w="6663" w:type="dxa"/>
            <w:vAlign w:val="center"/>
          </w:tcPr>
          <w:p w14:paraId="15DF0D35">
            <w:pPr>
              <w:adjustRightInd w:val="0"/>
              <w:snapToGrid w:val="0"/>
              <w:spacing w:line="288" w:lineRule="auto"/>
              <w:rPr>
                <w:rFonts w:hint="eastAsia" w:ascii="宋体" w:hAnsi="宋体" w:eastAsia="宋体"/>
                <w:szCs w:val="21"/>
              </w:rPr>
            </w:pPr>
            <w:r>
              <w:rPr>
                <w:rFonts w:hint="eastAsia" w:ascii="宋体" w:hAnsi="宋体" w:eastAsia="宋体"/>
                <w:szCs w:val="21"/>
              </w:rPr>
              <w:t>▲从提交投标文件的截止之日起</w:t>
            </w:r>
            <w:r>
              <w:rPr>
                <w:rFonts w:ascii="宋体" w:hAnsi="宋体" w:eastAsia="宋体"/>
                <w:szCs w:val="21"/>
              </w:rPr>
              <w:t>90天，在原投标有效期满之前，如果出现特殊情况，采购人或采购代理机构以书面形式通知投标人延长投标有效期。</w:t>
            </w:r>
          </w:p>
        </w:tc>
      </w:tr>
      <w:tr w14:paraId="15DF0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5DF0D37">
            <w:pPr>
              <w:adjustRightInd w:val="0"/>
              <w:snapToGrid w:val="0"/>
              <w:spacing w:line="288" w:lineRule="auto"/>
              <w:jc w:val="center"/>
              <w:rPr>
                <w:rFonts w:hint="eastAsia" w:ascii="宋体" w:hAnsi="宋体" w:eastAsia="宋体"/>
                <w:szCs w:val="21"/>
              </w:rPr>
            </w:pPr>
            <w:r>
              <w:rPr>
                <w:rFonts w:hint="eastAsia" w:ascii="宋体" w:hAnsi="宋体" w:eastAsia="宋体"/>
                <w:szCs w:val="21"/>
              </w:rPr>
              <w:t>（十三）</w:t>
            </w:r>
          </w:p>
        </w:tc>
        <w:tc>
          <w:tcPr>
            <w:tcW w:w="1701" w:type="dxa"/>
            <w:vAlign w:val="center"/>
          </w:tcPr>
          <w:p w14:paraId="15DF0D38">
            <w:pPr>
              <w:adjustRightInd w:val="0"/>
              <w:snapToGrid w:val="0"/>
              <w:spacing w:line="288" w:lineRule="auto"/>
              <w:jc w:val="center"/>
              <w:rPr>
                <w:rFonts w:hint="eastAsia" w:ascii="宋体" w:hAnsi="宋体" w:eastAsia="宋体"/>
                <w:szCs w:val="21"/>
              </w:rPr>
            </w:pPr>
            <w:r>
              <w:rPr>
                <w:rFonts w:hint="eastAsia" w:ascii="宋体" w:hAnsi="宋体" w:eastAsia="宋体"/>
                <w:szCs w:val="21"/>
              </w:rPr>
              <w:t>评标方法和评标标准</w:t>
            </w:r>
          </w:p>
        </w:tc>
        <w:tc>
          <w:tcPr>
            <w:tcW w:w="6663" w:type="dxa"/>
            <w:vAlign w:val="center"/>
          </w:tcPr>
          <w:p w14:paraId="15DF0D39">
            <w:pPr>
              <w:adjustRightInd w:val="0"/>
              <w:snapToGrid w:val="0"/>
              <w:spacing w:line="288" w:lineRule="auto"/>
              <w:rPr>
                <w:rFonts w:hint="eastAsia" w:ascii="宋体" w:hAnsi="宋体" w:eastAsia="宋体"/>
                <w:szCs w:val="21"/>
              </w:rPr>
            </w:pPr>
            <w:r>
              <w:rPr>
                <w:rFonts w:ascii="宋体" w:hAnsi="宋体" w:eastAsia="宋体"/>
                <w:szCs w:val="21"/>
              </w:rPr>
              <w:t>详见“</w:t>
            </w:r>
            <w:r>
              <w:rPr>
                <w:rFonts w:hint="eastAsia" w:ascii="宋体" w:hAnsi="宋体" w:eastAsia="宋体"/>
                <w:szCs w:val="21"/>
              </w:rPr>
              <w:t>第四章  评标方法和评标标准</w:t>
            </w:r>
            <w:r>
              <w:rPr>
                <w:rFonts w:ascii="宋体" w:hAnsi="宋体" w:eastAsia="宋体"/>
                <w:szCs w:val="21"/>
              </w:rPr>
              <w:t>”</w:t>
            </w:r>
            <w:r>
              <w:rPr>
                <w:rFonts w:hint="eastAsia" w:ascii="宋体" w:hAnsi="宋体" w:eastAsia="宋体"/>
                <w:szCs w:val="21"/>
              </w:rPr>
              <w:t>。</w:t>
            </w:r>
          </w:p>
        </w:tc>
      </w:tr>
      <w:tr w14:paraId="15DF0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5DF0D3B">
            <w:pPr>
              <w:adjustRightInd w:val="0"/>
              <w:snapToGrid w:val="0"/>
              <w:spacing w:line="288" w:lineRule="auto"/>
              <w:jc w:val="center"/>
              <w:rPr>
                <w:rFonts w:hint="eastAsia" w:ascii="宋体" w:hAnsi="宋体" w:eastAsia="宋体"/>
                <w:szCs w:val="21"/>
              </w:rPr>
            </w:pPr>
            <w:r>
              <w:rPr>
                <w:rFonts w:ascii="宋体" w:hAnsi="宋体" w:eastAsia="宋体"/>
                <w:szCs w:val="21"/>
              </w:rPr>
              <w:t>（</w:t>
            </w:r>
            <w:r>
              <w:rPr>
                <w:rFonts w:hint="eastAsia" w:ascii="宋体" w:hAnsi="宋体" w:eastAsia="宋体"/>
                <w:szCs w:val="21"/>
              </w:rPr>
              <w:t>十四</w:t>
            </w:r>
            <w:r>
              <w:rPr>
                <w:rFonts w:ascii="宋体" w:hAnsi="宋体" w:eastAsia="宋体"/>
                <w:szCs w:val="21"/>
              </w:rPr>
              <w:t>）</w:t>
            </w:r>
          </w:p>
        </w:tc>
        <w:tc>
          <w:tcPr>
            <w:tcW w:w="1701" w:type="dxa"/>
            <w:vAlign w:val="center"/>
          </w:tcPr>
          <w:p w14:paraId="15DF0D3C">
            <w:pPr>
              <w:adjustRightInd w:val="0"/>
              <w:snapToGrid w:val="0"/>
              <w:spacing w:line="288" w:lineRule="auto"/>
              <w:jc w:val="center"/>
              <w:rPr>
                <w:rFonts w:hint="eastAsia" w:ascii="宋体" w:hAnsi="宋体" w:eastAsia="宋体"/>
                <w:szCs w:val="21"/>
              </w:rPr>
            </w:pPr>
            <w:r>
              <w:rPr>
                <w:rFonts w:hint="eastAsia" w:ascii="宋体" w:hAnsi="宋体" w:eastAsia="宋体"/>
                <w:szCs w:val="21"/>
              </w:rPr>
              <w:t>评标结果公示</w:t>
            </w:r>
          </w:p>
        </w:tc>
        <w:tc>
          <w:tcPr>
            <w:tcW w:w="6663" w:type="dxa"/>
            <w:vAlign w:val="center"/>
          </w:tcPr>
          <w:p w14:paraId="15DF0D3D">
            <w:pPr>
              <w:adjustRightInd w:val="0"/>
              <w:snapToGrid w:val="0"/>
              <w:spacing w:line="288" w:lineRule="auto"/>
              <w:rPr>
                <w:rFonts w:hint="eastAsia" w:ascii="宋体" w:hAnsi="宋体" w:eastAsia="宋体"/>
                <w:szCs w:val="21"/>
              </w:rPr>
            </w:pPr>
            <w:r>
              <w:rPr>
                <w:rFonts w:hint="eastAsia" w:ascii="宋体" w:hAnsi="宋体" w:eastAsia="宋体"/>
                <w:szCs w:val="21"/>
              </w:rPr>
              <w:t>评标结果公示媒体：浙江政府采购网（http://zfcg.czt.zj.gov.cn）。</w:t>
            </w:r>
          </w:p>
        </w:tc>
      </w:tr>
      <w:tr w14:paraId="15DF0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5DF0D3F">
            <w:pPr>
              <w:adjustRightInd w:val="0"/>
              <w:snapToGrid w:val="0"/>
              <w:spacing w:line="288" w:lineRule="auto"/>
              <w:jc w:val="center"/>
              <w:rPr>
                <w:rFonts w:hint="eastAsia" w:ascii="宋体" w:hAnsi="宋体" w:eastAsia="宋体"/>
                <w:szCs w:val="21"/>
              </w:rPr>
            </w:pPr>
            <w:r>
              <w:rPr>
                <w:rFonts w:hint="eastAsia" w:ascii="宋体" w:hAnsi="宋体" w:eastAsia="宋体"/>
                <w:szCs w:val="21"/>
              </w:rPr>
              <w:t>（十五）</w:t>
            </w:r>
          </w:p>
        </w:tc>
        <w:tc>
          <w:tcPr>
            <w:tcW w:w="1701" w:type="dxa"/>
            <w:vAlign w:val="center"/>
          </w:tcPr>
          <w:p w14:paraId="15DF0D40">
            <w:pPr>
              <w:adjustRightInd w:val="0"/>
              <w:snapToGrid w:val="0"/>
              <w:spacing w:line="288" w:lineRule="auto"/>
              <w:jc w:val="center"/>
              <w:rPr>
                <w:rFonts w:hint="eastAsia" w:ascii="宋体" w:hAnsi="宋体" w:eastAsia="宋体"/>
                <w:szCs w:val="21"/>
              </w:rPr>
            </w:pPr>
            <w:r>
              <w:rPr>
                <w:rFonts w:hint="eastAsia" w:ascii="宋体" w:hAnsi="宋体" w:eastAsia="宋体"/>
                <w:szCs w:val="21"/>
              </w:rPr>
              <w:t>签订合同</w:t>
            </w:r>
          </w:p>
        </w:tc>
        <w:tc>
          <w:tcPr>
            <w:tcW w:w="6663" w:type="dxa"/>
            <w:vAlign w:val="center"/>
          </w:tcPr>
          <w:p w14:paraId="15DF0D41">
            <w:pPr>
              <w:adjustRightInd w:val="0"/>
              <w:snapToGrid w:val="0"/>
              <w:spacing w:line="288" w:lineRule="auto"/>
              <w:rPr>
                <w:rFonts w:hint="eastAsia" w:ascii="宋体" w:hAnsi="宋体" w:eastAsia="宋体"/>
                <w:szCs w:val="21"/>
              </w:rPr>
            </w:pPr>
            <w:r>
              <w:rPr>
                <w:rFonts w:hint="eastAsia" w:ascii="宋体" w:hAnsi="宋体" w:eastAsia="宋体"/>
                <w:szCs w:val="21"/>
              </w:rPr>
              <w:t>中标通知书发出之日起30日内。</w:t>
            </w:r>
          </w:p>
        </w:tc>
      </w:tr>
    </w:tbl>
    <w:p w14:paraId="15DF0D43">
      <w:pPr>
        <w:adjustRightInd w:val="0"/>
        <w:snapToGrid w:val="0"/>
        <w:spacing w:line="288" w:lineRule="auto"/>
        <w:rPr>
          <w:rFonts w:hint="eastAsia" w:ascii="宋体" w:hAnsi="宋体" w:eastAsia="宋体"/>
          <w:szCs w:val="21"/>
        </w:rPr>
      </w:pPr>
    </w:p>
    <w:p w14:paraId="15DF0D44">
      <w:pPr>
        <w:adjustRightInd w:val="0"/>
        <w:snapToGrid w:val="0"/>
        <w:spacing w:line="288" w:lineRule="auto"/>
        <w:rPr>
          <w:rFonts w:hint="eastAsia" w:ascii="宋体" w:hAnsi="宋体" w:eastAsia="宋体"/>
          <w:szCs w:val="21"/>
        </w:rPr>
      </w:pPr>
      <w:r>
        <w:rPr>
          <w:rFonts w:ascii="宋体" w:hAnsi="宋体" w:eastAsia="宋体"/>
          <w:szCs w:val="21"/>
        </w:rPr>
        <w:br w:type="page"/>
      </w:r>
    </w:p>
    <w:p w14:paraId="15DF0D45">
      <w:pPr>
        <w:adjustRightInd w:val="0"/>
        <w:snapToGrid w:val="0"/>
        <w:spacing w:line="288" w:lineRule="auto"/>
        <w:jc w:val="center"/>
        <w:outlineLvl w:val="1"/>
        <w:rPr>
          <w:rFonts w:hint="eastAsia" w:ascii="宋体" w:hAnsi="宋体" w:eastAsia="宋体" w:cs="Times New Roman"/>
          <w:b/>
          <w:spacing w:val="-6"/>
          <w:szCs w:val="21"/>
        </w:rPr>
      </w:pPr>
      <w:r>
        <w:rPr>
          <w:rFonts w:ascii="宋体" w:hAnsi="宋体" w:eastAsia="宋体" w:cs="Times New Roman"/>
          <w:b/>
          <w:spacing w:val="-6"/>
          <w:szCs w:val="21"/>
        </w:rPr>
        <w:t>一</w:t>
      </w:r>
      <w:r>
        <w:rPr>
          <w:rFonts w:hint="eastAsia" w:ascii="宋体" w:hAnsi="宋体" w:eastAsia="宋体" w:cs="Times New Roman"/>
          <w:b/>
          <w:spacing w:val="-6"/>
          <w:szCs w:val="21"/>
        </w:rPr>
        <w:t>、</w:t>
      </w:r>
      <w:r>
        <w:rPr>
          <w:rFonts w:ascii="宋体" w:hAnsi="宋体" w:eastAsia="宋体" w:cs="Times New Roman"/>
          <w:b/>
          <w:spacing w:val="-6"/>
          <w:szCs w:val="21"/>
        </w:rPr>
        <w:t>总</w:t>
      </w:r>
      <w:r>
        <w:rPr>
          <w:rFonts w:hint="eastAsia" w:ascii="宋体" w:hAnsi="宋体" w:eastAsia="宋体" w:cs="Times New Roman"/>
          <w:b/>
          <w:spacing w:val="-6"/>
          <w:szCs w:val="21"/>
        </w:rPr>
        <w:t xml:space="preserve">  </w:t>
      </w:r>
      <w:r>
        <w:rPr>
          <w:rFonts w:ascii="宋体" w:hAnsi="宋体" w:eastAsia="宋体" w:cs="Times New Roman"/>
          <w:b/>
          <w:spacing w:val="-6"/>
          <w:szCs w:val="21"/>
        </w:rPr>
        <w:t>则</w:t>
      </w:r>
    </w:p>
    <w:p w14:paraId="15DF0D46">
      <w:pPr>
        <w:adjustRightInd w:val="0"/>
        <w:snapToGrid w:val="0"/>
        <w:spacing w:line="288" w:lineRule="auto"/>
        <w:ind w:firstLine="396" w:firstLineChars="200"/>
        <w:jc w:val="left"/>
        <w:rPr>
          <w:rFonts w:hint="eastAsia" w:ascii="宋体" w:hAnsi="宋体" w:eastAsia="宋体" w:cs="Times New Roman"/>
          <w:spacing w:val="-6"/>
          <w:szCs w:val="21"/>
        </w:rPr>
      </w:pPr>
      <w:bookmarkStart w:id="40" w:name="_Hlk94018326"/>
      <w:r>
        <w:rPr>
          <w:rFonts w:ascii="宋体" w:hAnsi="宋体" w:eastAsia="宋体" w:cs="Times New Roman"/>
          <w:spacing w:val="-6"/>
          <w:szCs w:val="21"/>
        </w:rPr>
        <w:t>投标人应仔细阅读招标文件的所有内容，按照招标文件的要求提交投标文件，并对所提供的全部资料的真实性承担法律责任。</w:t>
      </w:r>
    </w:p>
    <w:bookmarkEnd w:id="40"/>
    <w:p w14:paraId="15DF0D47">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（一</w:t>
      </w:r>
      <w:r>
        <w:rPr>
          <w:rFonts w:ascii="宋体" w:hAnsi="宋体" w:eastAsia="宋体" w:cs="Times New Roman"/>
          <w:b/>
          <w:spacing w:val="-6"/>
          <w:szCs w:val="21"/>
        </w:rPr>
        <w:t>）</w:t>
      </w:r>
      <w:r>
        <w:rPr>
          <w:rFonts w:hint="eastAsia" w:ascii="宋体" w:hAnsi="宋体" w:eastAsia="宋体" w:cs="Times New Roman"/>
          <w:b/>
          <w:spacing w:val="-6"/>
          <w:szCs w:val="21"/>
        </w:rPr>
        <w:t>适用范围</w:t>
      </w:r>
    </w:p>
    <w:p w14:paraId="15DF0D48">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本招标文件适用于杭州电子科技大学裸眼立体物理实验平台的招标、评标、定标、验收、合同履约、付款等（法律、法规另有规定的，从其规定）。</w:t>
      </w:r>
    </w:p>
    <w:p w14:paraId="15DF0D49">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（二）定义</w:t>
      </w:r>
    </w:p>
    <w:p w14:paraId="15DF0D4A">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1.“采购</w:t>
      </w:r>
      <w:r>
        <w:rPr>
          <w:rFonts w:ascii="宋体" w:hAnsi="宋体" w:eastAsia="宋体" w:cs="Times New Roman"/>
          <w:spacing w:val="-6"/>
          <w:szCs w:val="21"/>
        </w:rPr>
        <w:t>人</w:t>
      </w:r>
      <w:r>
        <w:rPr>
          <w:rFonts w:hint="eastAsia" w:ascii="宋体" w:hAnsi="宋体" w:eastAsia="宋体" w:cs="Times New Roman"/>
          <w:spacing w:val="-6"/>
          <w:szCs w:val="21"/>
        </w:rPr>
        <w:t>”系指杭州电子科技大学；</w:t>
      </w:r>
    </w:p>
    <w:p w14:paraId="15DF0D4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2.“采购代理机构”系指组织本次招标的浙江求是招标代理有限公司；</w:t>
      </w:r>
    </w:p>
    <w:p w14:paraId="15DF0D4C">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w:t>
      </w:r>
      <w:r>
        <w:rPr>
          <w:rFonts w:ascii="宋体" w:hAnsi="宋体" w:eastAsia="宋体" w:cs="Times New Roman"/>
          <w:spacing w:val="-6"/>
          <w:szCs w:val="21"/>
        </w:rPr>
        <w:t>.</w:t>
      </w:r>
      <w:r>
        <w:rPr>
          <w:rFonts w:hint="eastAsia" w:ascii="宋体" w:hAnsi="宋体" w:eastAsia="宋体" w:cs="Times New Roman"/>
          <w:spacing w:val="-6"/>
          <w:szCs w:val="21"/>
        </w:rPr>
        <w:t>“投标人”系指响应招标、参加投标竞争的法人、其他组织或者自然人；</w:t>
      </w:r>
    </w:p>
    <w:p w14:paraId="15DF0D4D">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4.“书面形式”包括合同书、信件和数据电文(包括电报、电传、传真、电子数据交换和电子邮件)等可以有形地表现所载内容的形式。</w:t>
      </w:r>
    </w:p>
    <w:p w14:paraId="15DF0D4E">
      <w:pPr>
        <w:adjustRightInd w:val="0"/>
        <w:snapToGrid w:val="0"/>
        <w:spacing w:line="288" w:lineRule="auto"/>
        <w:ind w:firstLine="396" w:firstLineChars="200"/>
        <w:jc w:val="left"/>
        <w:rPr>
          <w:rFonts w:hint="eastAsia" w:ascii="宋体" w:hAnsi="宋体" w:eastAsia="宋体"/>
          <w:szCs w:val="21"/>
        </w:rPr>
      </w:pPr>
      <w:r>
        <w:rPr>
          <w:rFonts w:hint="eastAsia" w:ascii="宋体" w:hAnsi="宋体" w:eastAsia="宋体" w:cs="Times New Roman"/>
          <w:spacing w:val="-6"/>
          <w:szCs w:val="21"/>
        </w:rPr>
        <w:t>5.“电子加密投标文件”系指通过政采云电子交易客户端（政采云投标客户端）完成投标文件编制后生成并加密的数据电文形式的投标文件（文件扩展名为.jmbs）；“备份投标文件”系指与“电子加密投标文件”同时生成的数据电文形式的电子文件（文件扩展名为.bfbs）；</w:t>
      </w:r>
      <w:bookmarkStart w:id="41" w:name="_Hlk96327615"/>
      <w:r>
        <w:rPr>
          <w:rFonts w:ascii="宋体" w:hAnsi="宋体" w:eastAsia="宋体"/>
          <w:szCs w:val="21"/>
        </w:rPr>
        <w:t>“电子签名”系指数据电文中以电子形式所含、所附用于识别签名人身份并表明签名人认可其中内容的数据；</w:t>
      </w:r>
      <w:r>
        <w:rPr>
          <w:rFonts w:hint="eastAsia" w:ascii="宋体" w:hAnsi="宋体" w:eastAsia="宋体"/>
          <w:szCs w:val="21"/>
        </w:rPr>
        <w:t>“公章”系指单位法定名称章。因特殊原因需要使用冠以法定名称的业务专用章的，投标时须提供《业务专用章使用说明函》（附件1）。</w:t>
      </w:r>
    </w:p>
    <w:p w14:paraId="15DF0D4F">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招标文件对投标文件签署、盖章的要求适用于电子签名。</w:t>
      </w:r>
    </w:p>
    <w:bookmarkEnd w:id="41"/>
    <w:p w14:paraId="15DF0D50">
      <w:pPr>
        <w:adjustRightInd w:val="0"/>
        <w:snapToGrid w:val="0"/>
        <w:spacing w:line="288" w:lineRule="auto"/>
        <w:ind w:firstLine="396" w:firstLineChars="200"/>
        <w:jc w:val="left"/>
        <w:rPr>
          <w:rFonts w:hint="eastAsia" w:ascii="宋体" w:hAnsi="宋体" w:eastAsia="宋体" w:cs="Times New Roman"/>
          <w:spacing w:val="-6"/>
          <w:szCs w:val="21"/>
        </w:rPr>
      </w:pPr>
      <w:r>
        <w:rPr>
          <w:rFonts w:ascii="宋体" w:hAnsi="宋体" w:eastAsia="宋体" w:cs="Times New Roman"/>
          <w:spacing w:val="-6"/>
          <w:szCs w:val="21"/>
        </w:rPr>
        <w:t>6</w:t>
      </w:r>
      <w:r>
        <w:rPr>
          <w:rFonts w:hint="eastAsia" w:ascii="宋体" w:hAnsi="宋体" w:eastAsia="宋体" w:cs="Times New Roman"/>
          <w:spacing w:val="-6"/>
          <w:szCs w:val="21"/>
        </w:rPr>
        <w:t>.“▲”系指实质性要求条款，投标人应当做出实质性响应。</w:t>
      </w:r>
    </w:p>
    <w:p w14:paraId="15DF0D51">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（三）招标方式</w:t>
      </w:r>
    </w:p>
    <w:p w14:paraId="15DF0D52">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本次招标采用公开招标（线上电子招投标）方式进行。</w:t>
      </w:r>
    </w:p>
    <w:p w14:paraId="15DF0D53">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（四）投标费用</w:t>
      </w:r>
    </w:p>
    <w:p w14:paraId="15DF0D54">
      <w:pPr>
        <w:adjustRightInd w:val="0"/>
        <w:snapToGrid w:val="0"/>
        <w:spacing w:line="288" w:lineRule="auto"/>
        <w:ind w:firstLine="424" w:firstLineChars="202"/>
        <w:rPr>
          <w:rFonts w:hint="eastAsia" w:ascii="宋体" w:hAnsi="宋体" w:eastAsia="宋体" w:cs="宋体"/>
          <w:szCs w:val="21"/>
        </w:rPr>
      </w:pPr>
      <w:r>
        <w:rPr>
          <w:rFonts w:hint="eastAsia" w:ascii="宋体" w:hAnsi="宋体" w:eastAsia="宋体" w:cs="宋体"/>
          <w:szCs w:val="21"/>
        </w:rPr>
        <w:t>1.不论投标结果如何，投标人均应自行承担所有与投标有关的全部费用；</w:t>
      </w:r>
    </w:p>
    <w:p w14:paraId="15DF0D55">
      <w:pPr>
        <w:adjustRightInd w:val="0"/>
        <w:snapToGrid w:val="0"/>
        <w:spacing w:line="288" w:lineRule="auto"/>
        <w:ind w:firstLine="424" w:firstLineChars="202"/>
        <w:rPr>
          <w:rFonts w:hint="eastAsia" w:ascii="宋体" w:hAnsi="宋体" w:eastAsia="宋体" w:cs="宋体"/>
          <w:szCs w:val="21"/>
        </w:rPr>
      </w:pPr>
      <w:r>
        <w:rPr>
          <w:rFonts w:hint="eastAsia" w:ascii="宋体" w:hAnsi="宋体" w:eastAsia="宋体" w:cs="宋体"/>
          <w:szCs w:val="21"/>
        </w:rPr>
        <w:t>2.中标人在中标通知书发出之日起七个工作日内，向采购代理机构交纳代理服务费；</w:t>
      </w:r>
    </w:p>
    <w:p w14:paraId="15DF0D56">
      <w:pPr>
        <w:adjustRightInd w:val="0"/>
        <w:snapToGrid w:val="0"/>
        <w:spacing w:line="288" w:lineRule="auto"/>
        <w:ind w:firstLine="424" w:firstLineChars="202"/>
        <w:rPr>
          <w:rFonts w:hint="eastAsia" w:ascii="宋体" w:hAnsi="宋体" w:eastAsia="宋体" w:cs="宋体"/>
          <w:szCs w:val="21"/>
        </w:rPr>
      </w:pPr>
      <w:r>
        <w:rPr>
          <w:rFonts w:hint="eastAsia" w:ascii="宋体" w:hAnsi="宋体" w:eastAsia="宋体" w:cs="宋体"/>
          <w:szCs w:val="21"/>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14:paraId="15DF0D57">
      <w:pPr>
        <w:adjustRightInd w:val="0"/>
        <w:snapToGrid w:val="0"/>
        <w:spacing w:line="288" w:lineRule="auto"/>
        <w:ind w:firstLine="424" w:firstLineChars="202"/>
        <w:jc w:val="left"/>
        <w:rPr>
          <w:rFonts w:hint="eastAsia" w:ascii="宋体" w:hAnsi="宋体" w:eastAsia="宋体" w:cs="Times New Roman"/>
          <w:spacing w:val="-6"/>
          <w:szCs w:val="21"/>
        </w:rPr>
      </w:pPr>
      <w:r>
        <w:rPr>
          <w:rFonts w:hint="eastAsia" w:ascii="宋体" w:hAnsi="宋体" w:eastAsia="宋体" w:cs="Times New Roman"/>
          <w:szCs w:val="21"/>
        </w:rPr>
        <w:t>4</w:t>
      </w:r>
      <w:r>
        <w:rPr>
          <w:rFonts w:ascii="宋体" w:hAnsi="宋体" w:eastAsia="宋体" w:cs="Times New Roman"/>
          <w:szCs w:val="21"/>
        </w:rPr>
        <w:t>.</w:t>
      </w:r>
      <w:r>
        <w:rPr>
          <w:rFonts w:hint="eastAsia" w:ascii="宋体" w:hAnsi="宋体" w:eastAsia="宋体" w:cs="Times New Roman"/>
          <w:spacing w:val="-6"/>
          <w:szCs w:val="21"/>
        </w:rPr>
        <w:t>收费标准（差额累进）：</w:t>
      </w:r>
    </w:p>
    <w:tbl>
      <w:tblPr>
        <w:tblStyle w:val="23"/>
        <w:tblW w:w="5621"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14:paraId="15DF0D5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15DF0D58">
            <w:pPr>
              <w:adjustRightInd w:val="0"/>
              <w:snapToGrid w:val="0"/>
              <w:spacing w:line="288" w:lineRule="auto"/>
              <w:jc w:val="center"/>
              <w:rPr>
                <w:rFonts w:hint="eastAsia" w:ascii="宋体" w:hAnsi="宋体" w:eastAsia="宋体"/>
                <w:szCs w:val="21"/>
              </w:rPr>
            </w:pPr>
            <w:r>
              <w:rPr>
                <w:rFonts w:hint="eastAsia" w:ascii="宋体" w:hAnsi="宋体" w:eastAsia="宋体"/>
                <w:szCs w:val="21"/>
              </w:rPr>
              <w:t>中标金额（万元）</w:t>
            </w:r>
          </w:p>
        </w:tc>
        <w:tc>
          <w:tcPr>
            <w:tcW w:w="3070" w:type="dxa"/>
            <w:tcMar>
              <w:top w:w="0" w:type="dxa"/>
              <w:left w:w="108" w:type="dxa"/>
              <w:bottom w:w="0" w:type="dxa"/>
              <w:right w:w="108" w:type="dxa"/>
            </w:tcMar>
            <w:vAlign w:val="center"/>
          </w:tcPr>
          <w:p w14:paraId="15DF0D59">
            <w:pPr>
              <w:adjustRightInd w:val="0"/>
              <w:snapToGrid w:val="0"/>
              <w:spacing w:line="288" w:lineRule="auto"/>
              <w:jc w:val="center"/>
              <w:rPr>
                <w:rFonts w:hint="eastAsia" w:ascii="宋体" w:hAnsi="宋体" w:eastAsia="宋体"/>
                <w:szCs w:val="21"/>
              </w:rPr>
            </w:pPr>
            <w:r>
              <w:rPr>
                <w:rFonts w:hint="eastAsia" w:ascii="宋体" w:hAnsi="宋体" w:eastAsia="宋体"/>
                <w:szCs w:val="21"/>
              </w:rPr>
              <w:t>收费标准（费率，%）</w:t>
            </w:r>
          </w:p>
        </w:tc>
      </w:tr>
      <w:tr w14:paraId="15DF0D5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15DF0D5B">
            <w:pPr>
              <w:adjustRightInd w:val="0"/>
              <w:snapToGrid w:val="0"/>
              <w:spacing w:line="288" w:lineRule="auto"/>
              <w:jc w:val="center"/>
              <w:rPr>
                <w:rFonts w:hint="eastAsia" w:ascii="宋体" w:hAnsi="宋体" w:eastAsia="宋体"/>
                <w:szCs w:val="21"/>
              </w:rPr>
            </w:pPr>
            <w:r>
              <w:rPr>
                <w:rFonts w:hint="eastAsia" w:ascii="宋体" w:hAnsi="宋体" w:eastAsia="宋体"/>
                <w:szCs w:val="21"/>
              </w:rPr>
              <w:t>100以下</w:t>
            </w:r>
          </w:p>
        </w:tc>
        <w:tc>
          <w:tcPr>
            <w:tcW w:w="3070" w:type="dxa"/>
            <w:tcMar>
              <w:top w:w="0" w:type="dxa"/>
              <w:left w:w="108" w:type="dxa"/>
              <w:bottom w:w="0" w:type="dxa"/>
              <w:right w:w="108" w:type="dxa"/>
            </w:tcMar>
            <w:vAlign w:val="center"/>
          </w:tcPr>
          <w:p w14:paraId="15DF0D5C">
            <w:pPr>
              <w:adjustRightInd w:val="0"/>
              <w:snapToGrid w:val="0"/>
              <w:spacing w:line="288" w:lineRule="auto"/>
              <w:jc w:val="center"/>
              <w:rPr>
                <w:rFonts w:hint="eastAsia" w:ascii="宋体" w:hAnsi="宋体" w:eastAsia="宋体"/>
                <w:szCs w:val="21"/>
              </w:rPr>
            </w:pPr>
            <w:r>
              <w:rPr>
                <w:rFonts w:hint="eastAsia" w:ascii="宋体" w:hAnsi="宋体" w:eastAsia="宋体"/>
                <w:szCs w:val="21"/>
              </w:rPr>
              <w:t>1.05（不足3000元的按3000元计）</w:t>
            </w:r>
          </w:p>
        </w:tc>
      </w:tr>
      <w:tr w14:paraId="15DF0D6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15DF0D5E">
            <w:pPr>
              <w:adjustRightInd w:val="0"/>
              <w:snapToGrid w:val="0"/>
              <w:spacing w:line="288" w:lineRule="auto"/>
              <w:jc w:val="center"/>
              <w:rPr>
                <w:rFonts w:hint="eastAsia" w:ascii="宋体" w:hAnsi="宋体" w:eastAsia="宋体"/>
                <w:szCs w:val="21"/>
              </w:rPr>
            </w:pPr>
            <w:r>
              <w:rPr>
                <w:rFonts w:hint="eastAsia" w:ascii="宋体" w:hAnsi="宋体" w:eastAsia="宋体"/>
                <w:szCs w:val="21"/>
              </w:rPr>
              <w:t>100-500</w:t>
            </w:r>
          </w:p>
        </w:tc>
        <w:tc>
          <w:tcPr>
            <w:tcW w:w="3070" w:type="dxa"/>
            <w:tcMar>
              <w:top w:w="0" w:type="dxa"/>
              <w:left w:w="108" w:type="dxa"/>
              <w:bottom w:w="0" w:type="dxa"/>
              <w:right w:w="108" w:type="dxa"/>
            </w:tcMar>
            <w:vAlign w:val="center"/>
          </w:tcPr>
          <w:p w14:paraId="15DF0D5F">
            <w:pPr>
              <w:adjustRightInd w:val="0"/>
              <w:snapToGrid w:val="0"/>
              <w:spacing w:line="288" w:lineRule="auto"/>
              <w:jc w:val="center"/>
              <w:rPr>
                <w:rFonts w:hint="eastAsia" w:ascii="宋体" w:hAnsi="宋体" w:eastAsia="宋体"/>
                <w:szCs w:val="21"/>
              </w:rPr>
            </w:pPr>
            <w:r>
              <w:rPr>
                <w:rFonts w:hint="eastAsia" w:ascii="宋体" w:hAnsi="宋体" w:eastAsia="宋体"/>
                <w:szCs w:val="21"/>
              </w:rPr>
              <w:t>0.77</w:t>
            </w:r>
          </w:p>
        </w:tc>
      </w:tr>
    </w:tbl>
    <w:p w14:paraId="15DF0D61">
      <w:pPr>
        <w:adjustRightInd w:val="0"/>
        <w:snapToGrid w:val="0"/>
        <w:spacing w:line="288" w:lineRule="auto"/>
        <w:ind w:firstLine="399" w:firstLineChars="202"/>
        <w:jc w:val="left"/>
        <w:rPr>
          <w:rFonts w:hint="eastAsia" w:ascii="宋体" w:hAnsi="宋体" w:eastAsia="宋体" w:cs="Times New Roman"/>
          <w:spacing w:val="-6"/>
          <w:szCs w:val="21"/>
        </w:rPr>
      </w:pPr>
      <w:r>
        <w:rPr>
          <w:rFonts w:hint="eastAsia" w:ascii="宋体" w:hAnsi="宋体" w:eastAsia="宋体" w:cs="Times New Roman"/>
          <w:spacing w:val="-6"/>
          <w:szCs w:val="21"/>
        </w:rPr>
        <w:t>5</w:t>
      </w:r>
      <w:r>
        <w:rPr>
          <w:rFonts w:ascii="宋体" w:hAnsi="宋体" w:eastAsia="宋体" w:cs="Times New Roman"/>
          <w:spacing w:val="-6"/>
          <w:szCs w:val="21"/>
        </w:rPr>
        <w:t>.</w:t>
      </w:r>
      <w:r>
        <w:rPr>
          <w:rFonts w:hint="eastAsia" w:ascii="宋体" w:hAnsi="宋体" w:eastAsia="宋体" w:cs="Times New Roman"/>
          <w:spacing w:val="-6"/>
          <w:szCs w:val="21"/>
        </w:rPr>
        <w:t>投标保证金（元）：无。</w:t>
      </w:r>
    </w:p>
    <w:p w14:paraId="15DF0D62">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（五）投标委托</w:t>
      </w:r>
    </w:p>
    <w:p w14:paraId="15DF0D63">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1.投标人代表是法定代表人（单位负责人、自然人本人）的，须提供本人身份证明。</w:t>
      </w:r>
    </w:p>
    <w:p w14:paraId="15DF0D64">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2.投标人代表不是法定代表人（单位负责人、自然人本人）的，须提供授权委托书（格式详见招标文件第六章）和授权代表社保缴纳证明（</w:t>
      </w:r>
      <w:r>
        <w:rPr>
          <w:rFonts w:hint="eastAsia" w:ascii="宋体" w:hAnsi="宋体" w:eastAsia="宋体" w:cs="Times New Roman"/>
          <w:spacing w:val="-6"/>
          <w:szCs w:val="21"/>
        </w:rPr>
        <w:t>2025年1月（含）</w:t>
      </w:r>
      <w:r>
        <w:rPr>
          <w:rFonts w:ascii="宋体" w:hAnsi="宋体" w:eastAsia="宋体" w:cs="Times New Roman"/>
          <w:spacing w:val="-6"/>
          <w:szCs w:val="21"/>
        </w:rPr>
        <w:t>以后任意一月）；</w:t>
      </w:r>
    </w:p>
    <w:p w14:paraId="15DF0D65">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3.投标人委派不在本单位缴纳社保的人员作为授权代表的，应当在投标文件中，说明具体原因、授权代表缴纳社保的单位，并附列该授权代表缴纳社保清单。</w:t>
      </w:r>
    </w:p>
    <w:p w14:paraId="15DF0D66">
      <w:pPr>
        <w:adjustRightInd w:val="0"/>
        <w:snapToGrid w:val="0"/>
        <w:spacing w:line="288" w:lineRule="auto"/>
        <w:rPr>
          <w:rFonts w:hint="eastAsia" w:ascii="宋体" w:hAnsi="宋体" w:eastAsia="宋体" w:cs="宋体"/>
          <w:b/>
          <w:bCs/>
          <w:szCs w:val="21"/>
        </w:rPr>
      </w:pPr>
      <w:r>
        <w:rPr>
          <w:rFonts w:hint="eastAsia" w:ascii="宋体" w:hAnsi="宋体" w:eastAsia="宋体" w:cs="宋体"/>
          <w:b/>
          <w:bCs/>
          <w:szCs w:val="21"/>
        </w:rPr>
        <w:t>（六）联合体投标</w:t>
      </w:r>
    </w:p>
    <w:p w14:paraId="15DF0D67">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本项目</w:t>
      </w:r>
      <w:r>
        <w:rPr>
          <w:rFonts w:hint="eastAsia" w:ascii="宋体" w:hAnsi="宋体" w:eastAsia="宋体"/>
          <w:szCs w:val="21"/>
        </w:rPr>
        <w:t>（是）</w:t>
      </w:r>
      <w:r>
        <w:rPr>
          <w:rFonts w:hint="eastAsia" w:ascii="宋体" w:hAnsi="宋体" w:eastAsia="宋体" w:cs="宋体"/>
          <w:szCs w:val="21"/>
        </w:rPr>
        <w:t>接受联合体投标。</w:t>
      </w:r>
    </w:p>
    <w:p w14:paraId="15DF0D68">
      <w:pPr>
        <w:spacing w:line="288" w:lineRule="auto"/>
        <w:ind w:firstLine="420" w:firstLineChars="200"/>
        <w:rPr>
          <w:rFonts w:hint="eastAsia" w:ascii="宋体" w:hAnsi="宋体" w:eastAsia="宋体" w:cs="Times New Roman"/>
        </w:rPr>
      </w:pPr>
      <w:r>
        <w:rPr>
          <w:rFonts w:hint="eastAsia" w:ascii="宋体" w:hAnsi="宋体" w:eastAsia="宋体" w:cs="Times New Roman"/>
        </w:rPr>
        <w:t>两个以上的自然人、法人或者其他组织可以组成一个联合体，以一个供应商的身份共同参加政府采购。</w:t>
      </w:r>
    </w:p>
    <w:p w14:paraId="15DF0D69">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Times New Roman"/>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14:paraId="15DF0D6A">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（七）转包与分包</w:t>
      </w:r>
    </w:p>
    <w:p w14:paraId="15DF0D6B">
      <w:pPr>
        <w:adjustRightInd w:val="0"/>
        <w:snapToGrid w:val="0"/>
        <w:spacing w:line="288" w:lineRule="auto"/>
        <w:ind w:firstLine="424" w:firstLineChars="202"/>
        <w:jc w:val="left"/>
        <w:rPr>
          <w:rFonts w:hint="eastAsia" w:ascii="宋体" w:hAnsi="宋体" w:eastAsia="宋体"/>
          <w:szCs w:val="21"/>
        </w:rPr>
      </w:pPr>
      <w:r>
        <w:rPr>
          <w:rFonts w:hint="eastAsia" w:ascii="宋体" w:hAnsi="宋体" w:eastAsia="宋体"/>
          <w:szCs w:val="21"/>
        </w:rPr>
        <w:t>1</w:t>
      </w:r>
      <w:r>
        <w:rPr>
          <w:rFonts w:ascii="宋体" w:hAnsi="宋体" w:eastAsia="宋体"/>
          <w:szCs w:val="21"/>
        </w:rPr>
        <w:t>.</w:t>
      </w:r>
      <w:r>
        <w:rPr>
          <w:rFonts w:hint="eastAsia" w:ascii="宋体" w:hAnsi="宋体" w:eastAsia="宋体"/>
          <w:szCs w:val="21"/>
        </w:rPr>
        <w:t>本项目不允许转包；</w:t>
      </w:r>
    </w:p>
    <w:p w14:paraId="15DF0D6C">
      <w:pPr>
        <w:adjustRightInd w:val="0"/>
        <w:snapToGrid w:val="0"/>
        <w:spacing w:line="288" w:lineRule="auto"/>
        <w:ind w:firstLine="424" w:firstLineChars="202"/>
        <w:jc w:val="left"/>
        <w:rPr>
          <w:rFonts w:hint="eastAsia" w:ascii="宋体" w:hAnsi="宋体" w:eastAsia="宋体"/>
          <w:szCs w:val="21"/>
        </w:rPr>
      </w:pPr>
      <w:r>
        <w:rPr>
          <w:rFonts w:ascii="宋体" w:hAnsi="宋体" w:eastAsia="宋体"/>
          <w:szCs w:val="21"/>
        </w:rPr>
        <w:t>2.</w:t>
      </w:r>
      <w:r>
        <w:rPr>
          <w:rFonts w:hint="eastAsia" w:ascii="宋体" w:hAnsi="宋体" w:eastAsia="宋体"/>
          <w:szCs w:val="21"/>
        </w:rPr>
        <w:t>本项目</w:t>
      </w:r>
      <w:r>
        <w:rPr>
          <w:rFonts w:hint="eastAsia" w:ascii="宋体" w:hAnsi="宋体" w:eastAsia="宋体"/>
          <w:b/>
          <w:bCs/>
          <w:szCs w:val="21"/>
          <w:u w:val="single"/>
        </w:rPr>
        <w:t>允许</w:t>
      </w:r>
      <w:r>
        <w:rPr>
          <w:rFonts w:hint="eastAsia" w:ascii="宋体" w:hAnsi="宋体" w:eastAsia="宋体"/>
          <w:szCs w:val="21"/>
        </w:rPr>
        <w:t>分包，</w:t>
      </w:r>
      <w:r>
        <w:rPr>
          <w:rFonts w:ascii="宋体" w:hAnsi="宋体" w:eastAsia="宋体"/>
          <w:szCs w:val="21"/>
        </w:rPr>
        <w:t>可以分包履行的（非主体、非关键性的工作）具体内容、金额或者比例：</w:t>
      </w:r>
      <w:r>
        <w:rPr>
          <w:rFonts w:hint="eastAsia" w:ascii="宋体" w:hAnsi="宋体" w:eastAsia="宋体"/>
          <w:szCs w:val="21"/>
          <w:u w:val="single"/>
        </w:rPr>
        <w:t>货物运输</w:t>
      </w:r>
      <w:r>
        <w:rPr>
          <w:rFonts w:ascii="宋体" w:hAnsi="宋体" w:eastAsia="宋体"/>
          <w:szCs w:val="21"/>
          <w:u w:val="single"/>
        </w:rPr>
        <w:t>。</w:t>
      </w:r>
    </w:p>
    <w:p w14:paraId="15DF0D6D">
      <w:pPr>
        <w:adjustRightInd w:val="0"/>
        <w:snapToGrid w:val="0"/>
        <w:spacing w:line="288" w:lineRule="auto"/>
        <w:ind w:firstLine="424" w:firstLineChars="202"/>
        <w:jc w:val="left"/>
        <w:rPr>
          <w:rFonts w:hint="eastAsia" w:ascii="宋体" w:hAnsi="宋体" w:eastAsia="宋体"/>
          <w:szCs w:val="21"/>
        </w:rPr>
      </w:pPr>
      <w:r>
        <w:rPr>
          <w:rFonts w:hint="eastAsia" w:ascii="宋体" w:hAnsi="宋体" w:eastAsia="宋体"/>
          <w:szCs w:val="21"/>
        </w:rPr>
        <w:t>说明：投标人根据招标文件的规定和采购项目的实际情况，拟在中标后将中标项目的非主体、非关键性工作分包的，应当在投标文件中载明分包承担主体，分包承担主体应当具备相应资质条件且不得再次分包。</w:t>
      </w:r>
    </w:p>
    <w:p w14:paraId="15DF0D6E">
      <w:pPr>
        <w:adjustRightInd w:val="0"/>
        <w:snapToGrid w:val="0"/>
        <w:spacing w:line="288" w:lineRule="auto"/>
        <w:ind w:firstLine="402" w:firstLineChars="202"/>
        <w:jc w:val="left"/>
        <w:rPr>
          <w:rFonts w:hint="eastAsia" w:ascii="宋体" w:hAnsi="宋体" w:eastAsia="宋体" w:cs="Times New Roman"/>
          <w:b/>
          <w:spacing w:val="-6"/>
          <w:szCs w:val="21"/>
        </w:rPr>
      </w:pPr>
      <w:r>
        <w:rPr>
          <w:rFonts w:hint="eastAsia" w:ascii="宋体" w:hAnsi="宋体" w:eastAsia="宋体" w:cs="Times New Roman"/>
          <w:b/>
          <w:spacing w:val="-6"/>
          <w:szCs w:val="21"/>
        </w:rPr>
        <w:t>（八）质疑和投诉</w:t>
      </w:r>
    </w:p>
    <w:p w14:paraId="15DF0D6F">
      <w:pPr>
        <w:adjustRightInd w:val="0"/>
        <w:snapToGrid w:val="0"/>
        <w:spacing w:line="288" w:lineRule="auto"/>
        <w:ind w:firstLine="396" w:firstLineChars="200"/>
        <w:jc w:val="left"/>
        <w:rPr>
          <w:rFonts w:hint="eastAsia" w:ascii="宋体" w:hAnsi="宋体" w:eastAsia="宋体" w:cs="Times New Roman"/>
          <w:spacing w:val="-6"/>
          <w:szCs w:val="21"/>
        </w:rPr>
      </w:pPr>
      <w:bookmarkStart w:id="42" w:name="_Hlk92273406"/>
      <w:r>
        <w:rPr>
          <w:rFonts w:hint="eastAsia" w:ascii="宋体" w:hAnsi="宋体" w:eastAsia="宋体" w:cs="Times New Roman"/>
          <w:spacing w:val="-6"/>
          <w:szCs w:val="21"/>
        </w:rPr>
        <w:t>1</w:t>
      </w:r>
      <w:r>
        <w:rPr>
          <w:rFonts w:ascii="宋体" w:hAnsi="宋体" w:eastAsia="宋体" w:cs="Times New Roman"/>
          <w:spacing w:val="-6"/>
          <w:szCs w:val="21"/>
        </w:rPr>
        <w:t>.</w:t>
      </w:r>
      <w:r>
        <w:rPr>
          <w:rFonts w:hint="eastAsia" w:ascii="宋体" w:hAnsi="宋体" w:eastAsia="宋体" w:cs="Times New Roman"/>
          <w:spacing w:val="-6"/>
          <w:szCs w:val="21"/>
        </w:rPr>
        <w:t>供应商认为采购文件、采购过程、中标或者成交结果使自己的权益受到损害的，可以在知道或者应知其权益受到损害之日起</w:t>
      </w:r>
      <w:r>
        <w:rPr>
          <w:rFonts w:ascii="宋体" w:hAnsi="宋体" w:eastAsia="宋体" w:cs="Times New Roman"/>
          <w:spacing w:val="-6"/>
          <w:szCs w:val="21"/>
        </w:rPr>
        <w:t>7个工作日内，以书面形式向采购人、采购代理机构提出质疑。</w:t>
      </w:r>
      <w:r>
        <w:rPr>
          <w:rFonts w:hint="eastAsia" w:ascii="宋体" w:hAnsi="宋体" w:eastAsia="宋体" w:cs="Times New Roman"/>
          <w:spacing w:val="-6"/>
          <w:szCs w:val="21"/>
        </w:rPr>
        <w:t>质疑供应商对采购人、采购代理机构的答复不满意，或者采购人、采购代理机构未在规定时间内作出答复的，可以在答复期满后</w:t>
      </w:r>
      <w:r>
        <w:rPr>
          <w:rFonts w:ascii="宋体" w:hAnsi="宋体" w:eastAsia="宋体" w:cs="Times New Roman"/>
          <w:spacing w:val="-6"/>
          <w:szCs w:val="21"/>
        </w:rPr>
        <w:t>15个工作日内向</w:t>
      </w:r>
      <w:r>
        <w:rPr>
          <w:rFonts w:hint="eastAsia" w:ascii="宋体" w:hAnsi="宋体" w:eastAsia="宋体" w:cs="Times New Roman"/>
          <w:spacing w:val="-6"/>
          <w:szCs w:val="21"/>
        </w:rPr>
        <w:t>本级财政部门</w:t>
      </w:r>
      <w:r>
        <w:rPr>
          <w:rFonts w:ascii="宋体" w:hAnsi="宋体" w:eastAsia="宋体" w:cs="Times New Roman"/>
          <w:spacing w:val="-6"/>
          <w:szCs w:val="21"/>
        </w:rPr>
        <w:t>提起投诉。</w:t>
      </w:r>
    </w:p>
    <w:bookmarkEnd w:id="42"/>
    <w:p w14:paraId="15DF0D70">
      <w:pPr>
        <w:adjustRightInd w:val="0"/>
        <w:snapToGrid w:val="0"/>
        <w:spacing w:line="288" w:lineRule="auto"/>
        <w:ind w:firstLine="398" w:firstLineChars="200"/>
        <w:jc w:val="left"/>
        <w:rPr>
          <w:rFonts w:hint="eastAsia" w:ascii="宋体" w:hAnsi="宋体" w:eastAsia="宋体" w:cs="Times New Roman"/>
          <w:b/>
          <w:bCs/>
          <w:spacing w:val="-6"/>
          <w:szCs w:val="21"/>
        </w:rPr>
      </w:pPr>
      <w:r>
        <w:rPr>
          <w:rFonts w:hint="eastAsia" w:ascii="宋体" w:hAnsi="宋体" w:eastAsia="宋体" w:cs="Times New Roman"/>
          <w:b/>
          <w:bCs/>
          <w:spacing w:val="-6"/>
          <w:szCs w:val="21"/>
        </w:rPr>
        <w:t>2.投标人提出质疑应当提交质疑函和必要的证明材料，质疑函范本、投诉书范本请到浙江政府采购网下载专区下载。质疑函应当包括下列内容：</w:t>
      </w:r>
    </w:p>
    <w:p w14:paraId="15DF0D71">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（1）供应商的姓名或者名称、地址、邮编、联系人及联系电话；</w:t>
      </w:r>
    </w:p>
    <w:p w14:paraId="15DF0D72">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（2）质疑项目的名称、编号；</w:t>
      </w:r>
    </w:p>
    <w:p w14:paraId="15DF0D73">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（3）具体、明确的质疑事项和与质疑事项相关的请求；</w:t>
      </w:r>
    </w:p>
    <w:p w14:paraId="15DF0D74">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（4）事实依据；</w:t>
      </w:r>
    </w:p>
    <w:p w14:paraId="15DF0D75">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（5）必要的法律依据；</w:t>
      </w:r>
    </w:p>
    <w:p w14:paraId="15DF0D76">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（6）提出质疑的日期。</w:t>
      </w:r>
    </w:p>
    <w:p w14:paraId="15DF0D77">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投标人为自然人的，应当由本人签名；投标人为法人或者其他组织的，应当由法定代表人、主要负责人，或者其授权代表签名或者盖章，并加盖公章。</w:t>
      </w:r>
    </w:p>
    <w:p w14:paraId="15DF0D78">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3.提出质疑的供应商应当是参与本项目招标活动的投标人。</w:t>
      </w:r>
      <w:r>
        <w:rPr>
          <w:rFonts w:hint="eastAsia" w:ascii="宋体" w:hAnsi="宋体" w:eastAsia="宋体" w:cs="Times New Roman"/>
          <w:b/>
          <w:spacing w:val="-6"/>
          <w:szCs w:val="21"/>
        </w:rPr>
        <w:t>投标人在法定质疑期内应一次性提出针对同一采购程序环节的质疑。</w:t>
      </w:r>
    </w:p>
    <w:p w14:paraId="15DF0D79">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4.根据《政府采购质疑和投诉办法》第三十七条的规定，投诉人在全国范围</w:t>
      </w:r>
      <w:r>
        <w:rPr>
          <w:rFonts w:ascii="宋体" w:hAnsi="宋体" w:eastAsia="宋体" w:cs="Times New Roman"/>
          <w:spacing w:val="-6"/>
          <w:szCs w:val="21"/>
        </w:rPr>
        <w:t>12</w:t>
      </w:r>
      <w:r>
        <w:rPr>
          <w:rFonts w:hint="eastAsia" w:ascii="宋体" w:hAnsi="宋体" w:eastAsia="宋体" w:cs="Times New Roman"/>
          <w:spacing w:val="-6"/>
          <w:szCs w:val="21"/>
        </w:rPr>
        <w:t>个月内三次以上投诉查无实据的，由财政部门列入不良行为记录名单。</w:t>
      </w:r>
    </w:p>
    <w:p w14:paraId="15DF0D7A">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投诉人有下列行为之一的，属于虚假、恶意投诉，由财政部门列入不良行为记录名单，禁止其</w:t>
      </w:r>
      <w:r>
        <w:rPr>
          <w:rFonts w:ascii="宋体" w:hAnsi="宋体" w:eastAsia="宋体" w:cs="Times New Roman"/>
          <w:spacing w:val="-6"/>
          <w:szCs w:val="21"/>
        </w:rPr>
        <w:t>1</w:t>
      </w:r>
      <w:r>
        <w:rPr>
          <w:rFonts w:hint="eastAsia" w:ascii="宋体" w:hAnsi="宋体" w:eastAsia="宋体" w:cs="Times New Roman"/>
          <w:spacing w:val="-6"/>
          <w:szCs w:val="21"/>
        </w:rPr>
        <w:t>至</w:t>
      </w:r>
      <w:r>
        <w:rPr>
          <w:rFonts w:ascii="宋体" w:hAnsi="宋体" w:eastAsia="宋体" w:cs="Times New Roman"/>
          <w:spacing w:val="-6"/>
          <w:szCs w:val="21"/>
        </w:rPr>
        <w:t>3</w:t>
      </w:r>
      <w:r>
        <w:rPr>
          <w:rFonts w:hint="eastAsia" w:ascii="宋体" w:hAnsi="宋体" w:eastAsia="宋体" w:cs="Times New Roman"/>
          <w:spacing w:val="-6"/>
          <w:szCs w:val="21"/>
        </w:rPr>
        <w:t>年内参加政府采购活动：</w:t>
      </w:r>
    </w:p>
    <w:p w14:paraId="15DF0D7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（1）捏造事实；</w:t>
      </w:r>
    </w:p>
    <w:p w14:paraId="15DF0D7C">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（2）提供虚假材料；</w:t>
      </w:r>
    </w:p>
    <w:p w14:paraId="15DF0D7D">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（3）以非法手段取得证明材料。证据来源的合法性存在明显疑问，投诉人无法证明其取得方式合法的，视为以非法手段取得证明材料。</w:t>
      </w:r>
    </w:p>
    <w:p w14:paraId="15DF0D7E">
      <w:pPr>
        <w:adjustRightInd w:val="0"/>
        <w:snapToGrid w:val="0"/>
        <w:spacing w:line="288" w:lineRule="auto"/>
        <w:outlineLvl w:val="2"/>
        <w:rPr>
          <w:rFonts w:hint="eastAsia" w:ascii="宋体" w:hAnsi="宋体" w:eastAsia="宋体" w:cs="宋体"/>
          <w:b/>
          <w:spacing w:val="-6"/>
          <w:kern w:val="0"/>
          <w:szCs w:val="21"/>
        </w:rPr>
      </w:pPr>
      <w:bookmarkStart w:id="43" w:name="_Hlk92273111"/>
      <w:bookmarkStart w:id="44" w:name="_Hlk94018492"/>
      <w:r>
        <w:rPr>
          <w:rFonts w:ascii="宋体" w:hAnsi="宋体" w:eastAsia="宋体" w:cs="宋体"/>
          <w:b/>
          <w:spacing w:val="-6"/>
          <w:kern w:val="0"/>
          <w:szCs w:val="21"/>
        </w:rPr>
        <w:t>（</w:t>
      </w:r>
      <w:r>
        <w:rPr>
          <w:rFonts w:hint="eastAsia" w:ascii="宋体" w:hAnsi="宋体" w:eastAsia="宋体" w:cs="宋体"/>
          <w:b/>
          <w:spacing w:val="-6"/>
          <w:kern w:val="0"/>
          <w:szCs w:val="21"/>
        </w:rPr>
        <w:t>九</w:t>
      </w:r>
      <w:r>
        <w:rPr>
          <w:rFonts w:ascii="宋体" w:hAnsi="宋体" w:eastAsia="宋体" w:cs="宋体"/>
          <w:b/>
          <w:spacing w:val="-6"/>
          <w:kern w:val="0"/>
          <w:szCs w:val="21"/>
        </w:rPr>
        <w:t>）</w:t>
      </w:r>
      <w:r>
        <w:rPr>
          <w:rFonts w:hint="eastAsia" w:ascii="宋体" w:hAnsi="宋体" w:eastAsia="宋体" w:cs="宋体"/>
          <w:b/>
          <w:spacing w:val="-6"/>
          <w:kern w:val="0"/>
          <w:szCs w:val="21"/>
        </w:rPr>
        <w:t>采购项目需要落实的政府采购政策</w:t>
      </w:r>
    </w:p>
    <w:bookmarkEnd w:id="43"/>
    <w:p w14:paraId="15DF0D7F">
      <w:pPr>
        <w:adjustRightInd w:val="0"/>
        <w:snapToGrid w:val="0"/>
        <w:spacing w:line="288" w:lineRule="auto"/>
        <w:ind w:firstLine="422" w:firstLineChars="200"/>
        <w:rPr>
          <w:rFonts w:hint="eastAsia" w:ascii="宋体" w:hAnsi="宋体" w:eastAsia="宋体" w:cs="宋体"/>
          <w:b/>
          <w:bCs/>
          <w:szCs w:val="21"/>
        </w:rPr>
      </w:pPr>
      <w:r>
        <w:rPr>
          <w:rFonts w:hint="eastAsia" w:ascii="宋体" w:hAnsi="宋体" w:eastAsia="宋体" w:cs="宋体"/>
          <w:b/>
          <w:bCs/>
          <w:szCs w:val="21"/>
        </w:rPr>
        <w:t>1.进口产品</w:t>
      </w:r>
    </w:p>
    <w:p w14:paraId="15DF0D80">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本项目原则上采购本国生产的货物、服务，不允许采购进口产品。优先采购向我国企业转让技术、与我国企业签订消化吸收再创新方案的供应商的进口产品。</w:t>
      </w:r>
    </w:p>
    <w:p w14:paraId="15DF0D81">
      <w:pPr>
        <w:shd w:val="clear" w:color="auto" w:fill="FFFFFF"/>
        <w:adjustRightInd w:val="0"/>
        <w:snapToGrid w:val="0"/>
        <w:spacing w:line="288" w:lineRule="auto"/>
        <w:ind w:firstLine="369" w:firstLineChars="176"/>
        <w:jc w:val="left"/>
        <w:rPr>
          <w:rFonts w:hint="eastAsia" w:ascii="宋体" w:hAnsi="宋体" w:eastAsia="宋体" w:cs="宋体"/>
          <w:szCs w:val="21"/>
        </w:rPr>
      </w:pPr>
      <w:r>
        <w:rPr>
          <w:rFonts w:hint="eastAsia" w:ascii="宋体" w:hAnsi="宋体" w:eastAsia="宋体" w:cs="宋体"/>
          <w:szCs w:val="21"/>
        </w:rPr>
        <w:t>采购人已经在采购活动开始前向财政部门提出申请并获得财政部门审核同意（高校和科研院所采购用于科研的进口仪器设备，以及其他根据财政部规定实行备案管理的，实行备案管理）购买进口产品的，将在招标文件中明确规定可以采购进口产品（但如果因信息不对称等原因，仍有满足需求的国内产品要求参与采购竞争的，不会对其加以限制，仍将按照公平竞争原则实施采购）。</w:t>
      </w:r>
    </w:p>
    <w:p w14:paraId="15DF0D82">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进口产品是指通过中国海关报关验放进入中国境内且产自关境外的产品。关于关境和海关特殊监管区域产品认定、已在境内多次流转进口产品认定，按照《关于政府采购进口产品管理有关问题的通知》（财办库[2008]248号）执行。</w:t>
      </w:r>
    </w:p>
    <w:p w14:paraId="15DF0D83">
      <w:pPr>
        <w:adjustRightInd w:val="0"/>
        <w:snapToGrid w:val="0"/>
        <w:spacing w:line="288" w:lineRule="auto"/>
        <w:ind w:firstLine="422" w:firstLineChars="200"/>
        <w:rPr>
          <w:rFonts w:hint="eastAsia" w:ascii="宋体" w:hAnsi="宋体" w:eastAsia="宋体" w:cs="宋体"/>
          <w:b/>
          <w:bCs/>
          <w:szCs w:val="21"/>
        </w:rPr>
      </w:pPr>
      <w:r>
        <w:rPr>
          <w:rFonts w:hint="eastAsia" w:ascii="宋体" w:hAnsi="宋体" w:eastAsia="宋体" w:cs="宋体"/>
          <w:b/>
          <w:bCs/>
          <w:szCs w:val="21"/>
        </w:rPr>
        <w:t>2.支持绿色发展</w:t>
      </w:r>
    </w:p>
    <w:p w14:paraId="15DF0D84">
      <w:pPr>
        <w:adjustRightInd w:val="0"/>
        <w:snapToGrid w:val="0"/>
        <w:spacing w:line="288" w:lineRule="auto"/>
        <w:ind w:firstLine="420" w:firstLineChars="200"/>
        <w:rPr>
          <w:rFonts w:hint="eastAsia" w:ascii="宋体" w:hAnsi="宋体" w:eastAsia="宋体" w:cs="宋体"/>
          <w:szCs w:val="21"/>
          <w:u w:val="single"/>
        </w:rPr>
      </w:pPr>
      <w:r>
        <w:rPr>
          <w:rFonts w:hint="eastAsia" w:ascii="宋体" w:hAnsi="宋体" w:eastAsia="宋体" w:cs="宋体"/>
          <w:szCs w:val="21"/>
        </w:rPr>
        <w:t>采购人拟采购的产品属于节能产品、环境标志产品政府采购品目清单范围的，将依据国家确定的认证机构出具的、处于有效期之内的节能产品、环境标志产品认证证书，对获得证书的产品实施政府优先采购或强制采购。</w:t>
      </w:r>
    </w:p>
    <w:p w14:paraId="15DF0D85">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采购人拟采购产品属于节能产品政府采购清单规定必须强制采购的，将在招标文件中明确载明，供应商相应的投标产品须提供国家确定的认证机构出具的、处于有效期之内的节能产品认证证书。</w:t>
      </w:r>
    </w:p>
    <w:p w14:paraId="15DF0D86">
      <w:pPr>
        <w:adjustRightInd w:val="0"/>
        <w:snapToGrid w:val="0"/>
        <w:spacing w:line="288" w:lineRule="auto"/>
        <w:ind w:firstLine="422" w:firstLineChars="200"/>
        <w:rPr>
          <w:rFonts w:hint="eastAsia" w:ascii="宋体" w:hAnsi="宋体" w:eastAsia="宋体" w:cs="宋体"/>
          <w:b/>
          <w:bCs/>
          <w:szCs w:val="21"/>
        </w:rPr>
      </w:pPr>
      <w:r>
        <w:rPr>
          <w:rFonts w:hint="eastAsia" w:ascii="宋体" w:hAnsi="宋体" w:eastAsia="宋体" w:cs="宋体"/>
          <w:b/>
          <w:bCs/>
          <w:szCs w:val="21"/>
        </w:rPr>
        <w:t>3.支持中小企业发展</w:t>
      </w:r>
    </w:p>
    <w:p w14:paraId="15DF0D87">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3.1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15DF0D88">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3.2 在政府采购活动中，供应商提供的货物或者服务符合下列情形的，享受中小企业扶持政策：</w:t>
      </w:r>
    </w:p>
    <w:p w14:paraId="15DF0D89">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在货物采购项目中，货物由中小企业制造，即货物由</w:t>
      </w:r>
      <w:r>
        <w:rPr>
          <w:rFonts w:hint="eastAsia" w:ascii="宋体" w:hAnsi="宋体" w:eastAsia="宋体" w:cs="宋体"/>
          <w:szCs w:val="21"/>
          <w:u w:val="single"/>
        </w:rPr>
        <w:t>中小企业生产且使用该中小企业商号或者注册商标</w:t>
      </w:r>
      <w:r>
        <w:rPr>
          <w:rFonts w:hint="eastAsia" w:ascii="宋体" w:hAnsi="宋体" w:eastAsia="宋体" w:cs="宋体"/>
          <w:szCs w:val="21"/>
        </w:rPr>
        <w:t>。如果一个采购项目或采购包含有多个采购标的的，则每个采购标的均应由中小企业制造。在服务采购项目中，服务由中小企业承接，即提供服务的人员为中小企业依照《中华人民共和国劳动合同法》订立劳动合同的从业人员。</w:t>
      </w:r>
    </w:p>
    <w:p w14:paraId="15DF0D8A">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3.3 供应商提供的货物既有中小企业制造货物，也有大型企业制造货物的，不享受中小企业扶持政策；供应商提供的货物既有中型企业制造，也有小微企业制造的，不享受办法规定的小微企业扶持政策。对于联合体中由中小企业承担的部分，或者分包给中小企业的部分，必须全部由中小企业制造、承建或者承接。</w:t>
      </w:r>
    </w:p>
    <w:p w14:paraId="15DF0D8B">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中小企业享受扶持政策获得政府采购合同的，小微企业不得将合同分包给大中型企业，中型企业不得将合同分包给大型企业。</w:t>
      </w:r>
    </w:p>
    <w:p w14:paraId="15DF0D8C">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3.4 以联合体形式参加政府采购活动，联合体各方均为中小企业的，联合体视同中小企业。其中，联合体各方均为小微企业的，联合体视同小微企业。</w:t>
      </w:r>
    </w:p>
    <w:p w14:paraId="15DF0D8D">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3.5 预留份额专门面向中小企业采购的采购项目通过下列措施进行：将采购项目整体或者设置采购包专门面向中小企业采购；要求供应商以联合体形式参加采购活动，且联合体中中小企业承担的部分达到一定比例；要求获得采购合同的供应商将采购项目中的一定比例分包给一家或者多家中小企业。</w:t>
      </w:r>
    </w:p>
    <w:p w14:paraId="15DF0D8E">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组成联合体或者接受分包合同的中小企业与联合体内其他企业、分包企业之间不得存在直接控股、管理关系。</w:t>
      </w:r>
    </w:p>
    <w:p w14:paraId="15DF0D8F">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专门面向中小企业采购的项目或者采购包，不再执行价格评审优惠的扶持政策。</w:t>
      </w:r>
    </w:p>
    <w:p w14:paraId="15DF0D90">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3.6 未预留份额专门面向中小企业采购的采购项目，以及预留份额项目中的非预留部分采购包，对符合《政府采购促进中小企业发展管理办法》规定的小微企业报价给予10%的扣除，用扣除后的价格参加评审。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14:paraId="15DF0D91">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3.7 中小企业参加政府采购活动，应当出具本办法规定的《中小企业声明函》，否则不得享受相关中小企业扶持政策。</w:t>
      </w:r>
    </w:p>
    <w:p w14:paraId="15DF0D92">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《中小企业声明函》由参加政府采购活动的供应商出具。以联合体形式参加政府采购活动或者合同分包的，《中小企业声明函》中需填写联合体中的中小企业或签订分包意向协议的中小企业相关信息。</w:t>
      </w:r>
    </w:p>
    <w:p w14:paraId="15DF0D93">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3.8 供应商提供《中小企业声明函》内容不实的，属于提供虚假材料谋取中标、成交，依照《中华人民共和国政府采购法》等国家有关规定追究相应责任。</w:t>
      </w:r>
    </w:p>
    <w:p w14:paraId="15DF0D94">
      <w:pPr>
        <w:adjustRightInd w:val="0"/>
        <w:snapToGrid w:val="0"/>
        <w:spacing w:line="288" w:lineRule="auto"/>
        <w:ind w:firstLine="420" w:firstLineChars="200"/>
        <w:rPr>
          <w:rFonts w:hint="eastAsia" w:ascii="宋体" w:hAnsi="宋体" w:eastAsia="宋体" w:cs="宋体"/>
          <w:szCs w:val="21"/>
          <w:u w:val="single"/>
        </w:rPr>
      </w:pPr>
      <w:r>
        <w:rPr>
          <w:rFonts w:hint="eastAsia" w:ascii="宋体" w:hAnsi="宋体" w:eastAsia="宋体" w:cs="宋体"/>
          <w:szCs w:val="21"/>
          <w:u w:val="single"/>
        </w:rPr>
        <w:t>▲3.9 可以享受中小企业扶持政策的供应商应按照采购文件格式要求提供《中小企业声明函》。《中小企业声明函》填写企业类型错误，以致该供应商享受本不能享受的中小企业扶持政策的，投标（响应）无效并依法承担法律责任。</w:t>
      </w:r>
    </w:p>
    <w:p w14:paraId="15DF0D95">
      <w:pPr>
        <w:adjustRightInd w:val="0"/>
        <w:snapToGrid w:val="0"/>
        <w:spacing w:line="288" w:lineRule="auto"/>
        <w:ind w:firstLine="420" w:firstLineChars="200"/>
        <w:rPr>
          <w:rFonts w:hint="eastAsia" w:ascii="宋体" w:hAnsi="宋体" w:eastAsia="宋体" w:cs="宋体"/>
          <w:szCs w:val="21"/>
          <w:u w:val="single"/>
        </w:rPr>
      </w:pPr>
      <w:r>
        <w:rPr>
          <w:rFonts w:hint="eastAsia" w:ascii="宋体" w:hAnsi="宋体" w:eastAsia="宋体" w:cs="宋体"/>
          <w:szCs w:val="21"/>
          <w:u w:val="single"/>
        </w:rPr>
        <w:t>（工业和信息化部中小企业局）中小企业规模类型自测小程序：http://baosong.miit.gov.cn/ScaleTest。</w:t>
      </w:r>
    </w:p>
    <w:p w14:paraId="15DF0D96">
      <w:pPr>
        <w:adjustRightInd w:val="0"/>
        <w:snapToGrid w:val="0"/>
        <w:spacing w:line="288" w:lineRule="auto"/>
        <w:ind w:firstLine="422" w:firstLineChars="200"/>
        <w:rPr>
          <w:rFonts w:hint="eastAsia" w:ascii="宋体" w:hAnsi="宋体" w:eastAsia="宋体" w:cs="宋体"/>
          <w:b/>
          <w:bCs/>
          <w:szCs w:val="21"/>
        </w:rPr>
      </w:pPr>
      <w:r>
        <w:rPr>
          <w:rFonts w:hint="eastAsia" w:ascii="宋体" w:hAnsi="宋体" w:eastAsia="宋体" w:cs="宋体"/>
          <w:b/>
          <w:bCs/>
          <w:szCs w:val="21"/>
        </w:rPr>
        <w:t>4.支持监狱企业发展</w:t>
      </w:r>
    </w:p>
    <w:p w14:paraId="15DF0D97">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符合《关于政府采购支持监狱企业发展有关问题的通知》（财库[2014]68号）规定的监狱企业并提供由省级以上监狱管理局、戒毒管理局（含新疆生产建设兵团）出具的属于监狱企业证明文件的，视同为小型、微型企业。</w:t>
      </w:r>
    </w:p>
    <w:p w14:paraId="15DF0D98">
      <w:pPr>
        <w:adjustRightInd w:val="0"/>
        <w:snapToGrid w:val="0"/>
        <w:spacing w:line="288" w:lineRule="auto"/>
        <w:ind w:firstLine="422" w:firstLineChars="200"/>
        <w:rPr>
          <w:rFonts w:hint="eastAsia" w:ascii="宋体" w:hAnsi="宋体" w:eastAsia="宋体" w:cs="宋体"/>
          <w:b/>
          <w:bCs/>
          <w:szCs w:val="21"/>
        </w:rPr>
      </w:pPr>
      <w:r>
        <w:rPr>
          <w:rFonts w:hint="eastAsia" w:ascii="宋体" w:hAnsi="宋体" w:eastAsia="宋体" w:cs="宋体"/>
          <w:b/>
          <w:bCs/>
          <w:szCs w:val="21"/>
        </w:rPr>
        <w:t>5.促进残疾人就业</w:t>
      </w:r>
    </w:p>
    <w:p w14:paraId="15DF0D99">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符合《关于促进残疾人就业政府采购政策的通知》（财库[2017]141号）规定的条件并提供《残疾人福利性单位声明函》的残疾人福利性单位视同小型、微型企业。</w:t>
      </w:r>
    </w:p>
    <w:p w14:paraId="15DF0D9A">
      <w:pPr>
        <w:adjustRightInd w:val="0"/>
        <w:snapToGrid w:val="0"/>
        <w:spacing w:line="288" w:lineRule="auto"/>
        <w:ind w:firstLine="422" w:firstLineChars="200"/>
        <w:rPr>
          <w:rFonts w:hint="eastAsia" w:ascii="宋体" w:hAnsi="宋体" w:eastAsia="宋体" w:cs="宋体"/>
          <w:b/>
          <w:bCs/>
          <w:szCs w:val="21"/>
        </w:rPr>
      </w:pPr>
      <w:r>
        <w:rPr>
          <w:rFonts w:hint="eastAsia" w:ascii="宋体" w:hAnsi="宋体" w:eastAsia="宋体" w:cs="宋体"/>
          <w:b/>
          <w:bCs/>
          <w:szCs w:val="21"/>
        </w:rPr>
        <w:t>6.支持创新发展</w:t>
      </w:r>
    </w:p>
    <w:p w14:paraId="15DF0D9B">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采购人优先采购被认定为首台套产品和“制造精品”的自主创新产品。</w:t>
      </w:r>
    </w:p>
    <w:p w14:paraId="15DF0D9C">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对省级以上主管部门认定的首台套产品，自纳入《省推广应用指导目录》起3年内参加政府采购活动，视同已具备相应销售业绩，业绩分为满分。</w:t>
      </w:r>
    </w:p>
    <w:p w14:paraId="15DF0D9D">
      <w:pPr>
        <w:adjustRightInd w:val="0"/>
        <w:snapToGrid w:val="0"/>
        <w:spacing w:line="288" w:lineRule="auto"/>
        <w:ind w:firstLine="420" w:firstLineChars="200"/>
        <w:jc w:val="left"/>
        <w:rPr>
          <w:rFonts w:hint="eastAsia" w:ascii="宋体" w:hAnsi="宋体" w:eastAsia="宋体" w:cs="Times New Roman"/>
          <w:spacing w:val="-6"/>
          <w:szCs w:val="21"/>
        </w:rPr>
      </w:pPr>
      <w:r>
        <w:rPr>
          <w:rFonts w:hint="eastAsia" w:ascii="宋体" w:hAnsi="宋体" w:eastAsia="宋体" w:cs="宋体"/>
          <w:szCs w:val="21"/>
        </w:rPr>
        <w:t>产品核心技术高于国内领先水平，并具有明晰自主知识产权的“制造精品”产品，自认定之日起2年内视同已具备相应销售业绩，参加政府采购活动时业绩分值为满分。</w:t>
      </w:r>
    </w:p>
    <w:bookmarkEnd w:id="44"/>
    <w:p w14:paraId="15DF0D9E">
      <w:pPr>
        <w:adjustRightInd w:val="0"/>
        <w:snapToGrid w:val="0"/>
        <w:spacing w:line="288" w:lineRule="auto"/>
        <w:ind w:firstLine="398" w:firstLineChars="200"/>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15DF0D9F">
      <w:pPr>
        <w:adjustRightInd w:val="0"/>
        <w:snapToGrid w:val="0"/>
        <w:spacing w:line="288" w:lineRule="auto"/>
        <w:jc w:val="center"/>
        <w:outlineLvl w:val="1"/>
        <w:rPr>
          <w:rFonts w:hint="eastAsia" w:ascii="宋体" w:hAnsi="宋体" w:eastAsia="宋体" w:cs="Times New Roman"/>
          <w:b/>
          <w:spacing w:val="-6"/>
          <w:szCs w:val="21"/>
        </w:rPr>
      </w:pPr>
      <w:r>
        <w:rPr>
          <w:rFonts w:ascii="宋体" w:hAnsi="宋体" w:eastAsia="宋体" w:cs="Times New Roman"/>
          <w:b/>
          <w:spacing w:val="-6"/>
          <w:szCs w:val="21"/>
        </w:rPr>
        <w:t>二</w:t>
      </w:r>
      <w:r>
        <w:rPr>
          <w:rFonts w:hint="eastAsia" w:ascii="宋体" w:hAnsi="宋体" w:eastAsia="宋体" w:cs="Times New Roman"/>
          <w:b/>
          <w:spacing w:val="-6"/>
          <w:szCs w:val="21"/>
        </w:rPr>
        <w:t>、招标文件</w:t>
      </w:r>
    </w:p>
    <w:p w14:paraId="15DF0DA0">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（一）招标文件的构成</w:t>
      </w:r>
    </w:p>
    <w:p w14:paraId="15DF0DA1">
      <w:pPr>
        <w:adjustRightInd w:val="0"/>
        <w:snapToGrid w:val="0"/>
        <w:spacing w:line="288" w:lineRule="auto"/>
        <w:ind w:firstLine="398" w:firstLineChars="200"/>
        <w:jc w:val="left"/>
        <w:rPr>
          <w:rFonts w:hint="eastAsia" w:ascii="宋体" w:hAnsi="宋体" w:eastAsia="宋体" w:cs="Times New Roman"/>
          <w:b/>
          <w:spacing w:val="-6"/>
          <w:szCs w:val="21"/>
        </w:rPr>
      </w:pPr>
      <w:r>
        <w:rPr>
          <w:rFonts w:hint="eastAsia" w:ascii="宋体" w:hAnsi="宋体" w:eastAsia="宋体" w:cs="Times New Roman"/>
          <w:b/>
          <w:spacing w:val="-6"/>
          <w:szCs w:val="21"/>
        </w:rPr>
        <w:t>本招标文件由以下部分组成：</w:t>
      </w:r>
    </w:p>
    <w:p w14:paraId="15DF0DA2">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1.投标邀请</w:t>
      </w:r>
    </w:p>
    <w:p w14:paraId="15DF0DA3">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2.采购需求</w:t>
      </w:r>
    </w:p>
    <w:p w14:paraId="15DF0DA4">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3.投标人须知</w:t>
      </w:r>
    </w:p>
    <w:p w14:paraId="15DF0DA5">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4.评标方法和评标标准</w:t>
      </w:r>
    </w:p>
    <w:p w14:paraId="15DF0DA6">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5.拟签订的合同文本</w:t>
      </w:r>
    </w:p>
    <w:p w14:paraId="15DF0DA7">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6.投标文件格式</w:t>
      </w:r>
    </w:p>
    <w:p w14:paraId="15DF0DA8">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7.本项目招标文件的澄清、答复、修改、补充的内容</w:t>
      </w:r>
    </w:p>
    <w:p w14:paraId="15DF0DA9">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（二）招标文件的澄清与修改</w:t>
      </w:r>
    </w:p>
    <w:p w14:paraId="15DF0DAA">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.采购人或者采购代理机构可以对已发出的招标文件进行必要的澄清或者修改</w:t>
      </w:r>
      <w:r>
        <w:rPr>
          <w:rFonts w:hint="eastAsia" w:ascii="宋体" w:hAnsi="宋体" w:eastAsia="宋体" w:cs="Times New Roman"/>
          <w:spacing w:val="-6"/>
          <w:szCs w:val="21"/>
        </w:rPr>
        <w:t>，</w:t>
      </w:r>
      <w:r>
        <w:rPr>
          <w:rFonts w:ascii="宋体" w:hAnsi="宋体" w:eastAsia="宋体" w:cs="Times New Roman"/>
          <w:spacing w:val="-6"/>
          <w:szCs w:val="21"/>
        </w:rPr>
        <w:t>澄清或者修改</w:t>
      </w:r>
      <w:r>
        <w:rPr>
          <w:rFonts w:hint="eastAsia" w:ascii="宋体" w:hAnsi="宋体" w:eastAsia="宋体" w:cs="Times New Roman"/>
          <w:spacing w:val="-6"/>
          <w:szCs w:val="21"/>
        </w:rPr>
        <w:t>会</w:t>
      </w:r>
      <w:r>
        <w:rPr>
          <w:rFonts w:ascii="宋体" w:hAnsi="宋体" w:eastAsia="宋体" w:cs="Times New Roman"/>
          <w:spacing w:val="-6"/>
          <w:szCs w:val="21"/>
        </w:rPr>
        <w:t>在原公告发布媒体上发布澄清公告</w:t>
      </w:r>
      <w:r>
        <w:rPr>
          <w:rFonts w:hint="eastAsia" w:ascii="宋体" w:hAnsi="宋体" w:eastAsia="宋体" w:cs="Times New Roman"/>
          <w:spacing w:val="-6"/>
          <w:szCs w:val="21"/>
        </w:rPr>
        <w:t>，</w:t>
      </w:r>
      <w:r>
        <w:rPr>
          <w:rFonts w:ascii="宋体" w:hAnsi="宋体" w:eastAsia="宋体" w:cs="Times New Roman"/>
          <w:spacing w:val="-6"/>
          <w:szCs w:val="21"/>
        </w:rPr>
        <w:t>澄清或者修改的内容为招标文件的组成部分。</w:t>
      </w:r>
    </w:p>
    <w:p w14:paraId="15DF0DA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澄清或者修改的内容可能影响投标文件编制的，采购人或者采购代理机构会在投标截止时间至少15日前，以书面形式通知所有获取招标文件的潜在投标人；不足15日的，采购人或者采购代理机构会顺延提交投标文件的截止时间。</w:t>
      </w:r>
    </w:p>
    <w:p w14:paraId="15DF0DAC">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2.招标文件的修改将以书面形式通知所有获取招标文件的投标人，并对其具有约束力。投标人在收到上述通知后，应立即向采购</w:t>
      </w:r>
      <w:r>
        <w:rPr>
          <w:rFonts w:ascii="宋体" w:hAnsi="宋体" w:eastAsia="宋体" w:cs="Times New Roman"/>
          <w:spacing w:val="-6"/>
          <w:szCs w:val="21"/>
        </w:rPr>
        <w:t>代理机构</w:t>
      </w:r>
      <w:r>
        <w:rPr>
          <w:rFonts w:hint="eastAsia" w:ascii="宋体" w:hAnsi="宋体" w:eastAsia="宋体" w:cs="Times New Roman"/>
          <w:spacing w:val="-6"/>
          <w:szCs w:val="21"/>
        </w:rPr>
        <w:t>回函确认。若无书面回函确认，视同投标人已收到招标文件修改的通知，并受其约束。</w:t>
      </w:r>
    </w:p>
    <w:p w14:paraId="15DF0DAD">
      <w:pPr>
        <w:adjustRightInd w:val="0"/>
        <w:snapToGrid w:val="0"/>
        <w:spacing w:line="288" w:lineRule="auto"/>
        <w:jc w:val="center"/>
        <w:outlineLvl w:val="1"/>
        <w:rPr>
          <w:rFonts w:hint="eastAsia" w:ascii="宋体" w:hAnsi="宋体" w:eastAsia="宋体" w:cs="Times New Roman"/>
          <w:spacing w:val="-6"/>
          <w:szCs w:val="21"/>
        </w:rPr>
      </w:pPr>
      <w:r>
        <w:rPr>
          <w:rFonts w:ascii="宋体" w:hAnsi="宋体" w:eastAsia="宋体" w:cs="Times New Roman"/>
          <w:spacing w:val="-6"/>
          <w:szCs w:val="21"/>
        </w:rPr>
        <w:br w:type="page"/>
      </w:r>
      <w:r>
        <w:rPr>
          <w:rFonts w:ascii="宋体" w:hAnsi="宋体" w:eastAsia="宋体" w:cs="Times New Roman"/>
          <w:b/>
          <w:spacing w:val="-6"/>
          <w:szCs w:val="21"/>
        </w:rPr>
        <w:t>三</w:t>
      </w:r>
      <w:r>
        <w:rPr>
          <w:rFonts w:hint="eastAsia" w:ascii="宋体" w:hAnsi="宋体" w:eastAsia="宋体" w:cs="Times New Roman"/>
          <w:b/>
          <w:spacing w:val="-6"/>
          <w:szCs w:val="21"/>
        </w:rPr>
        <w:t>、</w:t>
      </w:r>
      <w:r>
        <w:rPr>
          <w:rFonts w:ascii="宋体" w:hAnsi="宋体" w:eastAsia="宋体" w:cs="Times New Roman"/>
          <w:b/>
          <w:spacing w:val="-6"/>
          <w:szCs w:val="21"/>
        </w:rPr>
        <w:t>投标文件编制要求</w:t>
      </w:r>
    </w:p>
    <w:p w14:paraId="15DF0DAE">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（一）投标文件的组成</w:t>
      </w:r>
    </w:p>
    <w:p w14:paraId="15DF0DAF">
      <w:pPr>
        <w:adjustRightInd w:val="0"/>
        <w:snapToGrid w:val="0"/>
        <w:spacing w:line="288" w:lineRule="auto"/>
        <w:ind w:firstLine="396" w:firstLineChars="200"/>
        <w:jc w:val="left"/>
        <w:rPr>
          <w:rFonts w:hint="eastAsia" w:ascii="宋体" w:hAnsi="宋体" w:eastAsia="宋体" w:cs="Times New Roman"/>
          <w:spacing w:val="-6"/>
          <w:szCs w:val="21"/>
        </w:rPr>
      </w:pPr>
      <w:bookmarkStart w:id="45" w:name="_Hlk94018532"/>
      <w:r>
        <w:rPr>
          <w:rFonts w:hint="eastAsia" w:ascii="宋体" w:hAnsi="宋体" w:eastAsia="宋体" w:cs="Times New Roman"/>
          <w:spacing w:val="-6"/>
          <w:szCs w:val="21"/>
        </w:rPr>
        <w:t>投标文件（电子加密投标文件）由</w:t>
      </w:r>
      <w:r>
        <w:rPr>
          <w:rFonts w:hint="eastAsia" w:ascii="宋体" w:hAnsi="宋体" w:eastAsia="宋体" w:cs="Times New Roman"/>
          <w:b/>
          <w:spacing w:val="-6"/>
          <w:szCs w:val="21"/>
        </w:rPr>
        <w:t>资格文件、商务和技术文件、报价文件三部分</w:t>
      </w:r>
      <w:r>
        <w:rPr>
          <w:rFonts w:hint="eastAsia" w:ascii="宋体" w:hAnsi="宋体" w:eastAsia="宋体" w:cs="Times New Roman"/>
          <w:bCs/>
          <w:spacing w:val="-6"/>
          <w:szCs w:val="21"/>
        </w:rPr>
        <w:t>组成（格式详见招标文件第六章）。投标人应将投标文件各部分</w:t>
      </w:r>
      <w:r>
        <w:rPr>
          <w:rFonts w:hint="eastAsia" w:ascii="宋体" w:hAnsi="宋体" w:eastAsia="宋体" w:cs="Times New Roman"/>
          <w:b/>
          <w:spacing w:val="-6"/>
          <w:szCs w:val="21"/>
        </w:rPr>
        <w:t>分别上传</w:t>
      </w:r>
      <w:r>
        <w:rPr>
          <w:rFonts w:hint="eastAsia" w:ascii="宋体" w:hAnsi="宋体" w:eastAsia="宋体" w:cs="Times New Roman"/>
          <w:bCs/>
          <w:spacing w:val="-6"/>
          <w:szCs w:val="21"/>
        </w:rPr>
        <w:t>至政府采购云平台指定位置。</w:t>
      </w:r>
    </w:p>
    <w:p w14:paraId="15DF0DB0">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投标文件组成：详见“第六章</w:t>
      </w:r>
      <w:r>
        <w:rPr>
          <w:rFonts w:ascii="宋体" w:hAnsi="宋体" w:eastAsia="宋体" w:cs="Times New Roman"/>
          <w:spacing w:val="-6"/>
          <w:szCs w:val="21"/>
        </w:rPr>
        <w:t xml:space="preserve">  投标文件格式</w:t>
      </w:r>
      <w:r>
        <w:rPr>
          <w:rFonts w:hint="eastAsia" w:ascii="宋体" w:hAnsi="宋体" w:eastAsia="宋体" w:cs="Times New Roman"/>
          <w:spacing w:val="-6"/>
          <w:szCs w:val="21"/>
        </w:rPr>
        <w:t>”目录</w:t>
      </w:r>
    </w:p>
    <w:p w14:paraId="15DF0DB1">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如供应商提供的产品技术支持材料与采购需求偏离表响应不一致，以产品技术支持材料为准。</w:t>
      </w:r>
    </w:p>
    <w:bookmarkEnd w:id="45"/>
    <w:p w14:paraId="15DF0DB2">
      <w:pPr>
        <w:adjustRightInd w:val="0"/>
        <w:snapToGrid w:val="0"/>
        <w:spacing w:line="288" w:lineRule="auto"/>
        <w:jc w:val="left"/>
        <w:rPr>
          <w:rFonts w:hint="eastAsia" w:ascii="宋体" w:hAnsi="宋体" w:eastAsia="宋体"/>
          <w:b/>
          <w:spacing w:val="-6"/>
          <w:szCs w:val="21"/>
        </w:rPr>
      </w:pPr>
      <w:r>
        <w:rPr>
          <w:rFonts w:hint="eastAsia" w:ascii="宋体" w:hAnsi="宋体" w:eastAsia="宋体"/>
          <w:b/>
          <w:spacing w:val="-6"/>
          <w:szCs w:val="21"/>
        </w:rPr>
        <w:t>（二）投标文件的签署和份数</w:t>
      </w:r>
    </w:p>
    <w:p w14:paraId="15DF0DB3">
      <w:pPr>
        <w:adjustRightInd w:val="0"/>
        <w:snapToGrid w:val="0"/>
        <w:spacing w:line="288" w:lineRule="auto"/>
        <w:ind w:firstLine="396" w:firstLineChars="200"/>
        <w:jc w:val="left"/>
        <w:rPr>
          <w:rFonts w:hint="eastAsia" w:ascii="宋体" w:hAnsi="宋体" w:eastAsia="宋体"/>
          <w:b/>
          <w:bCs/>
          <w:spacing w:val="-6"/>
          <w:szCs w:val="21"/>
        </w:rPr>
      </w:pPr>
      <w:r>
        <w:rPr>
          <w:rFonts w:hint="eastAsia" w:ascii="宋体" w:hAnsi="宋体" w:eastAsia="宋体"/>
          <w:spacing w:val="-6"/>
          <w:szCs w:val="21"/>
        </w:rPr>
        <w:t>1.投标人应按照招标文件和政府采购云平台的要求，根据投标文件的组成规定的内容及顺序通过政采云电子交易客户端（政采云投标客户端）编制加密投标文件，投标文件内容不完整、编排混乱导致投标文件被误读、漏读或者查找不到相关内容的，是投标人的责任。</w:t>
      </w:r>
      <w:r>
        <w:rPr>
          <w:rFonts w:hint="eastAsia" w:ascii="宋体" w:hAnsi="宋体" w:eastAsia="宋体"/>
          <w:b/>
          <w:bCs/>
          <w:spacing w:val="-6"/>
          <w:szCs w:val="21"/>
        </w:rPr>
        <w:t>其中资格文件、商务技术文件中不得出现投标报价，如因投标人原因提前泄露投标报价，是投标人的责任。</w:t>
      </w:r>
    </w:p>
    <w:p w14:paraId="15DF0DB4">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2.投标文件须由投标人在规定位置</w:t>
      </w:r>
      <w:bookmarkStart w:id="46" w:name="_Hlk96329183"/>
      <w:r>
        <w:rPr>
          <w:rFonts w:hint="eastAsia" w:ascii="宋体" w:hAnsi="宋体" w:eastAsia="宋体"/>
          <w:spacing w:val="-6"/>
          <w:szCs w:val="21"/>
        </w:rPr>
        <w:t>加盖公章</w:t>
      </w:r>
      <w:bookmarkEnd w:id="46"/>
      <w:r>
        <w:rPr>
          <w:rFonts w:hint="eastAsia" w:ascii="宋体" w:hAnsi="宋体" w:eastAsia="宋体"/>
          <w:spacing w:val="-6"/>
          <w:szCs w:val="21"/>
        </w:rPr>
        <w:t>，投标人应写全称。</w:t>
      </w:r>
    </w:p>
    <w:p w14:paraId="15DF0DB5">
      <w:pPr>
        <w:adjustRightInd w:val="0"/>
        <w:snapToGrid w:val="0"/>
        <w:spacing w:line="288" w:lineRule="auto"/>
        <w:ind w:firstLine="396" w:firstLineChars="200"/>
        <w:jc w:val="left"/>
        <w:rPr>
          <w:rFonts w:hint="eastAsia" w:ascii="宋体" w:hAnsi="宋体" w:eastAsia="宋体"/>
          <w:spacing w:val="-6"/>
          <w:szCs w:val="21"/>
        </w:rPr>
      </w:pPr>
      <w:r>
        <w:rPr>
          <w:rFonts w:ascii="宋体" w:hAnsi="宋体" w:eastAsia="宋体"/>
          <w:spacing w:val="-6"/>
          <w:szCs w:val="21"/>
        </w:rPr>
        <w:t>3.投标文件不得涂改，若有修改错漏处，须由投标人加盖公章，或者由投标人代表签名。投标文件因字迹潦草或表达不清所引起的后果由投标人负责。</w:t>
      </w:r>
    </w:p>
    <w:p w14:paraId="15DF0DB6">
      <w:pPr>
        <w:adjustRightInd w:val="0"/>
        <w:snapToGrid w:val="0"/>
        <w:spacing w:line="288" w:lineRule="auto"/>
        <w:ind w:firstLine="398" w:firstLineChars="200"/>
        <w:jc w:val="left"/>
        <w:rPr>
          <w:rFonts w:hint="eastAsia" w:ascii="宋体" w:hAnsi="宋体" w:eastAsia="宋体"/>
          <w:b/>
          <w:bCs/>
          <w:spacing w:val="-6"/>
          <w:szCs w:val="21"/>
        </w:rPr>
      </w:pPr>
      <w:r>
        <w:rPr>
          <w:rFonts w:hint="eastAsia" w:ascii="宋体" w:hAnsi="宋体" w:eastAsia="宋体"/>
          <w:b/>
          <w:bCs/>
          <w:spacing w:val="-6"/>
          <w:szCs w:val="21"/>
        </w:rPr>
        <w:t>4.投标文件份数：</w:t>
      </w:r>
    </w:p>
    <w:p w14:paraId="15DF0DB7">
      <w:pPr>
        <w:adjustRightInd w:val="0"/>
        <w:snapToGrid w:val="0"/>
        <w:spacing w:line="288" w:lineRule="auto"/>
        <w:ind w:firstLine="398" w:firstLineChars="200"/>
        <w:jc w:val="left"/>
        <w:rPr>
          <w:rFonts w:hint="eastAsia" w:ascii="宋体" w:hAnsi="宋体" w:eastAsia="宋体"/>
          <w:b/>
          <w:bCs/>
          <w:spacing w:val="-6"/>
          <w:szCs w:val="21"/>
        </w:rPr>
      </w:pPr>
      <w:r>
        <w:rPr>
          <w:rFonts w:hint="eastAsia" w:ascii="宋体" w:hAnsi="宋体" w:eastAsia="宋体"/>
          <w:b/>
          <w:bCs/>
          <w:spacing w:val="-6"/>
          <w:szCs w:val="21"/>
        </w:rPr>
        <w:t>电子加密投标文件：政府采购云平台在线上传一份；</w:t>
      </w:r>
    </w:p>
    <w:p w14:paraId="15DF0DB8">
      <w:pPr>
        <w:adjustRightInd w:val="0"/>
        <w:snapToGrid w:val="0"/>
        <w:spacing w:line="288" w:lineRule="auto"/>
        <w:ind w:firstLine="398" w:firstLineChars="200"/>
        <w:jc w:val="left"/>
        <w:rPr>
          <w:rFonts w:hint="eastAsia" w:ascii="宋体" w:hAnsi="宋体" w:eastAsia="宋体" w:cs="Times New Roman"/>
          <w:b/>
          <w:bCs/>
          <w:spacing w:val="-6"/>
          <w:szCs w:val="21"/>
        </w:rPr>
      </w:pPr>
      <w:r>
        <w:rPr>
          <w:rFonts w:hint="eastAsia" w:ascii="宋体" w:hAnsi="宋体" w:eastAsia="宋体"/>
          <w:b/>
          <w:bCs/>
          <w:spacing w:val="-6"/>
          <w:szCs w:val="21"/>
        </w:rPr>
        <w:t>备份投标文件：密封包装后EMS或顺丰邮寄形式递交一份（邮寄地址：</w:t>
      </w:r>
      <w:r>
        <w:rPr>
          <w:rFonts w:hint="eastAsia" w:ascii="宋体" w:hAnsi="宋体" w:eastAsia="宋体" w:cs="宋体"/>
          <w:b/>
          <w:bCs/>
          <w:szCs w:val="21"/>
        </w:rPr>
        <w:t>杭州市西湖区玉古路173号中田大厦21楼H室，浙江求是招标代理有限公司（陈应俭、俞炳）收，电话：0571-87670302，寄出后将（快递单号、项目名称、公司名称、联系方式等相关信息）发至：zb02@qszb.net，以便查收）。</w:t>
      </w:r>
    </w:p>
    <w:p w14:paraId="15DF0DB9">
      <w:pPr>
        <w:adjustRightInd w:val="0"/>
        <w:snapToGrid w:val="0"/>
        <w:spacing w:line="288" w:lineRule="auto"/>
        <w:ind w:firstLine="422" w:firstLineChars="200"/>
        <w:jc w:val="left"/>
        <w:rPr>
          <w:rFonts w:hint="eastAsia" w:ascii="宋体" w:hAnsi="宋体" w:eastAsia="宋体" w:cs="Times New Roman"/>
          <w:b/>
          <w:bCs/>
          <w:spacing w:val="-6"/>
          <w:szCs w:val="21"/>
        </w:rPr>
      </w:pPr>
      <w:r>
        <w:rPr>
          <w:rFonts w:hint="eastAsia" w:ascii="宋体" w:hAnsi="宋体" w:eastAsia="宋体" w:cs="宋体"/>
          <w:b/>
          <w:szCs w:val="21"/>
        </w:rPr>
        <w:t>特别说明：双休日和法定节假日不收件，投标人自行承担邮寄风险。</w:t>
      </w:r>
    </w:p>
    <w:p w14:paraId="15DF0DBA">
      <w:pPr>
        <w:adjustRightInd w:val="0"/>
        <w:snapToGrid w:val="0"/>
        <w:spacing w:line="288" w:lineRule="auto"/>
        <w:jc w:val="left"/>
        <w:rPr>
          <w:rFonts w:hint="eastAsia" w:ascii="宋体" w:hAnsi="宋体" w:eastAsia="宋体"/>
          <w:b/>
          <w:spacing w:val="-6"/>
          <w:szCs w:val="21"/>
        </w:rPr>
      </w:pPr>
      <w:r>
        <w:rPr>
          <w:rFonts w:hint="eastAsia" w:ascii="宋体" w:hAnsi="宋体" w:eastAsia="宋体"/>
          <w:b/>
          <w:spacing w:val="-6"/>
          <w:szCs w:val="21"/>
        </w:rPr>
        <w:t>（三）投标文件的上传、递交、修改和撤回</w:t>
      </w:r>
    </w:p>
    <w:p w14:paraId="15DF0DBB">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1.投标文件的上传、递交：</w:t>
      </w:r>
    </w:p>
    <w:p w14:paraId="15DF0DBC">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（1）电子加密投标文件的上传：</w:t>
      </w:r>
    </w:p>
    <w:p w14:paraId="15DF0DBD">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▲a.投标人应在投标截止时间前将电子加密投标文件成功上传至政府采购云平台，否则投标无效；</w:t>
      </w:r>
    </w:p>
    <w:p w14:paraId="15DF0DBE">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b.电子加密投标文件成功上传后，投标人可自行打印投标文件接收回执。</w:t>
      </w:r>
    </w:p>
    <w:p w14:paraId="15DF0DBF">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（2）备份投标文件的密封包装、递交：</w:t>
      </w:r>
    </w:p>
    <w:p w14:paraId="15DF0DC0">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a.投标人在政府采购云平台完成电子加密投标文件的上传后，可以EMS或顺丰邮寄形式在投标截止时间前递交以介质（U盘）存储的数据电文形式的备份投标文件；</w:t>
      </w:r>
    </w:p>
    <w:p w14:paraId="15DF0DC1">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b.备份投标文件应当密封包装并在包装上标注投标</w:t>
      </w:r>
      <w:r>
        <w:rPr>
          <w:rFonts w:hint="eastAsia" w:ascii="宋体" w:hAnsi="宋体" w:eastAsia="宋体"/>
          <w:spacing w:val="-6"/>
          <w:szCs w:val="21"/>
          <w:u w:val="single"/>
        </w:rPr>
        <w:t>项目名称、标项、投标人名称</w:t>
      </w:r>
      <w:r>
        <w:rPr>
          <w:rFonts w:hint="eastAsia" w:ascii="宋体" w:hAnsi="宋体" w:eastAsia="宋体"/>
          <w:spacing w:val="-6"/>
          <w:szCs w:val="21"/>
        </w:rPr>
        <w:t>并加盖公章（非电子签章），投标人逾期送达或者未密封包装的备份投标文件采购代理机构将予以拒收；</w:t>
      </w:r>
    </w:p>
    <w:p w14:paraId="15DF0DC2">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▲c.通过政府采购云平台成功上传的电子加密投标文件已按时解密的，备份投标文件自动失效。</w:t>
      </w:r>
    </w:p>
    <w:p w14:paraId="15DF0DC3">
      <w:pPr>
        <w:adjustRightInd w:val="0"/>
        <w:snapToGrid w:val="0"/>
        <w:spacing w:line="288" w:lineRule="auto"/>
        <w:ind w:firstLine="396" w:firstLineChars="200"/>
        <w:jc w:val="left"/>
        <w:rPr>
          <w:rFonts w:hint="eastAsia" w:ascii="宋体" w:hAnsi="宋体" w:eastAsia="宋体"/>
          <w:spacing w:val="-6"/>
          <w:szCs w:val="21"/>
        </w:rPr>
      </w:pPr>
      <w:bookmarkStart w:id="47" w:name="_Hlk94018616"/>
      <w:r>
        <w:rPr>
          <w:rFonts w:hint="eastAsia" w:ascii="宋体" w:hAnsi="宋体" w:eastAsia="宋体"/>
          <w:spacing w:val="-6"/>
          <w:szCs w:val="21"/>
        </w:rPr>
        <w:t>▲d.投标人仅递交备份投标文件而未将电子加密投标文件成功上传至政府采购云平台的，投标无效。</w:t>
      </w:r>
    </w:p>
    <w:bookmarkEnd w:id="47"/>
    <w:p w14:paraId="15DF0DC4">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3）投标人应当在投标截止时间前完成投标文件的上传、递交，并可以补充、修改或者撤回投标文件。补充或者修改投标文件的，应当先行撤回原文件，补充、修改后重新上传、递交。投标截止时间前未完成上传、递交的，视为撤回投标文件。投标截止时间后上传、递交的投标文件，政府采购云平台及采购代理机构将予以拒收。</w:t>
      </w:r>
    </w:p>
    <w:p w14:paraId="15DF0DC5">
      <w:pPr>
        <w:adjustRightInd w:val="0"/>
        <w:snapToGrid w:val="0"/>
        <w:spacing w:line="288" w:lineRule="auto"/>
        <w:ind w:firstLine="396" w:firstLineChars="200"/>
        <w:jc w:val="left"/>
        <w:rPr>
          <w:rFonts w:hint="eastAsia" w:ascii="宋体" w:hAnsi="宋体" w:eastAsia="宋体"/>
          <w:spacing w:val="-6"/>
          <w:szCs w:val="21"/>
        </w:rPr>
      </w:pPr>
      <w:r>
        <w:rPr>
          <w:rFonts w:ascii="宋体" w:hAnsi="宋体" w:eastAsia="宋体"/>
          <w:spacing w:val="-6"/>
          <w:szCs w:val="21"/>
        </w:rPr>
        <w:t>2</w:t>
      </w:r>
      <w:r>
        <w:rPr>
          <w:rFonts w:hint="eastAsia" w:ascii="宋体" w:hAnsi="宋体" w:eastAsia="宋体"/>
          <w:spacing w:val="-6"/>
          <w:szCs w:val="21"/>
        </w:rPr>
        <w:t>.投标人因未在线参加开标而导致电子加密投标文件无法按时解密等一切后果由投标人自行承担。</w:t>
      </w:r>
    </w:p>
    <w:p w14:paraId="15DF0DC6">
      <w:pPr>
        <w:adjustRightInd w:val="0"/>
        <w:snapToGrid w:val="0"/>
        <w:spacing w:line="288" w:lineRule="auto"/>
        <w:ind w:firstLine="396" w:firstLineChars="200"/>
        <w:jc w:val="left"/>
        <w:rPr>
          <w:rFonts w:hint="eastAsia" w:ascii="宋体" w:hAnsi="宋体" w:eastAsia="宋体"/>
          <w:spacing w:val="-6"/>
          <w:szCs w:val="21"/>
        </w:rPr>
      </w:pPr>
      <w:r>
        <w:rPr>
          <w:rFonts w:ascii="宋体" w:hAnsi="宋体" w:eastAsia="宋体"/>
          <w:spacing w:val="-6"/>
          <w:szCs w:val="21"/>
        </w:rPr>
        <w:t>3</w:t>
      </w:r>
      <w:r>
        <w:rPr>
          <w:rFonts w:hint="eastAsia" w:ascii="宋体" w:hAnsi="宋体" w:eastAsia="宋体"/>
          <w:spacing w:val="-6"/>
          <w:szCs w:val="21"/>
        </w:rPr>
        <w:t>.投标人应按照招标文件和政府采购云平台的要求，根据投标文件的组成规定的内容及顺序通过政采云电子交易客户端（政采云投标客户端）编制加密投标文件。</w:t>
      </w:r>
    </w:p>
    <w:p w14:paraId="15DF0DC7">
      <w:pPr>
        <w:adjustRightInd w:val="0"/>
        <w:snapToGrid w:val="0"/>
        <w:spacing w:line="288" w:lineRule="auto"/>
        <w:ind w:firstLine="422" w:firstLineChars="200"/>
        <w:jc w:val="left"/>
        <w:rPr>
          <w:rFonts w:hint="eastAsia" w:ascii="宋体" w:hAnsi="宋体" w:eastAsia="宋体"/>
          <w:b/>
          <w:bCs/>
          <w:szCs w:val="21"/>
        </w:rPr>
      </w:pPr>
      <w:r>
        <w:rPr>
          <w:rFonts w:hint="eastAsia" w:ascii="宋体" w:hAnsi="宋体" w:eastAsia="宋体"/>
          <w:b/>
          <w:bCs/>
          <w:szCs w:val="21"/>
        </w:rPr>
        <w:t>备注：投标人可通过浙江省“电子交易/不见面开评标”学习专题提前进行专题学习，熟悉操作，避免影响采购活动（</w:t>
      </w:r>
      <w:r>
        <w:fldChar w:fldCharType="begin"/>
      </w:r>
      <w:r>
        <w:instrText xml:space="preserve"> HYPERLINK "https://edu.zcygov.cn/luban/e-biding" </w:instrText>
      </w:r>
      <w:r>
        <w:fldChar w:fldCharType="separate"/>
      </w:r>
      <w:r>
        <w:rPr>
          <w:rStyle w:val="30"/>
          <w:rFonts w:hint="eastAsia" w:ascii="宋体" w:hAnsi="宋体" w:eastAsia="宋体"/>
          <w:b/>
          <w:bCs/>
          <w:color w:val="auto"/>
          <w:szCs w:val="21"/>
        </w:rPr>
        <w:t>https://edu.zcygov.cn/luban/e-biding</w:t>
      </w:r>
      <w:r>
        <w:rPr>
          <w:rStyle w:val="30"/>
          <w:rFonts w:hint="eastAsia" w:ascii="宋体" w:hAnsi="宋体" w:eastAsia="宋体"/>
          <w:b/>
          <w:bCs/>
          <w:color w:val="auto"/>
          <w:szCs w:val="21"/>
        </w:rPr>
        <w:fldChar w:fldCharType="end"/>
      </w:r>
      <w:r>
        <w:rPr>
          <w:rFonts w:hint="eastAsia" w:ascii="宋体" w:hAnsi="宋体" w:eastAsia="宋体"/>
          <w:b/>
          <w:bCs/>
          <w:szCs w:val="21"/>
        </w:rPr>
        <w:t>）。</w:t>
      </w:r>
    </w:p>
    <w:p w14:paraId="15DF0DC8">
      <w:pPr>
        <w:adjustRightInd w:val="0"/>
        <w:snapToGrid w:val="0"/>
        <w:spacing w:line="288" w:lineRule="auto"/>
        <w:jc w:val="left"/>
        <w:rPr>
          <w:rFonts w:hint="eastAsia" w:ascii="宋体" w:hAnsi="宋体" w:eastAsia="宋体"/>
          <w:b/>
          <w:spacing w:val="-6"/>
          <w:szCs w:val="21"/>
        </w:rPr>
      </w:pPr>
      <w:r>
        <w:rPr>
          <w:rFonts w:hint="eastAsia" w:ascii="宋体" w:hAnsi="宋体" w:eastAsia="宋体"/>
          <w:b/>
          <w:spacing w:val="-6"/>
          <w:szCs w:val="21"/>
        </w:rPr>
        <w:t>（四）投标文件的语言及计量</w:t>
      </w:r>
    </w:p>
    <w:p w14:paraId="15DF0DC9">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投标文件以及投标人与采购人或采购代理机构就有关投标事宜的所有来往函电，均应以中文汉语书写。除签名、盖章、专用名称等特殊情形外，以中文汉语以外的文字表述的投标文件视同未提供（有中文汉语说明的除外）。</w:t>
      </w:r>
    </w:p>
    <w:p w14:paraId="15DF0DCA">
      <w:pPr>
        <w:adjustRightInd w:val="0"/>
        <w:snapToGrid w:val="0"/>
        <w:spacing w:line="288" w:lineRule="auto"/>
        <w:jc w:val="left"/>
        <w:rPr>
          <w:rFonts w:hint="eastAsia" w:ascii="宋体" w:hAnsi="宋体" w:eastAsia="宋体"/>
          <w:b/>
          <w:spacing w:val="-6"/>
          <w:szCs w:val="21"/>
        </w:rPr>
      </w:pPr>
      <w:r>
        <w:rPr>
          <w:rFonts w:hint="eastAsia" w:ascii="宋体" w:hAnsi="宋体" w:eastAsia="宋体"/>
          <w:b/>
          <w:spacing w:val="-6"/>
          <w:szCs w:val="21"/>
        </w:rPr>
        <w:t>（五）投标报价</w:t>
      </w:r>
    </w:p>
    <w:p w14:paraId="15DF0DCB">
      <w:pPr>
        <w:adjustRightInd w:val="0"/>
        <w:snapToGrid w:val="0"/>
        <w:spacing w:line="288" w:lineRule="auto"/>
        <w:ind w:firstLine="420" w:firstLineChars="200"/>
        <w:rPr>
          <w:rFonts w:hint="eastAsia" w:ascii="宋体" w:hAnsi="宋体" w:eastAsia="宋体"/>
          <w:szCs w:val="21"/>
        </w:rPr>
      </w:pPr>
      <w:bookmarkStart w:id="48" w:name="_Hlk94018664"/>
      <w:r>
        <w:rPr>
          <w:rFonts w:hint="eastAsia" w:ascii="宋体" w:hAnsi="宋体" w:eastAsia="宋体"/>
          <w:szCs w:val="21"/>
        </w:rPr>
        <w:t>1.报价应按招标文件要求的格式编制、填写报价内容（可自行增行），未按招标文件要求编制、填写的投标文件可能被拒绝；</w:t>
      </w:r>
    </w:p>
    <w:p w14:paraId="15DF0DCC">
      <w:pPr>
        <w:adjustRightInd w:val="0"/>
        <w:snapToGrid w:val="0"/>
        <w:spacing w:line="288" w:lineRule="auto"/>
        <w:ind w:firstLine="420" w:firstLineChars="200"/>
        <w:rPr>
          <w:rFonts w:hint="eastAsia" w:ascii="宋体" w:hAnsi="宋体" w:eastAsia="宋体"/>
          <w:szCs w:val="21"/>
        </w:rPr>
      </w:pPr>
      <w:r>
        <w:rPr>
          <w:rFonts w:hint="eastAsia" w:ascii="宋体" w:hAnsi="宋体" w:eastAsia="宋体"/>
          <w:szCs w:val="21"/>
        </w:rPr>
        <w:t>2.以人民币报价；</w:t>
      </w:r>
    </w:p>
    <w:p w14:paraId="15DF0DCD">
      <w:pPr>
        <w:adjustRightInd w:val="0"/>
        <w:snapToGrid w:val="0"/>
        <w:spacing w:line="288" w:lineRule="auto"/>
        <w:ind w:firstLine="420" w:firstLineChars="200"/>
        <w:rPr>
          <w:rFonts w:hint="eastAsia" w:ascii="宋体" w:hAnsi="宋体" w:eastAsia="宋体"/>
          <w:szCs w:val="21"/>
        </w:rPr>
      </w:pPr>
      <w:r>
        <w:rPr>
          <w:rFonts w:hint="eastAsia" w:ascii="宋体" w:hAnsi="宋体" w:eastAsia="宋体"/>
          <w:szCs w:val="21"/>
        </w:rPr>
        <w:t>3.投标报价是履行合同的最终价格，有关本项目实施所涉及的一切费用均计入报价；总价不为零，分项报价中部分产品、服务单价为零的，视作已包含在总价中；</w:t>
      </w:r>
    </w:p>
    <w:p w14:paraId="15DF0DCE">
      <w:pPr>
        <w:adjustRightInd w:val="0"/>
        <w:snapToGrid w:val="0"/>
        <w:spacing w:line="288" w:lineRule="auto"/>
        <w:ind w:firstLine="420" w:firstLineChars="200"/>
        <w:rPr>
          <w:rFonts w:hint="eastAsia" w:ascii="宋体" w:hAnsi="宋体" w:eastAsia="宋体"/>
          <w:szCs w:val="21"/>
        </w:rPr>
      </w:pPr>
      <w:r>
        <w:rPr>
          <w:rFonts w:hint="eastAsia" w:ascii="宋体" w:hAnsi="宋体" w:eastAsia="宋体"/>
          <w:szCs w:val="21"/>
        </w:rPr>
        <w:t>4.投标文件只允许有一个报价，有选择的报价将不予接受。</w:t>
      </w:r>
    </w:p>
    <w:p w14:paraId="15DF0DCF">
      <w:pPr>
        <w:pStyle w:val="13"/>
        <w:adjustRightInd w:val="0"/>
        <w:snapToGrid w:val="0"/>
        <w:spacing w:before="0" w:beforeLines="0" w:after="0" w:afterLines="0" w:line="288" w:lineRule="auto"/>
        <w:ind w:firstLine="420" w:firstLineChars="200"/>
        <w:jc w:val="left"/>
        <w:rPr>
          <w:rFonts w:hint="eastAsia" w:hAnsi="宋体" w:eastAsia="宋体" w:cs="宋体"/>
          <w:sz w:val="21"/>
          <w:szCs w:val="21"/>
        </w:rPr>
      </w:pPr>
      <w:r>
        <w:rPr>
          <w:rFonts w:hint="eastAsia" w:hAnsi="宋体" w:eastAsia="宋体" w:cs="宋体"/>
          <w:sz w:val="21"/>
          <w:szCs w:val="21"/>
        </w:rPr>
        <w:t>▲5</w:t>
      </w:r>
      <w:r>
        <w:rPr>
          <w:rFonts w:hAnsi="宋体" w:eastAsia="宋体" w:cs="宋体"/>
          <w:sz w:val="21"/>
          <w:szCs w:val="21"/>
        </w:rPr>
        <w:t>.</w:t>
      </w:r>
      <w:r>
        <w:rPr>
          <w:rFonts w:hint="eastAsia" w:hAnsi="宋体" w:eastAsia="宋体" w:cs="宋体"/>
          <w:sz w:val="21"/>
          <w:szCs w:val="21"/>
        </w:rPr>
        <w:t>采购人将以合同形式有偿取得货物或服务，不接受投标人给予的赠品、回扣或者与采购无关的其他商品、服务</w:t>
      </w:r>
      <w:r>
        <w:rPr>
          <w:rFonts w:hAnsi="宋体" w:eastAsia="宋体" w:cs="宋体"/>
          <w:sz w:val="21"/>
          <w:szCs w:val="21"/>
        </w:rPr>
        <w:t>。</w:t>
      </w:r>
    </w:p>
    <w:bookmarkEnd w:id="48"/>
    <w:p w14:paraId="15DF0DD0">
      <w:pPr>
        <w:adjustRightInd w:val="0"/>
        <w:snapToGrid w:val="0"/>
        <w:spacing w:line="288" w:lineRule="auto"/>
        <w:jc w:val="left"/>
        <w:rPr>
          <w:rFonts w:hint="eastAsia" w:ascii="宋体" w:hAnsi="宋体" w:eastAsia="宋体"/>
          <w:b/>
          <w:spacing w:val="-6"/>
          <w:szCs w:val="21"/>
        </w:rPr>
      </w:pPr>
      <w:r>
        <w:rPr>
          <w:rFonts w:hint="eastAsia" w:ascii="宋体" w:hAnsi="宋体" w:eastAsia="宋体"/>
          <w:b/>
          <w:spacing w:val="-6"/>
          <w:szCs w:val="21"/>
        </w:rPr>
        <w:t>（六）投标有效期</w:t>
      </w:r>
    </w:p>
    <w:p w14:paraId="15DF0DD1">
      <w:pPr>
        <w:pStyle w:val="13"/>
        <w:adjustRightInd w:val="0"/>
        <w:snapToGrid w:val="0"/>
        <w:spacing w:before="0" w:beforeLines="0" w:after="0" w:afterLines="0" w:line="288" w:lineRule="auto"/>
        <w:ind w:firstLine="396" w:firstLineChars="200"/>
        <w:jc w:val="left"/>
        <w:rPr>
          <w:rFonts w:hint="eastAsia" w:hAnsi="宋体" w:eastAsia="宋体"/>
          <w:sz w:val="21"/>
          <w:szCs w:val="21"/>
        </w:rPr>
      </w:pPr>
      <w:r>
        <w:rPr>
          <w:rFonts w:hint="eastAsia" w:hAnsi="宋体" w:eastAsia="宋体"/>
          <w:spacing w:val="-6"/>
          <w:sz w:val="21"/>
          <w:szCs w:val="21"/>
        </w:rPr>
        <w:t>▲从提交投标文件的截止之日起</w:t>
      </w:r>
      <w:r>
        <w:rPr>
          <w:rFonts w:hAnsi="宋体" w:eastAsia="宋体"/>
          <w:spacing w:val="-6"/>
          <w:sz w:val="21"/>
          <w:szCs w:val="21"/>
        </w:rPr>
        <w:t>90天，在原投标有效期满之前，如果出现特殊情况，采购人或采购代理机构以书面形式通知投标人延长投标有效期。</w:t>
      </w:r>
    </w:p>
    <w:p w14:paraId="15DF0DD2">
      <w:pPr>
        <w:widowControl/>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15DF0DD3">
      <w:pPr>
        <w:adjustRightInd w:val="0"/>
        <w:snapToGrid w:val="0"/>
        <w:spacing w:line="288" w:lineRule="auto"/>
        <w:jc w:val="center"/>
        <w:outlineLvl w:val="1"/>
        <w:rPr>
          <w:rFonts w:hint="eastAsia" w:ascii="宋体" w:hAnsi="宋体" w:eastAsia="宋体" w:cs="Times New Roman"/>
          <w:b/>
          <w:spacing w:val="-6"/>
          <w:szCs w:val="21"/>
        </w:rPr>
      </w:pPr>
      <w:r>
        <w:rPr>
          <w:rFonts w:hint="eastAsia" w:ascii="宋体" w:hAnsi="宋体" w:eastAsia="宋体" w:cs="Times New Roman"/>
          <w:b/>
          <w:spacing w:val="-6"/>
          <w:szCs w:val="21"/>
        </w:rPr>
        <w:t>四、资格审查不通过、投标无效的情形</w:t>
      </w:r>
    </w:p>
    <w:p w14:paraId="15DF0DD4">
      <w:pPr>
        <w:adjustRightInd w:val="0"/>
        <w:snapToGrid w:val="0"/>
        <w:spacing w:line="288" w:lineRule="auto"/>
        <w:ind w:firstLine="420" w:firstLineChars="200"/>
        <w:rPr>
          <w:rFonts w:hint="eastAsia" w:ascii="宋体" w:hAnsi="宋体" w:eastAsia="宋体" w:cs="宋体"/>
          <w:szCs w:val="21"/>
        </w:rPr>
      </w:pPr>
      <w:bookmarkStart w:id="49" w:name="_Hlk94018682"/>
      <w:r>
        <w:rPr>
          <w:rFonts w:hint="eastAsia" w:ascii="宋体" w:hAnsi="宋体" w:eastAsia="宋体" w:cs="宋体"/>
          <w:szCs w:val="21"/>
        </w:rPr>
        <w:t>未响应招标文件“▲”标记条款要求的，投标无效。</w:t>
      </w:r>
    </w:p>
    <w:bookmarkEnd w:id="49"/>
    <w:p w14:paraId="15DF0DD5">
      <w:pPr>
        <w:widowControl/>
        <w:adjustRightInd w:val="0"/>
        <w:snapToGrid w:val="0"/>
        <w:spacing w:line="288" w:lineRule="auto"/>
        <w:ind w:firstLine="398" w:firstLineChars="200"/>
        <w:jc w:val="left"/>
        <w:rPr>
          <w:rFonts w:hint="eastAsia" w:ascii="宋体" w:hAnsi="宋体" w:eastAsia="宋体" w:cs="Times New Roman"/>
          <w:b/>
          <w:spacing w:val="-6"/>
          <w:szCs w:val="21"/>
        </w:rPr>
      </w:pPr>
      <w:r>
        <w:rPr>
          <w:rFonts w:hint="eastAsia" w:ascii="宋体" w:hAnsi="宋体" w:eastAsia="宋体" w:cs="Times New Roman"/>
          <w:b/>
          <w:spacing w:val="-6"/>
          <w:szCs w:val="21"/>
        </w:rPr>
        <w:t>1</w:t>
      </w:r>
      <w:r>
        <w:rPr>
          <w:rFonts w:ascii="宋体" w:hAnsi="宋体" w:eastAsia="宋体" w:cs="Times New Roman"/>
          <w:b/>
          <w:spacing w:val="-6"/>
          <w:szCs w:val="21"/>
        </w:rPr>
        <w:t>.</w:t>
      </w:r>
      <w:r>
        <w:rPr>
          <w:rFonts w:hint="eastAsia" w:ascii="宋体" w:hAnsi="宋体" w:eastAsia="宋体" w:cs="Times New Roman"/>
          <w:b/>
          <w:spacing w:val="-6"/>
          <w:szCs w:val="21"/>
        </w:rPr>
        <w:t>在资格审查时，如发现下列情形之一的，投标人将被视为资格审查不通过：</w:t>
      </w:r>
    </w:p>
    <w:p w14:paraId="15DF0DD6">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资格证明</w:t>
      </w:r>
      <w:r>
        <w:rPr>
          <w:rFonts w:hint="eastAsia" w:ascii="宋体" w:hAnsi="宋体" w:eastAsia="宋体" w:cs="Times New Roman"/>
          <w:spacing w:val="-6"/>
          <w:szCs w:val="21"/>
        </w:rPr>
        <w:t>材料</w:t>
      </w:r>
      <w:r>
        <w:rPr>
          <w:rFonts w:ascii="宋体" w:hAnsi="宋体" w:eastAsia="宋体" w:cs="Times New Roman"/>
          <w:spacing w:val="-6"/>
          <w:szCs w:val="21"/>
        </w:rPr>
        <w:t>不全的，或者不符合</w:t>
      </w:r>
      <w:r>
        <w:rPr>
          <w:rFonts w:hint="eastAsia" w:ascii="宋体" w:hAnsi="宋体" w:eastAsia="宋体" w:cs="Times New Roman"/>
          <w:spacing w:val="-6"/>
          <w:szCs w:val="21"/>
        </w:rPr>
        <w:t>招标</w:t>
      </w:r>
      <w:r>
        <w:rPr>
          <w:rFonts w:ascii="宋体" w:hAnsi="宋体" w:eastAsia="宋体" w:cs="Times New Roman"/>
          <w:spacing w:val="-6"/>
          <w:szCs w:val="21"/>
        </w:rPr>
        <w:t>文件要求</w:t>
      </w:r>
      <w:r>
        <w:rPr>
          <w:rFonts w:hint="eastAsia" w:ascii="宋体" w:hAnsi="宋体" w:eastAsia="宋体" w:cs="Times New Roman"/>
          <w:spacing w:val="-6"/>
          <w:szCs w:val="21"/>
        </w:rPr>
        <w:t>；</w:t>
      </w:r>
    </w:p>
    <w:p w14:paraId="15DF0DD7">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w:t>
      </w:r>
      <w:r>
        <w:rPr>
          <w:rFonts w:hint="eastAsia" w:ascii="宋体" w:hAnsi="宋体" w:eastAsia="宋体" w:cs="Times New Roman"/>
          <w:spacing w:val="-6"/>
          <w:szCs w:val="21"/>
        </w:rPr>
        <w:t>）投标人不具备招标文件中规定的资格要求；</w:t>
      </w:r>
    </w:p>
    <w:p w14:paraId="15DF0DD8">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w:t>
      </w:r>
      <w:r>
        <w:rPr>
          <w:rFonts w:hint="eastAsia" w:ascii="宋体" w:hAnsi="宋体" w:eastAsia="宋体" w:cs="Times New Roman"/>
          <w:spacing w:val="-6"/>
          <w:szCs w:val="21"/>
        </w:rPr>
        <w:t>）资格</w:t>
      </w:r>
      <w:r>
        <w:rPr>
          <w:rFonts w:ascii="宋体" w:hAnsi="宋体" w:eastAsia="宋体" w:cs="Times New Roman"/>
          <w:spacing w:val="-6"/>
          <w:szCs w:val="21"/>
        </w:rPr>
        <w:t>文件</w:t>
      </w:r>
      <w:r>
        <w:rPr>
          <w:rFonts w:hint="eastAsia" w:ascii="宋体" w:hAnsi="宋体" w:eastAsia="宋体" w:cs="Times New Roman"/>
          <w:spacing w:val="-6"/>
          <w:szCs w:val="21"/>
        </w:rPr>
        <w:t>未按要求签署、盖章。</w:t>
      </w:r>
    </w:p>
    <w:p w14:paraId="15DF0DD9">
      <w:pPr>
        <w:adjustRightInd w:val="0"/>
        <w:snapToGrid w:val="0"/>
        <w:spacing w:line="288" w:lineRule="auto"/>
        <w:ind w:firstLine="398" w:firstLineChars="200"/>
        <w:rPr>
          <w:rFonts w:hint="eastAsia" w:ascii="宋体" w:hAnsi="宋体" w:eastAsia="宋体" w:cs="Times New Roman"/>
          <w:b/>
          <w:spacing w:val="-6"/>
          <w:szCs w:val="21"/>
        </w:rPr>
      </w:pPr>
      <w:r>
        <w:rPr>
          <w:rFonts w:hint="eastAsia" w:ascii="宋体" w:hAnsi="宋体" w:eastAsia="宋体" w:cs="Times New Roman"/>
          <w:b/>
          <w:spacing w:val="-6"/>
          <w:szCs w:val="21"/>
        </w:rPr>
        <w:t>2</w:t>
      </w:r>
      <w:r>
        <w:rPr>
          <w:rFonts w:ascii="宋体" w:hAnsi="宋体" w:eastAsia="宋体" w:cs="Times New Roman"/>
          <w:b/>
          <w:spacing w:val="-6"/>
          <w:szCs w:val="21"/>
        </w:rPr>
        <w:t>.</w:t>
      </w:r>
      <w:r>
        <w:rPr>
          <w:rFonts w:hint="eastAsia" w:ascii="宋体" w:hAnsi="宋体" w:eastAsia="宋体" w:cs="Times New Roman"/>
          <w:b/>
          <w:spacing w:val="-6"/>
          <w:szCs w:val="21"/>
        </w:rPr>
        <w:t>在符合</w:t>
      </w:r>
      <w:r>
        <w:rPr>
          <w:rFonts w:ascii="宋体" w:hAnsi="宋体" w:eastAsia="宋体" w:cs="Times New Roman"/>
          <w:b/>
          <w:spacing w:val="-6"/>
          <w:szCs w:val="21"/>
        </w:rPr>
        <w:t>性审查、</w:t>
      </w:r>
      <w:r>
        <w:rPr>
          <w:rFonts w:hint="eastAsia" w:ascii="宋体" w:hAnsi="宋体" w:eastAsia="宋体" w:cs="Times New Roman"/>
          <w:b/>
          <w:spacing w:val="-6"/>
          <w:szCs w:val="21"/>
        </w:rPr>
        <w:t>商务</w:t>
      </w:r>
      <w:r>
        <w:rPr>
          <w:rFonts w:ascii="宋体" w:hAnsi="宋体" w:eastAsia="宋体" w:cs="Times New Roman"/>
          <w:b/>
          <w:spacing w:val="-6"/>
          <w:szCs w:val="21"/>
        </w:rPr>
        <w:t>和技术评审</w:t>
      </w:r>
      <w:r>
        <w:rPr>
          <w:rFonts w:hint="eastAsia" w:ascii="宋体" w:hAnsi="宋体" w:eastAsia="宋体" w:cs="Times New Roman"/>
          <w:b/>
          <w:spacing w:val="-6"/>
          <w:szCs w:val="21"/>
        </w:rPr>
        <w:t>时，如发现下列情形之一的，投标文件将被视为无效：</w:t>
      </w:r>
    </w:p>
    <w:p w14:paraId="15DF0DDA">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（1）商务和技术文件未按要求签署、盖章；</w:t>
      </w:r>
    </w:p>
    <w:p w14:paraId="15DF0DDB">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2）未提供或未按要求提供投标函、授权委托书；</w:t>
      </w:r>
    </w:p>
    <w:p w14:paraId="15DF0DDC">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3）委托授权代表参加投标但未提供符合要求的授权代表社保缴纳证明；</w:t>
      </w:r>
    </w:p>
    <w:p w14:paraId="15DF0DDD">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（4）未提供或未如实提供采购需求</w:t>
      </w:r>
      <w:r>
        <w:rPr>
          <w:rFonts w:ascii="宋体" w:hAnsi="宋体" w:eastAsia="宋体" w:cs="Times New Roman"/>
          <w:spacing w:val="-6"/>
          <w:szCs w:val="21"/>
        </w:rPr>
        <w:t>偏离表；</w:t>
      </w:r>
    </w:p>
    <w:p w14:paraId="15DF0DDE">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（5）明显不符合招标文件要求，或负偏离达到规定数目的，视为采购人不能接受的附加条件；</w:t>
      </w:r>
    </w:p>
    <w:p w14:paraId="15DF0DDF">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6</w:t>
      </w:r>
      <w:r>
        <w:rPr>
          <w:rFonts w:hint="eastAsia" w:ascii="宋体" w:hAnsi="宋体" w:eastAsia="宋体" w:cs="Times New Roman"/>
          <w:spacing w:val="-6"/>
          <w:szCs w:val="21"/>
        </w:rPr>
        <w:t>）</w:t>
      </w:r>
      <w:r>
        <w:rPr>
          <w:rFonts w:ascii="宋体" w:hAnsi="宋体" w:eastAsia="宋体" w:cs="Times New Roman"/>
          <w:spacing w:val="-6"/>
          <w:szCs w:val="21"/>
        </w:rPr>
        <w:t>投标技术方案不明确，存在一个或一个以上备选（替代）投标方案；</w:t>
      </w:r>
    </w:p>
    <w:p w14:paraId="15DF0DE0">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7</w:t>
      </w:r>
      <w:r>
        <w:rPr>
          <w:rFonts w:hint="eastAsia" w:ascii="宋体" w:hAnsi="宋体" w:eastAsia="宋体" w:cs="Times New Roman"/>
          <w:spacing w:val="-6"/>
          <w:szCs w:val="21"/>
        </w:rPr>
        <w:t>）投标文件含有采购人不能接受的附加条件；</w:t>
      </w:r>
    </w:p>
    <w:p w14:paraId="15DF0DE1">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8</w:t>
      </w:r>
      <w:r>
        <w:rPr>
          <w:rFonts w:hint="eastAsia" w:ascii="宋体" w:hAnsi="宋体" w:eastAsia="宋体" w:cs="Times New Roman"/>
          <w:spacing w:val="-6"/>
          <w:szCs w:val="21"/>
        </w:rPr>
        <w:t>）法律、法规和招标文件规定的其他无效情形。</w:t>
      </w:r>
    </w:p>
    <w:p w14:paraId="15DF0DE2">
      <w:pPr>
        <w:widowControl/>
        <w:adjustRightInd w:val="0"/>
        <w:snapToGrid w:val="0"/>
        <w:spacing w:line="288" w:lineRule="auto"/>
        <w:ind w:firstLine="398" w:firstLineChars="200"/>
        <w:jc w:val="left"/>
        <w:rPr>
          <w:rFonts w:hint="eastAsia" w:ascii="宋体" w:hAnsi="宋体" w:eastAsia="宋体" w:cs="Times New Roman"/>
          <w:b/>
          <w:spacing w:val="-6"/>
          <w:szCs w:val="21"/>
        </w:rPr>
      </w:pPr>
      <w:r>
        <w:rPr>
          <w:rFonts w:hint="eastAsia" w:ascii="宋体" w:hAnsi="宋体" w:eastAsia="宋体" w:cs="Times New Roman"/>
          <w:b/>
          <w:spacing w:val="-6"/>
          <w:szCs w:val="21"/>
        </w:rPr>
        <w:t>3</w:t>
      </w:r>
      <w:r>
        <w:rPr>
          <w:rFonts w:ascii="宋体" w:hAnsi="宋体" w:eastAsia="宋体" w:cs="Times New Roman"/>
          <w:b/>
          <w:spacing w:val="-6"/>
          <w:szCs w:val="21"/>
        </w:rPr>
        <w:t>.在报价评审时，如发现下列情形之一的，投标文件将被视为无效：</w:t>
      </w:r>
    </w:p>
    <w:p w14:paraId="15DF0DE3">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（1）报价</w:t>
      </w:r>
      <w:r>
        <w:rPr>
          <w:rFonts w:ascii="宋体" w:hAnsi="宋体" w:eastAsia="宋体" w:cs="Times New Roman"/>
          <w:spacing w:val="-6"/>
          <w:szCs w:val="21"/>
        </w:rPr>
        <w:t>文件</w:t>
      </w:r>
      <w:r>
        <w:rPr>
          <w:rFonts w:hint="eastAsia" w:ascii="宋体" w:hAnsi="宋体" w:eastAsia="宋体" w:cs="Times New Roman"/>
          <w:spacing w:val="-6"/>
          <w:szCs w:val="21"/>
        </w:rPr>
        <w:t>未按要求签署、盖章；</w:t>
      </w:r>
    </w:p>
    <w:p w14:paraId="15DF0DE4">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w:t>
      </w:r>
      <w:r>
        <w:rPr>
          <w:rFonts w:ascii="宋体" w:hAnsi="宋体" w:eastAsia="宋体" w:cs="Times New Roman"/>
          <w:spacing w:val="-6"/>
          <w:szCs w:val="21"/>
        </w:rPr>
        <w:t>）未按照招标文件标明的币种报价</w:t>
      </w:r>
      <w:r>
        <w:rPr>
          <w:rFonts w:hint="eastAsia" w:ascii="宋体" w:hAnsi="宋体" w:eastAsia="宋体" w:cs="Times New Roman"/>
          <w:spacing w:val="-6"/>
          <w:szCs w:val="21"/>
        </w:rPr>
        <w:t>；</w:t>
      </w:r>
    </w:p>
    <w:p w14:paraId="15DF0DE5">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w:t>
      </w:r>
      <w:r>
        <w:rPr>
          <w:rFonts w:ascii="宋体" w:hAnsi="宋体" w:eastAsia="宋体" w:cs="Times New Roman"/>
          <w:spacing w:val="-6"/>
          <w:szCs w:val="21"/>
        </w:rPr>
        <w:t>报价</w:t>
      </w:r>
      <w:r>
        <w:rPr>
          <w:rFonts w:hint="eastAsia" w:ascii="宋体" w:hAnsi="宋体" w:eastAsia="宋体" w:cs="Times New Roman"/>
          <w:spacing w:val="-6"/>
          <w:szCs w:val="21"/>
        </w:rPr>
        <w:t>内容有</w:t>
      </w:r>
      <w:r>
        <w:rPr>
          <w:rFonts w:ascii="宋体" w:hAnsi="宋体" w:eastAsia="宋体" w:cs="Times New Roman"/>
          <w:spacing w:val="-6"/>
          <w:szCs w:val="21"/>
        </w:rPr>
        <w:t>缺漏项</w:t>
      </w:r>
      <w:r>
        <w:rPr>
          <w:rFonts w:hint="eastAsia" w:ascii="宋体" w:hAnsi="宋体" w:eastAsia="宋体" w:cs="Times New Roman"/>
          <w:spacing w:val="-6"/>
          <w:szCs w:val="21"/>
        </w:rPr>
        <w:t>，或者</w:t>
      </w:r>
      <w:r>
        <w:rPr>
          <w:rFonts w:ascii="宋体" w:hAnsi="宋体" w:eastAsia="宋体" w:cs="Times New Roman"/>
          <w:spacing w:val="-6"/>
          <w:szCs w:val="21"/>
        </w:rPr>
        <w:t>与招标文件要求不一致</w:t>
      </w:r>
      <w:r>
        <w:rPr>
          <w:rFonts w:hint="eastAsia" w:ascii="宋体" w:hAnsi="宋体" w:eastAsia="宋体" w:cs="Times New Roman"/>
          <w:spacing w:val="-6"/>
          <w:szCs w:val="21"/>
        </w:rPr>
        <w:t>；</w:t>
      </w:r>
    </w:p>
    <w:p w14:paraId="15DF0DE6">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（4）报价超过招标文件中规定的预算金额或者最高限价；</w:t>
      </w:r>
    </w:p>
    <w:p w14:paraId="15DF0DE7">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（5）报价具有选择性；</w:t>
      </w:r>
    </w:p>
    <w:p w14:paraId="15DF0DE8">
      <w:pPr>
        <w:widowControl/>
        <w:adjustRightInd w:val="0"/>
        <w:snapToGrid w:val="0"/>
        <w:spacing w:line="288" w:lineRule="auto"/>
        <w:ind w:firstLine="396" w:firstLineChars="200"/>
        <w:jc w:val="left"/>
        <w:rPr>
          <w:rFonts w:hint="eastAsia" w:ascii="宋体" w:hAnsi="宋体" w:eastAsia="宋体" w:cs="Times New Roman"/>
          <w:spacing w:val="-6"/>
          <w:szCs w:val="21"/>
        </w:rPr>
      </w:pPr>
      <w:bookmarkStart w:id="50" w:name="_Hlk94018736"/>
      <w:r>
        <w:rPr>
          <w:rFonts w:hint="eastAsia" w:ascii="宋体" w:hAnsi="宋体" w:eastAsia="宋体" w:cs="Times New Roman"/>
          <w:spacing w:val="-6"/>
          <w:szCs w:val="21"/>
        </w:rPr>
        <w:t>特别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bookmarkEnd w:id="50"/>
    <w:p w14:paraId="15DF0DE9">
      <w:pPr>
        <w:widowControl/>
        <w:adjustRightInd w:val="0"/>
        <w:snapToGrid w:val="0"/>
        <w:spacing w:line="288" w:lineRule="auto"/>
        <w:ind w:firstLine="398" w:firstLineChars="200"/>
        <w:jc w:val="left"/>
        <w:rPr>
          <w:rFonts w:hint="eastAsia" w:ascii="宋体" w:hAnsi="宋体" w:eastAsia="宋体" w:cs="Times New Roman"/>
          <w:b/>
          <w:spacing w:val="-6"/>
          <w:szCs w:val="21"/>
        </w:rPr>
      </w:pPr>
      <w:r>
        <w:rPr>
          <w:rFonts w:hint="eastAsia" w:ascii="宋体" w:hAnsi="宋体" w:eastAsia="宋体" w:cs="Times New Roman"/>
          <w:b/>
          <w:spacing w:val="-6"/>
          <w:szCs w:val="21"/>
        </w:rPr>
        <w:t>4</w:t>
      </w:r>
      <w:r>
        <w:rPr>
          <w:rFonts w:ascii="宋体" w:hAnsi="宋体" w:eastAsia="宋体" w:cs="Times New Roman"/>
          <w:b/>
          <w:spacing w:val="-6"/>
          <w:szCs w:val="21"/>
        </w:rPr>
        <w:t>.</w:t>
      </w:r>
      <w:r>
        <w:rPr>
          <w:rFonts w:hint="eastAsia" w:ascii="宋体" w:hAnsi="宋体" w:eastAsia="宋体" w:cs="Times New Roman"/>
          <w:b/>
          <w:spacing w:val="-6"/>
          <w:szCs w:val="21"/>
        </w:rPr>
        <w:t>有下列情形之一的，视为投标人串通投标，其投标无效：</w:t>
      </w:r>
    </w:p>
    <w:p w14:paraId="15DF0DEA">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（1）不同投标人的投标文件由同一单位或者个人编制；</w:t>
      </w:r>
    </w:p>
    <w:p w14:paraId="15DF0DEB">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（2）不同投标人委托同一单位或者个人办理投标事宜；</w:t>
      </w:r>
    </w:p>
    <w:p w14:paraId="15DF0DEC">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（3）不同投标人的投标文件载明的项目管理成员或者联系人员为同一人；</w:t>
      </w:r>
    </w:p>
    <w:p w14:paraId="15DF0DED">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（4）不同投标人的投标文件异常一致或者投标报价呈规律性差异；</w:t>
      </w:r>
    </w:p>
    <w:p w14:paraId="15DF0DEE">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（5）不同投标人的投标文件相互混装。</w:t>
      </w:r>
    </w:p>
    <w:p w14:paraId="15DF0DEF">
      <w:pPr>
        <w:widowControl/>
        <w:adjustRightInd w:val="0"/>
        <w:snapToGrid w:val="0"/>
        <w:spacing w:line="288" w:lineRule="auto"/>
        <w:ind w:firstLine="398" w:firstLineChars="200"/>
        <w:jc w:val="left"/>
        <w:rPr>
          <w:rFonts w:hint="eastAsia" w:ascii="宋体" w:hAnsi="宋体" w:eastAsia="宋体" w:cs="宋体"/>
          <w:b/>
          <w:bCs/>
          <w:szCs w:val="21"/>
        </w:rPr>
      </w:pPr>
      <w:r>
        <w:rPr>
          <w:rFonts w:hint="eastAsia" w:ascii="宋体" w:hAnsi="宋体" w:eastAsia="宋体" w:cs="Times New Roman"/>
          <w:b/>
          <w:spacing w:val="-6"/>
          <w:szCs w:val="21"/>
        </w:rPr>
        <w:t>5.</w:t>
      </w:r>
      <w:r>
        <w:rPr>
          <w:rFonts w:hint="eastAsia" w:ascii="宋体" w:hAnsi="宋体" w:eastAsia="宋体" w:cs="宋体"/>
          <w:b/>
          <w:bCs/>
          <w:szCs w:val="21"/>
        </w:rPr>
        <w:t>参与同一个采购包（标项）的供应商存在下列情形之一且无法合理解释的，其投标文件无效：</w:t>
      </w:r>
    </w:p>
    <w:p w14:paraId="15DF0DF0">
      <w:pPr>
        <w:widowControl/>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（1）不同供应商的电子投标文件上传计算机的网卡MAC地址或硬盘序列号等硬件信息相同的；</w:t>
      </w:r>
    </w:p>
    <w:p w14:paraId="15DF0DF1">
      <w:pPr>
        <w:widowControl/>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（2）上传的电子投标文件若出现使用本项目其他投标供应商的数字证书加密的，或者加盖本项目其他投标供应商的电子印章的；</w:t>
      </w:r>
    </w:p>
    <w:p w14:paraId="15DF0DF2">
      <w:pPr>
        <w:widowControl/>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（3）不同供应商的投标文件的内容存在3处（含）以上错误一致的；</w:t>
      </w:r>
    </w:p>
    <w:p w14:paraId="15DF0DF3">
      <w:pPr>
        <w:widowControl/>
        <w:adjustRightInd w:val="0"/>
        <w:snapToGrid w:val="0"/>
        <w:spacing w:line="288" w:lineRule="auto"/>
        <w:ind w:firstLine="420" w:firstLineChars="200"/>
        <w:jc w:val="left"/>
        <w:rPr>
          <w:rFonts w:hint="eastAsia" w:ascii="宋体" w:hAnsi="宋体" w:eastAsia="宋体" w:cs="Times New Roman"/>
          <w:spacing w:val="-6"/>
          <w:szCs w:val="21"/>
        </w:rPr>
      </w:pPr>
      <w:r>
        <w:rPr>
          <w:rFonts w:hint="eastAsia" w:ascii="宋体" w:hAnsi="宋体" w:eastAsia="宋体" w:cs="宋体"/>
          <w:szCs w:val="21"/>
        </w:rPr>
        <w:t>（4）不同供应商联系人为同一人或不同联系人的联系电话一致的。</w:t>
      </w:r>
    </w:p>
    <w:p w14:paraId="15DF0DF4">
      <w:pPr>
        <w:adjustRightInd w:val="0"/>
        <w:snapToGrid w:val="0"/>
        <w:spacing w:line="288" w:lineRule="auto"/>
        <w:jc w:val="center"/>
        <w:outlineLvl w:val="1"/>
        <w:rPr>
          <w:rFonts w:hint="eastAsia" w:ascii="宋体" w:hAnsi="宋体" w:eastAsia="宋体" w:cs="Times New Roman"/>
          <w:b/>
          <w:spacing w:val="-6"/>
          <w:szCs w:val="21"/>
        </w:rPr>
      </w:pPr>
      <w:r>
        <w:rPr>
          <w:rFonts w:ascii="宋体" w:hAnsi="宋体" w:eastAsia="宋体" w:cs="Times New Roman"/>
          <w:b/>
          <w:spacing w:val="-6"/>
          <w:szCs w:val="21"/>
        </w:rPr>
        <w:br w:type="page"/>
      </w:r>
      <w:r>
        <w:rPr>
          <w:rFonts w:hint="eastAsia" w:ascii="宋体" w:hAnsi="宋体" w:eastAsia="宋体" w:cs="Times New Roman"/>
          <w:b/>
          <w:spacing w:val="-6"/>
          <w:szCs w:val="21"/>
        </w:rPr>
        <w:t>五、开  标</w:t>
      </w:r>
    </w:p>
    <w:p w14:paraId="15DF0DF5">
      <w:pPr>
        <w:pStyle w:val="99"/>
        <w:snapToGrid w:val="0"/>
        <w:spacing w:before="0" w:line="288" w:lineRule="auto"/>
        <w:ind w:left="0" w:firstLine="424" w:firstLineChars="201"/>
        <w:rPr>
          <w:rFonts w:hint="eastAsia" w:ascii="宋体" w:hAnsi="宋体"/>
          <w:szCs w:val="21"/>
        </w:rPr>
      </w:pPr>
      <w:bookmarkStart w:id="51" w:name="_Hlk94018775"/>
      <w:r>
        <w:rPr>
          <w:rFonts w:hint="eastAsia" w:ascii="宋体" w:hAnsi="宋体" w:cs="仿宋_GB2312"/>
          <w:b/>
          <w:szCs w:val="21"/>
        </w:rPr>
        <w:t>（一）</w:t>
      </w:r>
      <w:r>
        <w:rPr>
          <w:rFonts w:ascii="宋体" w:hAnsi="宋体" w:cs="仿宋_GB2312"/>
          <w:b/>
          <w:szCs w:val="21"/>
        </w:rPr>
        <w:t>开标</w:t>
      </w:r>
    </w:p>
    <w:p w14:paraId="15DF0DF6">
      <w:pPr>
        <w:pStyle w:val="99"/>
        <w:snapToGrid w:val="0"/>
        <w:spacing w:before="0" w:line="288" w:lineRule="auto"/>
        <w:ind w:left="0" w:firstLine="422" w:firstLineChars="201"/>
        <w:rPr>
          <w:rFonts w:hint="eastAsia" w:ascii="宋体" w:hAnsi="宋体" w:cs="仿宋_GB2312"/>
          <w:szCs w:val="21"/>
        </w:rPr>
      </w:pPr>
      <w:r>
        <w:rPr>
          <w:rFonts w:hint="eastAsia" w:ascii="宋体" w:hAnsi="宋体" w:cs="仿宋_GB2312"/>
          <w:szCs w:val="21"/>
        </w:rPr>
        <w:t>采购代理机构</w:t>
      </w:r>
      <w:r>
        <w:rPr>
          <w:rFonts w:ascii="宋体" w:hAnsi="宋体" w:cs="仿宋_GB2312"/>
          <w:szCs w:val="21"/>
        </w:rPr>
        <w:t>按照招标文件规定的时间通过电子交易平台组织开标，所有投标人均应当准时在线参加。投标人不足3家的，不得开标。</w:t>
      </w:r>
    </w:p>
    <w:p w14:paraId="15DF0DF7">
      <w:pPr>
        <w:pStyle w:val="99"/>
        <w:snapToGrid w:val="0"/>
        <w:spacing w:before="0" w:line="288" w:lineRule="auto"/>
        <w:ind w:left="0" w:firstLine="422" w:firstLineChars="201"/>
        <w:rPr>
          <w:rFonts w:hint="eastAsia" w:ascii="宋体" w:hAnsi="宋体" w:cs="仿宋_GB2312"/>
          <w:szCs w:val="21"/>
        </w:rPr>
      </w:pPr>
      <w:r>
        <w:rPr>
          <w:rFonts w:ascii="宋体" w:hAnsi="宋体" w:cs="仿宋_GB2312"/>
          <w:szCs w:val="21"/>
        </w:rPr>
        <w:t>开标时，电子交易平台按开标时间自动提取所有投标文件。</w:t>
      </w:r>
      <w:r>
        <w:rPr>
          <w:rFonts w:hint="eastAsia" w:ascii="宋体" w:hAnsi="宋体" w:cs="仿宋_GB2312"/>
          <w:szCs w:val="21"/>
        </w:rPr>
        <w:t>采购人或代理</w:t>
      </w:r>
      <w:r>
        <w:rPr>
          <w:rFonts w:ascii="宋体" w:hAnsi="宋体" w:cs="仿宋_GB2312"/>
          <w:szCs w:val="21"/>
        </w:rPr>
        <w:t>机构依托电子交易平台发起开始解密指令，投标人按照平台提示和招标文件的规定在半小时内完成在线解密。</w:t>
      </w:r>
    </w:p>
    <w:p w14:paraId="15DF0DF8">
      <w:pPr>
        <w:adjustRightInd w:val="0"/>
        <w:snapToGrid w:val="0"/>
        <w:spacing w:line="288" w:lineRule="auto"/>
        <w:ind w:firstLine="422" w:firstLineChars="200"/>
        <w:rPr>
          <w:rFonts w:hint="eastAsia" w:ascii="宋体" w:hAnsi="宋体" w:eastAsia="宋体" w:cs="仿宋_GB2312"/>
          <w:b/>
          <w:szCs w:val="21"/>
        </w:rPr>
      </w:pPr>
      <w:r>
        <w:rPr>
          <w:rFonts w:hint="eastAsia" w:ascii="宋体" w:hAnsi="宋体" w:eastAsia="宋体" w:cs="仿宋_GB2312"/>
          <w:b/>
          <w:szCs w:val="21"/>
        </w:rPr>
        <w:t>投标文件未按时解密，投标人提供了备份投标文件的，以备份投标文件作为依据，否则视为投标文件撤回。投标文件已按时解密的，备份投标文件自动失效。</w:t>
      </w:r>
    </w:p>
    <w:p w14:paraId="15DF0DF9">
      <w:pPr>
        <w:widowControl/>
        <w:adjustRightInd w:val="0"/>
        <w:snapToGrid w:val="0"/>
        <w:spacing w:line="288" w:lineRule="auto"/>
        <w:ind w:firstLine="424" w:firstLineChars="201"/>
        <w:jc w:val="left"/>
        <w:rPr>
          <w:rFonts w:hint="eastAsia" w:ascii="宋体" w:hAnsi="宋体" w:eastAsia="宋体" w:cs="仿宋_GB2312"/>
          <w:b/>
          <w:szCs w:val="21"/>
        </w:rPr>
      </w:pPr>
      <w:r>
        <w:rPr>
          <w:rFonts w:hint="eastAsia" w:ascii="宋体" w:hAnsi="宋体" w:eastAsia="宋体" w:cs="仿宋_GB2312"/>
          <w:b/>
          <w:szCs w:val="21"/>
        </w:rPr>
        <w:t>（二）</w:t>
      </w:r>
      <w:r>
        <w:rPr>
          <w:rFonts w:ascii="宋体" w:hAnsi="宋体" w:eastAsia="宋体" w:cs="仿宋_GB2312"/>
          <w:b/>
          <w:szCs w:val="21"/>
        </w:rPr>
        <w:t>资格审查</w:t>
      </w:r>
    </w:p>
    <w:p w14:paraId="15DF0DFA">
      <w:pPr>
        <w:adjustRightInd w:val="0"/>
        <w:snapToGrid w:val="0"/>
        <w:spacing w:line="288" w:lineRule="auto"/>
        <w:ind w:firstLine="422" w:firstLineChars="201"/>
        <w:rPr>
          <w:rFonts w:hint="eastAsia" w:ascii="宋体" w:hAnsi="宋体" w:eastAsia="宋体" w:cs="仿宋_GB2312"/>
          <w:szCs w:val="21"/>
        </w:rPr>
      </w:pPr>
      <w:r>
        <w:rPr>
          <w:rFonts w:ascii="宋体" w:hAnsi="宋体" w:eastAsia="宋体" w:cs="Arial"/>
          <w:kern w:val="0"/>
          <w:szCs w:val="21"/>
        </w:rPr>
        <w:t>开标后，</w:t>
      </w:r>
      <w:r>
        <w:rPr>
          <w:rFonts w:hint="eastAsia" w:ascii="宋体" w:hAnsi="宋体" w:eastAsia="宋体" w:cs="仿宋_GB2312"/>
          <w:szCs w:val="21"/>
        </w:rPr>
        <w:t>采购人或采购代理机构依据法律法规和招标文件的规定，对投标人的资格条件进行审查。</w:t>
      </w:r>
    </w:p>
    <w:p w14:paraId="15DF0DFB">
      <w:pPr>
        <w:pStyle w:val="98"/>
        <w:adjustRightInd w:val="0"/>
        <w:snapToGrid w:val="0"/>
        <w:spacing w:before="0" w:line="288" w:lineRule="auto"/>
        <w:ind w:firstLine="422" w:firstLineChars="201"/>
        <w:rPr>
          <w:rFonts w:hint="eastAsia" w:ascii="宋体" w:hAnsi="宋体" w:cs="仿宋_GB2312"/>
          <w:sz w:val="21"/>
          <w:szCs w:val="21"/>
        </w:rPr>
      </w:pPr>
      <w:r>
        <w:rPr>
          <w:rFonts w:ascii="宋体" w:hAnsi="宋体" w:cs="仿宋_GB2312"/>
          <w:sz w:val="21"/>
          <w:szCs w:val="21"/>
        </w:rPr>
        <w:t>对未通过资格审查的投标人，采购人或</w:t>
      </w:r>
      <w:r>
        <w:rPr>
          <w:rFonts w:hint="eastAsia" w:ascii="宋体" w:hAnsi="宋体" w:cs="仿宋_GB2312"/>
          <w:sz w:val="21"/>
          <w:szCs w:val="21"/>
        </w:rPr>
        <w:t>采购代理机构</w:t>
      </w:r>
      <w:r>
        <w:rPr>
          <w:rFonts w:ascii="宋体" w:hAnsi="宋体" w:cs="仿宋_GB2312"/>
          <w:sz w:val="21"/>
          <w:szCs w:val="21"/>
        </w:rPr>
        <w:t>告知其未通过的原因。</w:t>
      </w:r>
    </w:p>
    <w:p w14:paraId="15DF0DFC">
      <w:pPr>
        <w:pStyle w:val="98"/>
        <w:adjustRightInd w:val="0"/>
        <w:snapToGrid w:val="0"/>
        <w:spacing w:before="0" w:line="288" w:lineRule="auto"/>
        <w:ind w:firstLine="422" w:firstLineChars="201"/>
        <w:rPr>
          <w:rFonts w:hint="eastAsia" w:ascii="宋体" w:hAnsi="宋体" w:cs="仿宋_GB2312"/>
          <w:sz w:val="21"/>
          <w:szCs w:val="21"/>
        </w:rPr>
      </w:pPr>
      <w:r>
        <w:rPr>
          <w:rFonts w:ascii="宋体" w:hAnsi="宋体" w:cs="仿宋_GB2312"/>
          <w:sz w:val="21"/>
          <w:szCs w:val="21"/>
        </w:rPr>
        <w:t>通过资格审查的投标人不足3家的，不再评标。</w:t>
      </w:r>
    </w:p>
    <w:p w14:paraId="15DF0DFD">
      <w:pPr>
        <w:pStyle w:val="98"/>
        <w:adjustRightInd w:val="0"/>
        <w:snapToGrid w:val="0"/>
        <w:spacing w:before="0" w:line="288" w:lineRule="auto"/>
        <w:ind w:firstLine="424" w:firstLineChars="201"/>
        <w:rPr>
          <w:rFonts w:hint="eastAsia" w:ascii="宋体" w:hAnsi="宋体" w:cs="仿宋_GB2312"/>
          <w:b/>
          <w:sz w:val="21"/>
          <w:szCs w:val="21"/>
        </w:rPr>
      </w:pPr>
      <w:r>
        <w:rPr>
          <w:rFonts w:hint="eastAsia" w:ascii="宋体" w:hAnsi="宋体" w:cs="仿宋_GB2312"/>
          <w:b/>
          <w:sz w:val="21"/>
          <w:szCs w:val="21"/>
        </w:rPr>
        <w:t>（三）</w:t>
      </w:r>
      <w:r>
        <w:rPr>
          <w:rFonts w:ascii="宋体" w:hAnsi="宋体" w:cs="仿宋_GB2312"/>
          <w:b/>
          <w:sz w:val="21"/>
          <w:szCs w:val="21"/>
        </w:rPr>
        <w:t>信用信息查询</w:t>
      </w:r>
    </w:p>
    <w:p w14:paraId="15DF0DFE">
      <w:pPr>
        <w:pStyle w:val="98"/>
        <w:adjustRightInd w:val="0"/>
        <w:snapToGrid w:val="0"/>
        <w:spacing w:before="0" w:line="288" w:lineRule="auto"/>
        <w:ind w:firstLine="422" w:firstLineChars="201"/>
        <w:jc w:val="left"/>
        <w:rPr>
          <w:rFonts w:hint="eastAsia" w:ascii="宋体" w:hAnsi="宋体" w:cs="Arial"/>
          <w:kern w:val="0"/>
          <w:sz w:val="21"/>
          <w:szCs w:val="21"/>
        </w:rPr>
      </w:pPr>
      <w:r>
        <w:rPr>
          <w:rFonts w:hint="eastAsia" w:ascii="宋体" w:hAnsi="宋体" w:cs="Arial"/>
          <w:kern w:val="0"/>
          <w:sz w:val="21"/>
          <w:szCs w:val="21"/>
        </w:rPr>
        <w:t>根据财库</w:t>
      </w:r>
      <w:r>
        <w:rPr>
          <w:rFonts w:ascii="宋体" w:hAnsi="宋体" w:cs="Arial"/>
          <w:kern w:val="0"/>
          <w:sz w:val="21"/>
          <w:szCs w:val="21"/>
        </w:rPr>
        <w:t>[2016]125号《关于在政府采购活动中查询及使用信用记录有关问题的通知》要求，采购代理机构会对投标人信用记录进行查询并甄别。信用信息查询的截止时点：投标截止时间；</w:t>
      </w:r>
    </w:p>
    <w:p w14:paraId="15DF0DFF">
      <w:pPr>
        <w:pStyle w:val="98"/>
        <w:adjustRightInd w:val="0"/>
        <w:snapToGrid w:val="0"/>
        <w:spacing w:before="0" w:line="288" w:lineRule="auto"/>
        <w:ind w:firstLine="422" w:firstLineChars="201"/>
        <w:jc w:val="left"/>
        <w:rPr>
          <w:rFonts w:hint="eastAsia" w:ascii="宋体" w:hAnsi="宋体" w:cs="Arial"/>
          <w:kern w:val="0"/>
          <w:sz w:val="21"/>
          <w:szCs w:val="21"/>
        </w:rPr>
      </w:pPr>
      <w:r>
        <w:rPr>
          <w:rFonts w:hint="eastAsia" w:ascii="宋体" w:hAnsi="宋体" w:cs="Arial"/>
          <w:kern w:val="0"/>
          <w:sz w:val="21"/>
          <w:szCs w:val="21"/>
        </w:rPr>
        <w:t>（</w:t>
      </w:r>
      <w:r>
        <w:rPr>
          <w:rFonts w:ascii="宋体" w:hAnsi="宋体" w:cs="Arial"/>
          <w:kern w:val="0"/>
          <w:sz w:val="21"/>
          <w:szCs w:val="21"/>
        </w:rPr>
        <w:t>1）查询渠道：“信用中国”（www.creditchina.gov.cn）、“中国政府采购网”（www.ccgp.gov.cn）；</w:t>
      </w:r>
    </w:p>
    <w:p w14:paraId="15DF0E00">
      <w:pPr>
        <w:pStyle w:val="98"/>
        <w:adjustRightInd w:val="0"/>
        <w:snapToGrid w:val="0"/>
        <w:spacing w:before="0" w:line="288" w:lineRule="auto"/>
        <w:ind w:firstLine="422" w:firstLineChars="201"/>
        <w:jc w:val="left"/>
        <w:rPr>
          <w:rFonts w:hint="eastAsia" w:ascii="宋体" w:hAnsi="宋体" w:cs="Arial"/>
          <w:kern w:val="0"/>
          <w:sz w:val="21"/>
          <w:szCs w:val="21"/>
        </w:rPr>
      </w:pPr>
      <w:r>
        <w:rPr>
          <w:rFonts w:hint="eastAsia" w:ascii="宋体" w:hAnsi="宋体" w:cs="Arial"/>
          <w:kern w:val="0"/>
          <w:sz w:val="21"/>
          <w:szCs w:val="21"/>
        </w:rPr>
        <w:t>（</w:t>
      </w:r>
      <w:r>
        <w:rPr>
          <w:rFonts w:ascii="宋体" w:hAnsi="宋体" w:cs="Arial"/>
          <w:kern w:val="0"/>
          <w:sz w:val="21"/>
          <w:szCs w:val="21"/>
        </w:rPr>
        <w:t>2）信用信息查询记录和证据留存具体方式：采购代理机构经办人和监督人员将查询网页打印、签名与其他采购文件一并保存；</w:t>
      </w:r>
    </w:p>
    <w:p w14:paraId="15DF0E01">
      <w:pPr>
        <w:pStyle w:val="98"/>
        <w:adjustRightInd w:val="0"/>
        <w:snapToGrid w:val="0"/>
        <w:spacing w:before="0" w:line="288" w:lineRule="auto"/>
        <w:ind w:firstLine="422" w:firstLineChars="201"/>
        <w:jc w:val="left"/>
        <w:rPr>
          <w:rFonts w:hint="eastAsia" w:ascii="宋体" w:hAnsi="宋体" w:cs="Arial"/>
          <w:kern w:val="0"/>
          <w:sz w:val="21"/>
          <w:szCs w:val="21"/>
        </w:rPr>
      </w:pPr>
      <w:r>
        <w:rPr>
          <w:rFonts w:hint="eastAsia" w:ascii="宋体" w:hAnsi="宋体" w:cs="Arial"/>
          <w:kern w:val="0"/>
          <w:sz w:val="21"/>
          <w:szCs w:val="21"/>
        </w:rPr>
        <w:t>（</w:t>
      </w:r>
      <w:r>
        <w:rPr>
          <w:rFonts w:ascii="宋体" w:hAnsi="宋体" w:cs="Arial"/>
          <w:kern w:val="0"/>
          <w:sz w:val="21"/>
          <w:szCs w:val="21"/>
        </w:rPr>
        <w:t>3）信用信息的使用规则：投标人被列入失信被执行人、重大税收违法案件当事人名单、政府采购严重违法失信行为记录名单的，拒绝其参与政府采购活动。</w:t>
      </w:r>
    </w:p>
    <w:p w14:paraId="15DF0E02">
      <w:pPr>
        <w:pStyle w:val="98"/>
        <w:adjustRightInd w:val="0"/>
        <w:snapToGrid w:val="0"/>
        <w:spacing w:before="0" w:line="288" w:lineRule="auto"/>
        <w:ind w:firstLine="422" w:firstLineChars="201"/>
        <w:rPr>
          <w:rFonts w:hint="eastAsia" w:ascii="宋体" w:hAnsi="宋体" w:cs="仿宋_GB2312"/>
          <w:sz w:val="21"/>
          <w:szCs w:val="21"/>
        </w:rPr>
      </w:pPr>
      <w:r>
        <w:rPr>
          <w:rFonts w:ascii="宋体" w:hAnsi="宋体" w:cs="Arial"/>
          <w:kern w:val="0"/>
          <w:sz w:val="21"/>
          <w:szCs w:val="21"/>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仿宋_GB2312"/>
          <w:sz w:val="21"/>
          <w:szCs w:val="21"/>
        </w:rPr>
        <w:t>。</w:t>
      </w:r>
    </w:p>
    <w:p w14:paraId="15DF0E03">
      <w:pPr>
        <w:adjustRightInd w:val="0"/>
        <w:snapToGrid w:val="0"/>
        <w:spacing w:line="288" w:lineRule="auto"/>
        <w:ind w:firstLine="398" w:firstLineChars="200"/>
        <w:rPr>
          <w:rFonts w:hint="eastAsia" w:ascii="宋体" w:hAnsi="宋体" w:eastAsia="宋体" w:cs="Times New Roman"/>
          <w:b/>
          <w:bCs/>
          <w:spacing w:val="-6"/>
          <w:szCs w:val="21"/>
        </w:rPr>
      </w:pPr>
    </w:p>
    <w:p w14:paraId="15DF0E04">
      <w:pPr>
        <w:adjustRightInd w:val="0"/>
        <w:snapToGrid w:val="0"/>
        <w:spacing w:line="288" w:lineRule="auto"/>
        <w:ind w:firstLine="398" w:firstLineChars="200"/>
        <w:rPr>
          <w:rFonts w:hint="eastAsia" w:ascii="宋体" w:hAnsi="宋体" w:eastAsia="宋体" w:cs="Times New Roman"/>
          <w:b/>
          <w:bCs/>
          <w:spacing w:val="-6"/>
          <w:szCs w:val="21"/>
        </w:rPr>
      </w:pPr>
      <w:r>
        <w:rPr>
          <w:rFonts w:hint="eastAsia" w:ascii="宋体" w:hAnsi="宋体" w:eastAsia="宋体" w:cs="Times New Roman"/>
          <w:b/>
          <w:bCs/>
          <w:spacing w:val="-6"/>
          <w:szCs w:val="21"/>
        </w:rPr>
        <w:t>特别说明：如遇政府采购云平台电子化开标或评审程序调整的，按调整后程序执行。</w:t>
      </w:r>
    </w:p>
    <w:bookmarkEnd w:id="51"/>
    <w:p w14:paraId="15DF0E05">
      <w:pPr>
        <w:adjustRightInd w:val="0"/>
        <w:snapToGrid w:val="0"/>
        <w:spacing w:line="288" w:lineRule="auto"/>
        <w:jc w:val="center"/>
        <w:outlineLvl w:val="1"/>
        <w:rPr>
          <w:rFonts w:hint="eastAsia" w:ascii="宋体" w:hAnsi="宋体" w:eastAsia="宋体" w:cs="Times New Roman"/>
          <w:b/>
          <w:spacing w:val="-6"/>
          <w:szCs w:val="21"/>
        </w:rPr>
      </w:pPr>
      <w:r>
        <w:rPr>
          <w:rFonts w:ascii="宋体" w:hAnsi="宋体" w:eastAsia="宋体" w:cs="Times New Roman"/>
          <w:b/>
          <w:spacing w:val="-6"/>
          <w:szCs w:val="21"/>
        </w:rPr>
        <w:br w:type="page"/>
      </w:r>
      <w:r>
        <w:rPr>
          <w:rFonts w:hint="eastAsia" w:ascii="宋体" w:hAnsi="宋体" w:eastAsia="宋体" w:cs="Times New Roman"/>
          <w:b/>
          <w:spacing w:val="-6"/>
          <w:szCs w:val="21"/>
        </w:rPr>
        <w:t>六、评  标</w:t>
      </w:r>
    </w:p>
    <w:p w14:paraId="15DF0E06">
      <w:pPr>
        <w:adjustRightInd w:val="0"/>
        <w:snapToGrid w:val="0"/>
        <w:spacing w:line="288" w:lineRule="auto"/>
        <w:ind w:firstLine="420" w:firstLineChars="200"/>
        <w:rPr>
          <w:rFonts w:hint="eastAsia" w:ascii="宋体" w:hAnsi="宋体" w:eastAsia="宋体" w:cs="宋体"/>
          <w:kern w:val="0"/>
          <w:szCs w:val="21"/>
        </w:rPr>
      </w:pPr>
      <w:bookmarkStart w:id="52" w:name="_Hlk94018958"/>
      <w:r>
        <w:rPr>
          <w:rFonts w:ascii="宋体" w:hAnsi="宋体" w:eastAsia="宋体" w:cs="宋体"/>
          <w:kern w:val="0"/>
          <w:szCs w:val="21"/>
        </w:rPr>
        <w:t>评标委员会成员应当按照客观、公正、审慎的原则，根据招标文件规定的评标程序、评标方法和评标标准进行独立评审。招标文件内容违反国家有关强制性规定的，评标委员会应当停止评标并向采购人或者采购代理机构说明情况。</w:t>
      </w:r>
    </w:p>
    <w:p w14:paraId="15DF0E07">
      <w:pPr>
        <w:adjustRightInd w:val="0"/>
        <w:snapToGrid w:val="0"/>
        <w:spacing w:line="288" w:lineRule="auto"/>
        <w:ind w:firstLine="420" w:firstLineChars="200"/>
        <w:rPr>
          <w:rFonts w:hint="eastAsia" w:ascii="宋体" w:hAnsi="宋体" w:eastAsia="宋体" w:cs="宋体"/>
          <w:kern w:val="0"/>
          <w:szCs w:val="21"/>
        </w:rPr>
      </w:pPr>
      <w:r>
        <w:rPr>
          <w:rFonts w:ascii="宋体" w:hAnsi="宋体" w:eastAsia="宋体" w:cs="宋体"/>
          <w:kern w:val="0"/>
          <w:szCs w:val="21"/>
        </w:rPr>
        <w:t>评标中因评标委员会成员缺席、回避或者健康等特殊原因导致评标委员会组成不符合规定的，依法补足后继续评标。被更换的评标委员会成员所作出的评标意见无效。</w:t>
      </w:r>
    </w:p>
    <w:bookmarkEnd w:id="52"/>
    <w:p w14:paraId="15DF0E08">
      <w:pPr>
        <w:adjustRightInd w:val="0"/>
        <w:snapToGrid w:val="0"/>
        <w:spacing w:line="288" w:lineRule="auto"/>
        <w:ind w:firstLine="426" w:firstLineChars="202"/>
        <w:rPr>
          <w:rFonts w:hint="eastAsia" w:ascii="宋体" w:hAnsi="宋体" w:eastAsia="宋体" w:cs="Arial"/>
          <w:b/>
          <w:kern w:val="0"/>
          <w:szCs w:val="21"/>
        </w:rPr>
      </w:pPr>
      <w:bookmarkStart w:id="53" w:name="_Hlk94019000"/>
      <w:r>
        <w:rPr>
          <w:rFonts w:hint="eastAsia" w:ascii="宋体" w:hAnsi="宋体" w:eastAsia="宋体" w:cs="Arial"/>
          <w:b/>
          <w:kern w:val="0"/>
          <w:szCs w:val="21"/>
        </w:rPr>
        <w:t>（一）</w:t>
      </w:r>
      <w:r>
        <w:rPr>
          <w:rFonts w:ascii="宋体" w:hAnsi="宋体" w:eastAsia="宋体" w:cs="Arial"/>
          <w:b/>
          <w:kern w:val="0"/>
          <w:szCs w:val="21"/>
        </w:rPr>
        <w:t>符合性审查</w:t>
      </w:r>
    </w:p>
    <w:p w14:paraId="15DF0E09">
      <w:pPr>
        <w:adjustRightInd w:val="0"/>
        <w:snapToGrid w:val="0"/>
        <w:spacing w:line="288" w:lineRule="auto"/>
        <w:ind w:firstLine="424" w:firstLineChars="202"/>
        <w:rPr>
          <w:rFonts w:hint="eastAsia" w:ascii="宋体" w:hAnsi="宋体" w:eastAsia="宋体" w:cs="Arial"/>
          <w:kern w:val="0"/>
          <w:szCs w:val="21"/>
        </w:rPr>
      </w:pPr>
      <w:r>
        <w:rPr>
          <w:rFonts w:ascii="宋体" w:hAnsi="宋体" w:eastAsia="宋体" w:cs="Arial"/>
          <w:kern w:val="0"/>
          <w:szCs w:val="21"/>
        </w:rPr>
        <w:t>评标委员会对符合资格的投标人的投标文件进行符合性审查，以确定其是否满足招标文件的实质性要求。</w:t>
      </w:r>
      <w:r>
        <w:rPr>
          <w:rFonts w:hint="eastAsia" w:ascii="宋体" w:hAnsi="宋体" w:eastAsia="宋体" w:cs="Arial"/>
          <w:kern w:val="0"/>
          <w:szCs w:val="21"/>
        </w:rPr>
        <w:t>不</w:t>
      </w:r>
      <w:r>
        <w:rPr>
          <w:rFonts w:ascii="宋体" w:hAnsi="宋体" w:eastAsia="宋体" w:cs="Arial"/>
          <w:kern w:val="0"/>
          <w:szCs w:val="21"/>
        </w:rPr>
        <w:t>满足招标文件的实质性要求</w:t>
      </w:r>
      <w:r>
        <w:rPr>
          <w:rFonts w:hint="eastAsia" w:ascii="宋体" w:hAnsi="宋体" w:eastAsia="宋体" w:cs="Arial"/>
          <w:kern w:val="0"/>
          <w:szCs w:val="21"/>
        </w:rPr>
        <w:t>的，投标无效。</w:t>
      </w:r>
    </w:p>
    <w:p w14:paraId="15DF0E0A">
      <w:pPr>
        <w:adjustRightInd w:val="0"/>
        <w:snapToGrid w:val="0"/>
        <w:spacing w:line="288" w:lineRule="auto"/>
        <w:ind w:firstLine="426" w:firstLineChars="202"/>
        <w:rPr>
          <w:rFonts w:hint="eastAsia" w:ascii="宋体" w:hAnsi="宋体" w:eastAsia="宋体" w:cs="Arial"/>
          <w:b/>
          <w:kern w:val="0"/>
          <w:szCs w:val="21"/>
        </w:rPr>
      </w:pPr>
      <w:r>
        <w:rPr>
          <w:rFonts w:hint="eastAsia" w:ascii="宋体" w:hAnsi="宋体" w:eastAsia="宋体" w:cs="Arial"/>
          <w:b/>
          <w:kern w:val="0"/>
          <w:szCs w:val="21"/>
        </w:rPr>
        <w:t>（二）比较与评价</w:t>
      </w:r>
    </w:p>
    <w:p w14:paraId="15DF0E0B">
      <w:pPr>
        <w:adjustRightInd w:val="0"/>
        <w:snapToGrid w:val="0"/>
        <w:spacing w:line="288" w:lineRule="auto"/>
        <w:ind w:firstLine="424" w:firstLineChars="202"/>
        <w:rPr>
          <w:rFonts w:hint="eastAsia" w:ascii="宋体" w:hAnsi="宋体" w:eastAsia="宋体" w:cs="Arial"/>
          <w:kern w:val="0"/>
          <w:szCs w:val="21"/>
        </w:rPr>
      </w:pPr>
      <w:r>
        <w:rPr>
          <w:rFonts w:ascii="宋体" w:hAnsi="宋体" w:eastAsia="宋体" w:cs="Arial"/>
          <w:kern w:val="0"/>
          <w:szCs w:val="21"/>
        </w:rPr>
        <w:t>评标委员会按照招标文件中规定的评标方法和标准，对符合性审查合格的投标文件进行商务和技术评估，综合比较与评价。</w:t>
      </w:r>
    </w:p>
    <w:p w14:paraId="15DF0E0C">
      <w:pPr>
        <w:adjustRightInd w:val="0"/>
        <w:snapToGrid w:val="0"/>
        <w:spacing w:line="288" w:lineRule="auto"/>
        <w:ind w:firstLine="424" w:firstLineChars="202"/>
        <w:rPr>
          <w:rFonts w:hint="eastAsia" w:ascii="宋体" w:hAnsi="宋体" w:eastAsia="宋体" w:cs="Arial"/>
          <w:kern w:val="0"/>
          <w:szCs w:val="21"/>
        </w:rPr>
      </w:pPr>
      <w:r>
        <w:rPr>
          <w:rFonts w:hint="eastAsia" w:ascii="宋体" w:hAnsi="宋体" w:eastAsia="宋体" w:cs="Arial"/>
          <w:kern w:val="0"/>
          <w:szCs w:val="21"/>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15DF0E0D">
      <w:pPr>
        <w:adjustRightInd w:val="0"/>
        <w:snapToGrid w:val="0"/>
        <w:spacing w:line="288" w:lineRule="auto"/>
        <w:ind w:firstLine="426" w:firstLineChars="202"/>
        <w:rPr>
          <w:rFonts w:hint="eastAsia" w:ascii="宋体" w:hAnsi="宋体" w:eastAsia="宋体" w:cs="Arial"/>
          <w:b/>
          <w:kern w:val="0"/>
          <w:szCs w:val="21"/>
        </w:rPr>
      </w:pPr>
      <w:r>
        <w:rPr>
          <w:rFonts w:hint="eastAsia" w:ascii="宋体" w:hAnsi="宋体" w:eastAsia="宋体" w:cs="Arial"/>
          <w:b/>
          <w:kern w:val="0"/>
          <w:szCs w:val="21"/>
        </w:rPr>
        <w:t>（三）</w:t>
      </w:r>
      <w:r>
        <w:rPr>
          <w:rFonts w:ascii="宋体" w:hAnsi="宋体" w:eastAsia="宋体" w:cs="Arial"/>
          <w:b/>
          <w:kern w:val="0"/>
          <w:szCs w:val="21"/>
        </w:rPr>
        <w:t>汇总商务技术得分</w:t>
      </w:r>
    </w:p>
    <w:p w14:paraId="15DF0E0E">
      <w:pPr>
        <w:adjustRightInd w:val="0"/>
        <w:snapToGrid w:val="0"/>
        <w:spacing w:line="288" w:lineRule="auto"/>
        <w:ind w:firstLine="424" w:firstLineChars="202"/>
        <w:rPr>
          <w:rFonts w:hint="eastAsia" w:ascii="宋体" w:hAnsi="宋体" w:eastAsia="宋体" w:cs="Arial"/>
          <w:kern w:val="0"/>
          <w:szCs w:val="21"/>
        </w:rPr>
      </w:pPr>
      <w:r>
        <w:rPr>
          <w:rFonts w:hint="eastAsia" w:ascii="宋体" w:hAnsi="宋体" w:eastAsia="宋体" w:cs="Arial"/>
          <w:kern w:val="0"/>
          <w:szCs w:val="21"/>
        </w:rPr>
        <w:t>评标委员会各成员独立对每个投标人的商务和技术文件进行评价，并汇总商务技术得分情况。</w:t>
      </w:r>
    </w:p>
    <w:p w14:paraId="15DF0E0F">
      <w:pPr>
        <w:adjustRightInd w:val="0"/>
        <w:snapToGrid w:val="0"/>
        <w:spacing w:line="288" w:lineRule="auto"/>
        <w:ind w:firstLine="426" w:firstLineChars="202"/>
        <w:rPr>
          <w:rFonts w:hint="eastAsia" w:ascii="宋体" w:hAnsi="宋体" w:eastAsia="宋体" w:cs="Arial"/>
          <w:b/>
          <w:kern w:val="0"/>
          <w:szCs w:val="21"/>
        </w:rPr>
      </w:pPr>
      <w:r>
        <w:rPr>
          <w:rFonts w:hint="eastAsia" w:ascii="宋体" w:hAnsi="宋体" w:eastAsia="宋体" w:cs="Arial"/>
          <w:b/>
          <w:kern w:val="0"/>
          <w:szCs w:val="21"/>
        </w:rPr>
        <w:t>（四）</w:t>
      </w:r>
      <w:r>
        <w:rPr>
          <w:rFonts w:ascii="宋体" w:hAnsi="宋体" w:eastAsia="宋体" w:cs="Arial"/>
          <w:b/>
          <w:kern w:val="0"/>
          <w:szCs w:val="21"/>
        </w:rPr>
        <w:t>报价评审</w:t>
      </w:r>
    </w:p>
    <w:p w14:paraId="15DF0E10">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政府采购云平台上传的电子投标文件报价与政府采购云平台录入报价不一致的，以上传的电子投标文件报价为准。</w:t>
      </w:r>
    </w:p>
    <w:p w14:paraId="15DF0E11">
      <w:pPr>
        <w:adjustRightInd w:val="0"/>
        <w:snapToGrid w:val="0"/>
        <w:spacing w:line="288" w:lineRule="auto"/>
        <w:ind w:firstLine="426" w:firstLineChars="202"/>
        <w:rPr>
          <w:rFonts w:hint="eastAsia" w:ascii="宋体" w:hAnsi="宋体" w:eastAsia="宋体" w:cs="Arial"/>
          <w:b/>
          <w:kern w:val="0"/>
          <w:szCs w:val="21"/>
        </w:rPr>
      </w:pPr>
      <w:r>
        <w:rPr>
          <w:rFonts w:ascii="宋体" w:hAnsi="宋体" w:eastAsia="宋体" w:cs="Arial"/>
          <w:b/>
          <w:kern w:val="0"/>
          <w:szCs w:val="21"/>
        </w:rPr>
        <w:t>投标文件报价出现前后不一致的，按照下列规定修正：</w:t>
      </w:r>
    </w:p>
    <w:p w14:paraId="15DF0E12">
      <w:pPr>
        <w:pStyle w:val="98"/>
        <w:adjustRightInd w:val="0"/>
        <w:snapToGrid w:val="0"/>
        <w:spacing w:before="0" w:line="288" w:lineRule="auto"/>
        <w:ind w:firstLine="424" w:firstLineChars="202"/>
        <w:rPr>
          <w:rFonts w:hint="eastAsia" w:ascii="宋体" w:hAnsi="宋体" w:cs="仿宋"/>
          <w:kern w:val="0"/>
          <w:sz w:val="21"/>
          <w:szCs w:val="21"/>
        </w:rPr>
      </w:pPr>
      <w:r>
        <w:rPr>
          <w:rFonts w:ascii="宋体" w:hAnsi="宋体" w:cs="仿宋"/>
          <w:kern w:val="0"/>
          <w:sz w:val="21"/>
          <w:szCs w:val="21"/>
        </w:rPr>
        <w:t>投标文件中开标一览表(报价表)内容与投标文件中相应内容不一致的，以开标一览表(报价表)为准；</w:t>
      </w:r>
    </w:p>
    <w:p w14:paraId="15DF0E13">
      <w:pPr>
        <w:pStyle w:val="98"/>
        <w:adjustRightInd w:val="0"/>
        <w:snapToGrid w:val="0"/>
        <w:spacing w:before="0" w:line="288" w:lineRule="auto"/>
        <w:ind w:firstLine="424" w:firstLineChars="202"/>
        <w:rPr>
          <w:rFonts w:hint="eastAsia" w:ascii="宋体" w:hAnsi="宋体" w:cs="仿宋"/>
          <w:kern w:val="0"/>
          <w:sz w:val="21"/>
          <w:szCs w:val="21"/>
        </w:rPr>
      </w:pPr>
      <w:r>
        <w:rPr>
          <w:rFonts w:ascii="宋体" w:hAnsi="宋体" w:cs="仿宋"/>
          <w:kern w:val="0"/>
          <w:sz w:val="21"/>
          <w:szCs w:val="21"/>
        </w:rPr>
        <w:t>大写金额和小写金额不一致的，以大写金额为准；</w:t>
      </w:r>
    </w:p>
    <w:p w14:paraId="15DF0E14">
      <w:pPr>
        <w:pStyle w:val="98"/>
        <w:adjustRightInd w:val="0"/>
        <w:snapToGrid w:val="0"/>
        <w:spacing w:before="0" w:line="288" w:lineRule="auto"/>
        <w:ind w:firstLine="424" w:firstLineChars="202"/>
        <w:rPr>
          <w:rFonts w:hint="eastAsia" w:ascii="宋体" w:hAnsi="宋体" w:cs="仿宋"/>
          <w:kern w:val="0"/>
          <w:sz w:val="21"/>
          <w:szCs w:val="21"/>
        </w:rPr>
      </w:pPr>
      <w:r>
        <w:rPr>
          <w:rFonts w:ascii="宋体" w:hAnsi="宋体" w:cs="仿宋"/>
          <w:kern w:val="0"/>
          <w:sz w:val="21"/>
          <w:szCs w:val="21"/>
        </w:rPr>
        <w:t>单价金额小数点或者百分比有明显错位的，以开标一览表的总价为准，并修改单价；</w:t>
      </w:r>
    </w:p>
    <w:p w14:paraId="15DF0E15">
      <w:pPr>
        <w:pStyle w:val="98"/>
        <w:adjustRightInd w:val="0"/>
        <w:snapToGrid w:val="0"/>
        <w:spacing w:before="0" w:line="288" w:lineRule="auto"/>
        <w:ind w:firstLine="424" w:firstLineChars="202"/>
        <w:rPr>
          <w:rFonts w:hint="eastAsia" w:ascii="宋体" w:hAnsi="宋体" w:cs="仿宋"/>
          <w:kern w:val="0"/>
          <w:sz w:val="21"/>
          <w:szCs w:val="21"/>
        </w:rPr>
      </w:pPr>
      <w:r>
        <w:rPr>
          <w:rFonts w:ascii="宋体" w:hAnsi="宋体" w:cs="仿宋"/>
          <w:kern w:val="0"/>
          <w:sz w:val="21"/>
          <w:szCs w:val="21"/>
        </w:rPr>
        <w:t>总价金额与按单价汇总金额不一致的，以单价金额计算结果为准。</w:t>
      </w:r>
    </w:p>
    <w:p w14:paraId="15DF0E16">
      <w:pPr>
        <w:pStyle w:val="98"/>
        <w:adjustRightInd w:val="0"/>
        <w:snapToGrid w:val="0"/>
        <w:spacing w:before="0" w:line="288" w:lineRule="auto"/>
        <w:ind w:firstLine="424" w:firstLineChars="202"/>
        <w:rPr>
          <w:rFonts w:hint="eastAsia" w:ascii="宋体" w:hAnsi="宋体" w:cs="仿宋"/>
          <w:kern w:val="0"/>
          <w:sz w:val="21"/>
          <w:szCs w:val="21"/>
        </w:rPr>
      </w:pPr>
      <w:r>
        <w:rPr>
          <w:rFonts w:hint="eastAsia" w:ascii="宋体" w:hAnsi="宋体" w:cs="仿宋"/>
          <w:kern w:val="0"/>
          <w:sz w:val="21"/>
          <w:szCs w:val="21"/>
        </w:rPr>
        <w:t>同时出现两种以上不一致的，按照前款规定的顺序修正。修正后的报价按照财政部第</w:t>
      </w:r>
      <w:r>
        <w:rPr>
          <w:rFonts w:ascii="宋体" w:hAnsi="宋体" w:cs="仿宋"/>
          <w:kern w:val="0"/>
          <w:sz w:val="21"/>
          <w:szCs w:val="21"/>
        </w:rPr>
        <w:t>87号令《政府采购货物和服务招标投标管理办法》第五十一条第二款的规定“投标人的澄清、说明或者补正应当采用书面形式，并加盖公章，或者由投标人代表签名。投标人的澄清、说明或者补正不得超出投标文件的范围或者改变投标文件的实质性内容。”经投标人确认后产生约束力。投标人不确认的，其投标无效。</w:t>
      </w:r>
    </w:p>
    <w:p w14:paraId="15DF0E17">
      <w:pPr>
        <w:widowControl/>
        <w:adjustRightInd w:val="0"/>
        <w:snapToGrid w:val="0"/>
        <w:spacing w:line="288" w:lineRule="auto"/>
        <w:ind w:firstLine="420" w:firstLineChars="200"/>
        <w:rPr>
          <w:rFonts w:hint="eastAsia" w:ascii="宋体" w:hAnsi="宋体" w:cs="仿宋"/>
          <w:kern w:val="0"/>
          <w:szCs w:val="21"/>
        </w:rPr>
      </w:pPr>
      <w:r>
        <w:rPr>
          <w:rFonts w:hint="eastAsia" w:ascii="宋体" w:hAnsi="宋体" w:cs="仿宋"/>
          <w:kern w:val="0"/>
          <w:szCs w:val="21"/>
        </w:rPr>
        <w:t>投标人收到修正确认文件后，在规定时间内未做出回复的，视为不确认。</w:t>
      </w:r>
    </w:p>
    <w:p w14:paraId="15DF0E18">
      <w:pPr>
        <w:widowControl/>
        <w:adjustRightInd w:val="0"/>
        <w:snapToGrid w:val="0"/>
        <w:spacing w:line="288" w:lineRule="auto"/>
        <w:ind w:firstLine="414" w:firstLineChars="200"/>
        <w:rPr>
          <w:rFonts w:hint="eastAsia" w:ascii="宋体" w:hAnsi="宋体" w:eastAsia="宋体" w:cs="宋体"/>
          <w:b/>
          <w:bCs/>
          <w:spacing w:val="-2"/>
          <w:kern w:val="0"/>
          <w:szCs w:val="21"/>
          <w:shd w:val="clear" w:color="auto" w:fill="FFFFFF"/>
          <w:lang w:bidi="ar"/>
        </w:rPr>
      </w:pPr>
      <w:r>
        <w:rPr>
          <w:rFonts w:hint="eastAsia" w:ascii="宋体" w:hAnsi="宋体" w:eastAsia="宋体" w:cs="宋体"/>
          <w:b/>
          <w:bCs/>
          <w:spacing w:val="-2"/>
          <w:kern w:val="0"/>
          <w:szCs w:val="21"/>
          <w:shd w:val="clear" w:color="auto" w:fill="FFFFFF"/>
          <w:lang w:bidi="ar"/>
        </w:rPr>
        <w:t>评审中出现下列情形之一的，评标委员会应当启动异常低价投标审查程序：</w:t>
      </w:r>
    </w:p>
    <w:p w14:paraId="15DF0E19">
      <w:pPr>
        <w:widowControl/>
        <w:adjustRightInd w:val="0"/>
        <w:snapToGrid w:val="0"/>
        <w:spacing w:line="288" w:lineRule="auto"/>
        <w:ind w:firstLine="412" w:firstLineChars="200"/>
        <w:rPr>
          <w:rFonts w:hint="eastAsia" w:ascii="宋体" w:hAnsi="宋体" w:eastAsia="宋体" w:cs="宋体"/>
          <w:spacing w:val="-2"/>
          <w:kern w:val="0"/>
          <w:szCs w:val="21"/>
          <w:shd w:val="clear" w:color="auto" w:fill="FFFFFF"/>
          <w:lang w:bidi="ar"/>
        </w:rPr>
      </w:pPr>
      <w:r>
        <w:rPr>
          <w:rFonts w:hint="eastAsia" w:ascii="宋体" w:hAnsi="宋体" w:eastAsia="宋体" w:cs="宋体"/>
          <w:spacing w:val="-2"/>
          <w:kern w:val="0"/>
          <w:szCs w:val="21"/>
          <w:shd w:val="clear" w:color="auto" w:fill="FFFFFF"/>
          <w:lang w:bidi="ar"/>
        </w:rPr>
        <w:t>（一）投标报价低于全部通过符合性审查供应商投标报价平均值50%的，即投标报价&lt;全部通过符合性审查供应商投标报价平均值×50%；</w:t>
      </w:r>
    </w:p>
    <w:p w14:paraId="15DF0E1A">
      <w:pPr>
        <w:widowControl/>
        <w:adjustRightInd w:val="0"/>
        <w:snapToGrid w:val="0"/>
        <w:spacing w:line="288" w:lineRule="auto"/>
        <w:ind w:firstLine="412" w:firstLineChars="200"/>
        <w:rPr>
          <w:rFonts w:hint="eastAsia" w:ascii="宋体" w:hAnsi="宋体" w:eastAsia="宋体" w:cs="宋体"/>
          <w:spacing w:val="-2"/>
          <w:kern w:val="0"/>
          <w:szCs w:val="21"/>
          <w:shd w:val="clear" w:color="auto" w:fill="FFFFFF"/>
          <w:lang w:bidi="ar"/>
        </w:rPr>
      </w:pPr>
      <w:r>
        <w:rPr>
          <w:rFonts w:hint="eastAsia" w:ascii="宋体" w:hAnsi="宋体" w:eastAsia="宋体" w:cs="宋体"/>
          <w:spacing w:val="-2"/>
          <w:kern w:val="0"/>
          <w:szCs w:val="21"/>
          <w:shd w:val="clear" w:color="auto" w:fill="FFFFFF"/>
          <w:lang w:bidi="ar"/>
        </w:rPr>
        <w:t>（二）投标报价低于通过符合性审查且报价次低供应商投标报价50%的，即投标报价&lt;通过符合性审查且报价次低供应商投标报价×50%；</w:t>
      </w:r>
    </w:p>
    <w:p w14:paraId="15DF0E1B">
      <w:pPr>
        <w:widowControl/>
        <w:adjustRightInd w:val="0"/>
        <w:snapToGrid w:val="0"/>
        <w:spacing w:line="288" w:lineRule="auto"/>
        <w:ind w:firstLine="412" w:firstLineChars="200"/>
        <w:rPr>
          <w:rFonts w:hint="eastAsia" w:ascii="宋体" w:hAnsi="宋体" w:eastAsia="宋体" w:cs="宋体"/>
          <w:spacing w:val="-2"/>
          <w:kern w:val="0"/>
          <w:szCs w:val="21"/>
          <w:shd w:val="clear" w:color="auto" w:fill="FFFFFF"/>
          <w:lang w:bidi="ar"/>
        </w:rPr>
      </w:pPr>
      <w:r>
        <w:rPr>
          <w:rFonts w:hint="eastAsia" w:ascii="宋体" w:hAnsi="宋体" w:eastAsia="宋体" w:cs="宋体"/>
          <w:spacing w:val="-2"/>
          <w:kern w:val="0"/>
          <w:szCs w:val="21"/>
          <w:shd w:val="clear" w:color="auto" w:fill="FFFFFF"/>
          <w:lang w:bidi="ar"/>
        </w:rPr>
        <w:t>（三）投标报价低于采购项目最高限价45%的，即投标报价&lt;采购项目最高限价×45%；</w:t>
      </w:r>
    </w:p>
    <w:p w14:paraId="15DF0E1C">
      <w:pPr>
        <w:widowControl/>
        <w:adjustRightInd w:val="0"/>
        <w:snapToGrid w:val="0"/>
        <w:spacing w:line="288" w:lineRule="auto"/>
        <w:ind w:firstLine="412" w:firstLineChars="200"/>
        <w:rPr>
          <w:rFonts w:hint="eastAsia" w:ascii="宋体" w:hAnsi="宋体" w:eastAsia="宋体" w:cs="宋体"/>
          <w:spacing w:val="-2"/>
          <w:kern w:val="0"/>
          <w:szCs w:val="21"/>
          <w:shd w:val="clear" w:color="auto" w:fill="FFFFFF"/>
          <w:lang w:bidi="ar"/>
        </w:rPr>
      </w:pPr>
      <w:r>
        <w:rPr>
          <w:rFonts w:hint="eastAsia" w:ascii="宋体" w:hAnsi="宋体" w:eastAsia="宋体" w:cs="宋体"/>
          <w:spacing w:val="-2"/>
          <w:kern w:val="0"/>
          <w:szCs w:val="21"/>
          <w:shd w:val="clear" w:color="auto" w:fill="FFFFFF"/>
          <w:lang w:bidi="ar"/>
        </w:rPr>
        <w:t>（四）其他评标委员会认为供应商报价过低，有可能影响产品质量或者不能诚信履约的情形。</w:t>
      </w:r>
    </w:p>
    <w:p w14:paraId="15DF0E1D">
      <w:pPr>
        <w:widowControl/>
        <w:adjustRightInd w:val="0"/>
        <w:snapToGrid w:val="0"/>
        <w:spacing w:line="288" w:lineRule="auto"/>
        <w:ind w:firstLine="412" w:firstLineChars="200"/>
        <w:rPr>
          <w:rFonts w:hint="eastAsia" w:ascii="宋体" w:hAnsi="宋体" w:eastAsia="宋体" w:cs="宋体"/>
          <w:spacing w:val="-2"/>
          <w:kern w:val="0"/>
          <w:szCs w:val="21"/>
          <w:shd w:val="clear" w:color="auto" w:fill="FFFFFF"/>
          <w:lang w:bidi="ar"/>
        </w:rPr>
      </w:pPr>
      <w:r>
        <w:rPr>
          <w:rFonts w:hint="eastAsia" w:ascii="宋体" w:hAnsi="宋体" w:eastAsia="宋体" w:cs="宋体"/>
          <w:spacing w:val="-2"/>
          <w:kern w:val="0"/>
          <w:szCs w:val="21"/>
          <w:shd w:val="clear" w:color="auto" w:fill="FFFFFF"/>
          <w:lang w:bidi="ar"/>
        </w:rPr>
        <w:t>评标委员会启动异常低价投标审查后，</w:t>
      </w:r>
      <w:r>
        <w:rPr>
          <w:rFonts w:hint="eastAsia" w:ascii="宋体" w:hAnsi="宋体" w:eastAsia="宋体" w:cs="宋体"/>
          <w:spacing w:val="-2"/>
          <w:kern w:val="0"/>
          <w:szCs w:val="21"/>
          <w:u w:val="single"/>
          <w:shd w:val="clear" w:color="auto" w:fill="FFFFFF"/>
          <w:lang w:bidi="ar"/>
        </w:rPr>
        <w:t>应当要求相关供应商在评审现场合理的时间内提供书面说明及必要的证明材料，对投标价格作出解释。</w:t>
      </w:r>
      <w:r>
        <w:rPr>
          <w:rFonts w:hint="eastAsia" w:ascii="宋体" w:hAnsi="宋体" w:eastAsia="宋体" w:cs="宋体"/>
          <w:spacing w:val="-2"/>
          <w:kern w:val="0"/>
          <w:szCs w:val="21"/>
          <w:shd w:val="clear" w:color="auto" w:fill="FFFFFF"/>
          <w:lang w:bidi="ar"/>
        </w:rPr>
        <w:t>书面说明、证明材料主要是</w:t>
      </w:r>
      <w:r>
        <w:rPr>
          <w:rFonts w:hint="eastAsia" w:ascii="宋体" w:hAnsi="宋体" w:eastAsia="宋体" w:cs="宋体"/>
          <w:b/>
          <w:bCs/>
          <w:spacing w:val="-2"/>
          <w:kern w:val="0"/>
          <w:szCs w:val="21"/>
          <w:shd w:val="clear" w:color="auto" w:fill="FFFFFF"/>
          <w:lang w:bidi="ar"/>
        </w:rPr>
        <w:t>项目具体成本测算等与报价合理性相关的说明、材料</w:t>
      </w:r>
      <w:r>
        <w:rPr>
          <w:rFonts w:hint="eastAsia" w:ascii="宋体" w:hAnsi="宋体" w:eastAsia="宋体" w:cs="宋体"/>
          <w:spacing w:val="-2"/>
          <w:kern w:val="0"/>
          <w:szCs w:val="21"/>
          <w:shd w:val="clear" w:color="auto" w:fill="FFFFFF"/>
          <w:lang w:bidi="ar"/>
        </w:rPr>
        <w:t>。</w:t>
      </w:r>
    </w:p>
    <w:p w14:paraId="15DF0E1E">
      <w:pPr>
        <w:pStyle w:val="98"/>
        <w:adjustRightInd w:val="0"/>
        <w:snapToGrid w:val="0"/>
        <w:spacing w:before="0" w:line="288" w:lineRule="auto"/>
        <w:ind w:firstLine="416" w:firstLineChars="202"/>
        <w:rPr>
          <w:rFonts w:hint="eastAsia" w:ascii="宋体" w:hAnsi="宋体" w:cs="仿宋"/>
          <w:kern w:val="0"/>
          <w:sz w:val="21"/>
          <w:szCs w:val="21"/>
        </w:rPr>
      </w:pPr>
      <w:r>
        <w:rPr>
          <w:rFonts w:hint="eastAsia" w:ascii="宋体" w:hAnsi="宋体" w:cs="宋体"/>
          <w:spacing w:val="-2"/>
          <w:kern w:val="0"/>
          <w:sz w:val="21"/>
          <w:szCs w:val="21"/>
          <w:shd w:val="clear" w:color="auto" w:fill="FFFFFF"/>
          <w:lang w:bidi="ar"/>
        </w:rPr>
        <w:t>评标委员会应当</w:t>
      </w:r>
      <w:r>
        <w:rPr>
          <w:rFonts w:hint="eastAsia" w:ascii="宋体" w:hAnsi="宋体" w:cs="宋体"/>
          <w:spacing w:val="-2"/>
          <w:kern w:val="0"/>
          <w:sz w:val="21"/>
          <w:szCs w:val="21"/>
          <w:u w:val="single"/>
          <w:shd w:val="clear" w:color="auto" w:fill="FFFFFF"/>
          <w:lang w:bidi="ar"/>
        </w:rPr>
        <w:t>结合同类产品在主要电商平台的价格、该行业当地薪资水平等情况，依据专业经验对报价合理性进行判断。</w:t>
      </w:r>
      <w:r>
        <w:rPr>
          <w:rFonts w:hint="eastAsia" w:ascii="宋体" w:hAnsi="宋体" w:cs="宋体"/>
          <w:spacing w:val="-2"/>
          <w:kern w:val="0"/>
          <w:sz w:val="21"/>
          <w:szCs w:val="21"/>
          <w:shd w:val="clear" w:color="auto" w:fill="FFFFFF"/>
          <w:lang w:bidi="ar"/>
        </w:rPr>
        <w:t>如果投标供应商不提供书面说明、证明材料，或者提供的书面说明、证明材料不能证明其报价合理性的，应当将其作为无效投标处理。审查相关情况应当在评审报告中记录。</w:t>
      </w:r>
    </w:p>
    <w:p w14:paraId="15DF0E1F">
      <w:pPr>
        <w:adjustRightInd w:val="0"/>
        <w:snapToGrid w:val="0"/>
        <w:spacing w:line="288" w:lineRule="auto"/>
        <w:ind w:firstLine="426" w:firstLineChars="202"/>
        <w:rPr>
          <w:rFonts w:hint="eastAsia" w:ascii="宋体" w:hAnsi="宋体" w:eastAsia="宋体" w:cs="Arial"/>
          <w:b/>
          <w:kern w:val="0"/>
          <w:szCs w:val="21"/>
        </w:rPr>
      </w:pPr>
      <w:r>
        <w:rPr>
          <w:rFonts w:hint="eastAsia" w:ascii="宋体" w:hAnsi="宋体" w:eastAsia="宋体" w:cs="Arial"/>
          <w:b/>
          <w:kern w:val="0"/>
          <w:szCs w:val="21"/>
        </w:rPr>
        <w:t>（五）投标人澄清、说明或者补正</w:t>
      </w:r>
    </w:p>
    <w:p w14:paraId="15DF0E20">
      <w:pPr>
        <w:pStyle w:val="98"/>
        <w:adjustRightInd w:val="0"/>
        <w:snapToGrid w:val="0"/>
        <w:spacing w:before="0" w:line="288" w:lineRule="auto"/>
        <w:ind w:firstLine="424" w:firstLineChars="202"/>
        <w:rPr>
          <w:rFonts w:hint="eastAsia" w:ascii="宋体" w:hAnsi="宋体" w:cs="Arial"/>
          <w:kern w:val="0"/>
          <w:sz w:val="21"/>
          <w:szCs w:val="21"/>
        </w:rPr>
      </w:pPr>
      <w:r>
        <w:rPr>
          <w:rFonts w:hint="eastAsia" w:ascii="宋体" w:hAnsi="宋体" w:cs="Arial"/>
          <w:kern w:val="0"/>
          <w:sz w:val="21"/>
          <w:szCs w:val="21"/>
        </w:rPr>
        <w:t>对于投标文件中含义不明确、同类问题表述不一致或者有明显文字和计算错误的内容需要投标人作出必要的澄清、说明或者补正的，评标委员会和投标人通过电子交易平台交换数据电文，投标人提交使用电子签名的相关数据电文或通过平台上传加盖公章的扫描件。给予投标人提交澄清、说明或补正的时间不得少于半小时，投标人已经明确表示澄清说明或补正完毕的除外。投标人的澄清、说明或者补正不得超出投标文件的范围或者改变投标文件的实质性内容。</w:t>
      </w:r>
    </w:p>
    <w:p w14:paraId="15DF0E21">
      <w:pPr>
        <w:adjustRightInd w:val="0"/>
        <w:snapToGrid w:val="0"/>
        <w:spacing w:line="288" w:lineRule="auto"/>
        <w:ind w:firstLine="420" w:firstLineChars="200"/>
        <w:rPr>
          <w:rFonts w:hint="eastAsia" w:ascii="宋体" w:hAnsi="宋体" w:eastAsia="宋体" w:cs="宋体"/>
          <w:kern w:val="0"/>
          <w:szCs w:val="21"/>
        </w:rPr>
      </w:pPr>
      <w:r>
        <w:rPr>
          <w:rFonts w:hint="eastAsia" w:ascii="宋体" w:hAnsi="宋体" w:eastAsia="宋体" w:cs="宋体"/>
          <w:kern w:val="0"/>
          <w:szCs w:val="21"/>
        </w:rPr>
        <w:t>投标人的书面澄清、说明或者补正无法通过政府采购云平台上传的，可在规定时间内（不少于半小时）通过指定的电子邮箱（zb02@qszb.net</w:t>
      </w:r>
      <w:r>
        <w:rPr>
          <w:rFonts w:ascii="宋体" w:hAnsi="宋体" w:eastAsia="宋体" w:cs="宋体"/>
          <w:kern w:val="0"/>
          <w:szCs w:val="21"/>
        </w:rPr>
        <w:t>）或传真号码（0571-87666116）提交。</w:t>
      </w:r>
    </w:p>
    <w:p w14:paraId="15DF0E22">
      <w:pPr>
        <w:adjustRightInd w:val="0"/>
        <w:snapToGrid w:val="0"/>
        <w:spacing w:line="288" w:lineRule="auto"/>
        <w:ind w:firstLine="426" w:firstLineChars="202"/>
        <w:rPr>
          <w:rFonts w:hint="eastAsia" w:ascii="宋体" w:hAnsi="宋体" w:eastAsia="宋体" w:cs="Arial"/>
          <w:b/>
          <w:kern w:val="0"/>
          <w:szCs w:val="21"/>
        </w:rPr>
      </w:pPr>
      <w:r>
        <w:rPr>
          <w:rFonts w:hint="eastAsia" w:ascii="宋体" w:hAnsi="宋体" w:eastAsia="宋体" w:cs="Arial"/>
          <w:b/>
          <w:kern w:val="0"/>
          <w:szCs w:val="21"/>
        </w:rPr>
        <w:t>（六）排序与推荐</w:t>
      </w:r>
    </w:p>
    <w:p w14:paraId="15DF0E23">
      <w:pPr>
        <w:adjustRightInd w:val="0"/>
        <w:snapToGrid w:val="0"/>
        <w:spacing w:line="288" w:lineRule="auto"/>
        <w:ind w:firstLine="424" w:firstLineChars="202"/>
        <w:rPr>
          <w:rFonts w:hint="eastAsia" w:ascii="宋体" w:hAnsi="宋体" w:eastAsia="宋体" w:cs="Arial"/>
          <w:kern w:val="0"/>
          <w:szCs w:val="21"/>
        </w:rPr>
      </w:pPr>
      <w:r>
        <w:rPr>
          <w:rFonts w:hint="eastAsia" w:ascii="宋体" w:hAnsi="宋体" w:eastAsia="宋体" w:cs="Arial"/>
          <w:kern w:val="0"/>
          <w:szCs w:val="21"/>
        </w:rPr>
        <w:t>评标方法：本项目评标方法是综合评分法，具体评标方法和评标标准详见“第四章：评标方法和评标标准”。</w:t>
      </w:r>
    </w:p>
    <w:p w14:paraId="15DF0E24">
      <w:pPr>
        <w:adjustRightInd w:val="0"/>
        <w:snapToGrid w:val="0"/>
        <w:spacing w:line="288" w:lineRule="auto"/>
        <w:ind w:firstLine="424" w:firstLineChars="202"/>
        <w:rPr>
          <w:rFonts w:hint="eastAsia" w:ascii="宋体" w:hAnsi="宋体" w:eastAsia="宋体" w:cs="Arial"/>
          <w:kern w:val="0"/>
          <w:szCs w:val="21"/>
        </w:rPr>
      </w:pPr>
      <w:r>
        <w:rPr>
          <w:rFonts w:hint="eastAsia" w:ascii="宋体" w:hAnsi="宋体" w:eastAsia="宋体" w:cs="Arial"/>
          <w:kern w:val="0"/>
          <w:szCs w:val="21"/>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推荐1名中标候选人。</w:t>
      </w:r>
    </w:p>
    <w:p w14:paraId="15DF0E25">
      <w:pPr>
        <w:adjustRightInd w:val="0"/>
        <w:snapToGrid w:val="0"/>
        <w:spacing w:line="288" w:lineRule="auto"/>
        <w:ind w:firstLine="424" w:firstLineChars="202"/>
        <w:rPr>
          <w:rFonts w:hint="eastAsia" w:ascii="宋体" w:hAnsi="宋体" w:eastAsia="宋体" w:cs="Arial"/>
          <w:kern w:val="0"/>
          <w:szCs w:val="21"/>
        </w:rPr>
      </w:pPr>
      <w:r>
        <w:rPr>
          <w:rFonts w:hint="eastAsia" w:ascii="宋体" w:hAnsi="宋体" w:eastAsia="宋体" w:cs="Arial"/>
          <w:kern w:val="0"/>
          <w:szCs w:val="21"/>
        </w:rPr>
        <w:t>提供相同品牌产品且通过资格审查、符合性审查的不同投标人参加同一合同项下投标的，按一家投标人计算，评审后得分最高的同品牌投标人获得中标人推荐资格；评审得分相同的，按投标报价由低到高顺序排列。得分且投标报价相同的，由采购人确定一个投标人获得中标人推荐资格，其他同品牌投标人不作为中标候选人。</w:t>
      </w:r>
    </w:p>
    <w:p w14:paraId="15DF0E26">
      <w:pPr>
        <w:adjustRightInd w:val="0"/>
        <w:snapToGrid w:val="0"/>
        <w:spacing w:line="288" w:lineRule="auto"/>
        <w:ind w:firstLine="424" w:firstLineChars="202"/>
        <w:rPr>
          <w:rFonts w:hint="eastAsia" w:ascii="宋体" w:hAnsi="宋体" w:eastAsia="宋体" w:cs="Arial"/>
          <w:kern w:val="0"/>
          <w:szCs w:val="21"/>
        </w:rPr>
      </w:pPr>
      <w:r>
        <w:rPr>
          <w:rFonts w:hint="eastAsia" w:ascii="宋体" w:hAnsi="宋体" w:eastAsia="宋体" w:cs="Arial"/>
          <w:kern w:val="0"/>
          <w:szCs w:val="21"/>
        </w:rPr>
        <w:t>非单一产品采购项目，采购人应当根据采购项目技术构成、产品价格比重等合理确定核心产品，并在招标文件中载明。多家投标人提供的核心产品品牌相同的，按前款规定处理。</w:t>
      </w:r>
    </w:p>
    <w:p w14:paraId="15DF0E27">
      <w:pPr>
        <w:adjustRightInd w:val="0"/>
        <w:snapToGrid w:val="0"/>
        <w:spacing w:line="288" w:lineRule="auto"/>
        <w:ind w:firstLine="426" w:firstLineChars="202"/>
        <w:rPr>
          <w:rFonts w:hint="eastAsia" w:ascii="宋体" w:hAnsi="宋体" w:eastAsia="宋体" w:cs="Arial"/>
          <w:b/>
          <w:kern w:val="0"/>
          <w:szCs w:val="21"/>
        </w:rPr>
      </w:pPr>
      <w:r>
        <w:rPr>
          <w:rFonts w:hint="eastAsia" w:ascii="宋体" w:hAnsi="宋体" w:eastAsia="宋体" w:cs="Arial"/>
          <w:b/>
          <w:kern w:val="0"/>
          <w:szCs w:val="21"/>
        </w:rPr>
        <w:t>（七）</w:t>
      </w:r>
      <w:r>
        <w:rPr>
          <w:rFonts w:ascii="宋体" w:hAnsi="宋体" w:eastAsia="宋体" w:cs="Arial"/>
          <w:b/>
          <w:kern w:val="0"/>
          <w:szCs w:val="21"/>
        </w:rPr>
        <w:t>编写评标报告</w:t>
      </w:r>
    </w:p>
    <w:p w14:paraId="15DF0E28">
      <w:pPr>
        <w:adjustRightInd w:val="0"/>
        <w:snapToGrid w:val="0"/>
        <w:spacing w:line="288" w:lineRule="auto"/>
        <w:ind w:firstLine="424" w:firstLineChars="202"/>
        <w:rPr>
          <w:rFonts w:hint="eastAsia" w:ascii="宋体" w:hAnsi="宋体" w:eastAsia="宋体" w:cs="Arial"/>
          <w:kern w:val="0"/>
          <w:szCs w:val="21"/>
        </w:rPr>
      </w:pPr>
      <w:r>
        <w:rPr>
          <w:rFonts w:ascii="宋体" w:hAnsi="宋体" w:eastAsia="宋体" w:cs="Arial"/>
          <w:kern w:val="0"/>
          <w:szCs w:val="21"/>
        </w:rPr>
        <w:t>评标委员会根据全体评标成员签名的原始评标记录和评标结果编写评标报告。</w:t>
      </w:r>
      <w:r>
        <w:rPr>
          <w:rFonts w:hint="eastAsia" w:ascii="宋体" w:hAnsi="宋体" w:eastAsia="宋体" w:cs="Arial"/>
          <w:kern w:val="0"/>
          <w:szCs w:val="21"/>
        </w:rPr>
        <w:t>评标委员会成员对需要共同认定的事项存在争议的，应当按照少数服从多数的原则作出结论。持不同意见的评标委员会成员应当在评标报告上签署不同意见及理由，否则视为同意评标报告。</w:t>
      </w:r>
    </w:p>
    <w:bookmarkEnd w:id="53"/>
    <w:p w14:paraId="15DF0E29">
      <w:pPr>
        <w:widowControl/>
        <w:adjustRightInd w:val="0"/>
        <w:snapToGrid w:val="0"/>
        <w:spacing w:line="288" w:lineRule="auto"/>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15DF0E2A">
      <w:pPr>
        <w:adjustRightInd w:val="0"/>
        <w:snapToGrid w:val="0"/>
        <w:spacing w:line="288" w:lineRule="auto"/>
        <w:jc w:val="center"/>
        <w:outlineLvl w:val="1"/>
        <w:rPr>
          <w:rFonts w:hint="eastAsia" w:ascii="宋体" w:hAnsi="宋体" w:eastAsia="宋体" w:cs="Times New Roman"/>
          <w:b/>
          <w:spacing w:val="-6"/>
          <w:szCs w:val="21"/>
        </w:rPr>
      </w:pPr>
      <w:r>
        <w:rPr>
          <w:rFonts w:hint="eastAsia" w:ascii="宋体" w:hAnsi="宋体" w:eastAsia="宋体" w:cs="Times New Roman"/>
          <w:b/>
          <w:spacing w:val="-6"/>
          <w:szCs w:val="21"/>
        </w:rPr>
        <w:t>七、中标与合同</w:t>
      </w:r>
    </w:p>
    <w:p w14:paraId="15DF0E2B">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（一）中标</w:t>
      </w:r>
    </w:p>
    <w:p w14:paraId="15DF0E2C">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采购代理机构应当在评标结束后2个工作日内将评标报告送采购人。采购人应当自收到评标报告之日起5个工作日内，在评标报告确定的中标候选人名单中按顺序确定中标人，也可以书面授权评标委员会直接确定中标人。中标候选人并列的，由采购人确定中标人。</w:t>
      </w:r>
    </w:p>
    <w:p w14:paraId="15DF0E2D">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2.采购代理机构自中标人确定之日起2个工作日内，公告中标结果，并发出中标通知书。</w:t>
      </w:r>
    </w:p>
    <w:p w14:paraId="15DF0E2E">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3.评标结果公示媒体：浙江政府采购网（http://zfcg.czt.zj.gov.cn）。</w:t>
      </w:r>
    </w:p>
    <w:p w14:paraId="15DF0E2F">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（二）合同</w:t>
      </w:r>
    </w:p>
    <w:p w14:paraId="15DF0E30">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w:t>
      </w:r>
      <w:r>
        <w:rPr>
          <w:rFonts w:hint="eastAsia" w:ascii="宋体" w:hAnsi="宋体" w:eastAsia="宋体" w:cs="Times New Roman"/>
          <w:spacing w:val="-6"/>
          <w:szCs w:val="21"/>
        </w:rPr>
        <w:t>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15DF0E31">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2.中标后无正当理由拒不与采购人签订政府采购合同，将被取消中标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14:paraId="15DF0E32">
      <w:pPr>
        <w:adjustRightInd w:val="0"/>
        <w:snapToGrid w:val="0"/>
        <w:spacing w:line="288" w:lineRule="auto"/>
        <w:ind w:firstLine="396" w:firstLineChars="200"/>
        <w:rPr>
          <w:rFonts w:hint="eastAsia" w:ascii="宋体" w:hAnsi="宋体" w:eastAsia="宋体" w:cs="Times New Roman"/>
          <w:spacing w:val="-6"/>
          <w:szCs w:val="21"/>
        </w:rPr>
      </w:pPr>
    </w:p>
    <w:p w14:paraId="15DF0E33">
      <w:pPr>
        <w:adjustRightInd w:val="0"/>
        <w:snapToGrid w:val="0"/>
        <w:spacing w:line="288" w:lineRule="auto"/>
        <w:jc w:val="center"/>
        <w:outlineLvl w:val="1"/>
        <w:rPr>
          <w:rFonts w:hint="eastAsia" w:ascii="宋体" w:hAnsi="宋体" w:eastAsia="宋体" w:cs="Times New Roman"/>
          <w:b/>
          <w:spacing w:val="-6"/>
          <w:szCs w:val="21"/>
        </w:rPr>
      </w:pPr>
      <w:r>
        <w:rPr>
          <w:rFonts w:hint="eastAsia" w:ascii="宋体" w:hAnsi="宋体" w:eastAsia="宋体" w:cs="Times New Roman"/>
          <w:b/>
          <w:spacing w:val="-6"/>
          <w:szCs w:val="21"/>
        </w:rPr>
        <w:t>八、</w:t>
      </w:r>
      <w:r>
        <w:rPr>
          <w:rFonts w:ascii="宋体" w:hAnsi="宋体" w:eastAsia="宋体" w:cs="Times New Roman"/>
          <w:b/>
          <w:spacing w:val="-6"/>
          <w:szCs w:val="21"/>
        </w:rPr>
        <w:t>验</w:t>
      </w:r>
      <w:r>
        <w:rPr>
          <w:rFonts w:hint="eastAsia" w:ascii="宋体" w:hAnsi="宋体" w:eastAsia="宋体" w:cs="Times New Roman"/>
          <w:b/>
          <w:spacing w:val="-6"/>
          <w:szCs w:val="21"/>
        </w:rPr>
        <w:t xml:space="preserve"> </w:t>
      </w:r>
      <w:r>
        <w:rPr>
          <w:rFonts w:ascii="宋体" w:hAnsi="宋体" w:eastAsia="宋体" w:cs="Times New Roman"/>
          <w:b/>
          <w:spacing w:val="-6"/>
          <w:szCs w:val="21"/>
        </w:rPr>
        <w:t xml:space="preserve"> 收</w:t>
      </w:r>
    </w:p>
    <w:p w14:paraId="15DF0E34">
      <w:pPr>
        <w:tabs>
          <w:tab w:val="left" w:pos="0"/>
        </w:tabs>
        <w:adjustRightInd w:val="0"/>
        <w:snapToGrid w:val="0"/>
        <w:spacing w:line="288" w:lineRule="auto"/>
        <w:ind w:firstLine="422" w:firstLineChars="201"/>
        <w:rPr>
          <w:rFonts w:hint="eastAsia" w:ascii="宋体" w:hAnsi="宋体" w:eastAsia="宋体" w:cs="Helvetica"/>
          <w:kern w:val="0"/>
          <w:szCs w:val="21"/>
        </w:rPr>
      </w:pPr>
      <w:r>
        <w:rPr>
          <w:rFonts w:ascii="宋体" w:hAnsi="宋体" w:eastAsia="宋体" w:cs="Helvetica"/>
          <w:kern w:val="0"/>
          <w:szCs w:val="21"/>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14:paraId="15DF0E35">
      <w:pPr>
        <w:tabs>
          <w:tab w:val="left" w:pos="0"/>
        </w:tabs>
        <w:adjustRightInd w:val="0"/>
        <w:snapToGrid w:val="0"/>
        <w:spacing w:line="288" w:lineRule="auto"/>
        <w:ind w:firstLine="422" w:firstLineChars="201"/>
        <w:rPr>
          <w:rFonts w:hint="eastAsia" w:ascii="宋体" w:hAnsi="宋体" w:eastAsia="宋体" w:cs="Helvetica"/>
          <w:kern w:val="0"/>
          <w:szCs w:val="21"/>
        </w:rPr>
      </w:pPr>
      <w:r>
        <w:rPr>
          <w:rFonts w:ascii="宋体" w:hAnsi="宋体" w:eastAsia="宋体" w:cs="Helvetica"/>
          <w:kern w:val="0"/>
          <w:szCs w:val="21"/>
        </w:rPr>
        <w:t>采购人可以邀请参加本项目的其他投标人或者第三方机构参与验收。参与验收的投标人或者第三方机构的意见作为</w:t>
      </w:r>
      <w:r>
        <w:rPr>
          <w:rFonts w:hint="eastAsia" w:ascii="宋体" w:hAnsi="宋体" w:eastAsia="宋体" w:cs="Helvetica"/>
          <w:kern w:val="0"/>
          <w:szCs w:val="21"/>
        </w:rPr>
        <w:t>验收书的参考资料一并存档。</w:t>
      </w:r>
    </w:p>
    <w:p w14:paraId="15DF0E36">
      <w:pPr>
        <w:tabs>
          <w:tab w:val="left" w:pos="0"/>
        </w:tabs>
        <w:adjustRightInd w:val="0"/>
        <w:snapToGrid w:val="0"/>
        <w:spacing w:line="288" w:lineRule="auto"/>
        <w:ind w:firstLine="422" w:firstLineChars="201"/>
        <w:rPr>
          <w:rFonts w:hint="eastAsia" w:ascii="宋体" w:hAnsi="宋体" w:eastAsia="宋体" w:cs="Helvetica"/>
          <w:kern w:val="0"/>
          <w:szCs w:val="21"/>
        </w:rPr>
      </w:pPr>
      <w:r>
        <w:rPr>
          <w:rFonts w:ascii="宋体" w:hAnsi="宋体" w:eastAsia="宋体" w:cs="Helvetica"/>
          <w:kern w:val="0"/>
          <w:szCs w:val="21"/>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15DF0E37">
      <w:pPr>
        <w:tabs>
          <w:tab w:val="left" w:pos="0"/>
        </w:tabs>
        <w:adjustRightInd w:val="0"/>
        <w:snapToGrid w:val="0"/>
        <w:spacing w:line="288" w:lineRule="auto"/>
        <w:ind w:firstLine="422" w:firstLineChars="201"/>
        <w:rPr>
          <w:rFonts w:hint="eastAsia" w:ascii="宋体" w:hAnsi="宋体" w:eastAsia="宋体" w:cs="Helvetica"/>
          <w:kern w:val="0"/>
          <w:szCs w:val="21"/>
        </w:rPr>
      </w:pPr>
      <w:r>
        <w:rPr>
          <w:rFonts w:ascii="宋体" w:hAnsi="宋体" w:eastAsia="宋体" w:cs="Helvetica"/>
          <w:kern w:val="0"/>
          <w:szCs w:val="21"/>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15DF0E38">
      <w:pPr>
        <w:tabs>
          <w:tab w:val="left" w:pos="0"/>
        </w:tabs>
        <w:adjustRightInd w:val="0"/>
        <w:snapToGrid w:val="0"/>
        <w:spacing w:line="288" w:lineRule="auto"/>
        <w:ind w:firstLine="400" w:firstLineChars="201"/>
        <w:rPr>
          <w:rFonts w:hint="eastAsia" w:ascii="宋体" w:hAnsi="宋体" w:eastAsia="宋体" w:cs="Times New Roman"/>
          <w:b/>
          <w:spacing w:val="-6"/>
          <w:szCs w:val="21"/>
        </w:rPr>
      </w:pPr>
    </w:p>
    <w:p w14:paraId="15DF0E39">
      <w:pPr>
        <w:adjustRightInd w:val="0"/>
        <w:snapToGrid w:val="0"/>
        <w:spacing w:line="288" w:lineRule="auto"/>
        <w:ind w:firstLine="398" w:firstLineChars="200"/>
        <w:jc w:val="center"/>
        <w:outlineLvl w:val="1"/>
        <w:rPr>
          <w:rFonts w:hint="eastAsia" w:ascii="宋体" w:hAnsi="宋体" w:eastAsia="宋体" w:cs="Times New Roman"/>
          <w:szCs w:val="21"/>
        </w:rPr>
      </w:pPr>
      <w:r>
        <w:rPr>
          <w:rFonts w:hint="eastAsia" w:ascii="宋体" w:hAnsi="宋体" w:eastAsia="宋体" w:cs="Times New Roman"/>
          <w:b/>
          <w:spacing w:val="-6"/>
          <w:szCs w:val="21"/>
        </w:rPr>
        <w:t>九、可中止电子交易活动的情形</w:t>
      </w:r>
    </w:p>
    <w:p w14:paraId="15DF0E3A">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采购过程中出现以下情形，导致电子交易平台无法正常运行，或者无法保证电子交易的公平、公正和安全时，采购代理机构可中止电子交易活动：</w:t>
      </w:r>
    </w:p>
    <w:p w14:paraId="15DF0E3B">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1.电子交易平台发生故障而无法登录访问的；</w:t>
      </w:r>
    </w:p>
    <w:p w14:paraId="15DF0E3C">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2.电子交易平台应用或数据库出现错误，不能进行正常操作的；</w:t>
      </w:r>
    </w:p>
    <w:p w14:paraId="15DF0E3D">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3.电子交易平台发现严重安全漏洞，有潜在泄密危险的；</w:t>
      </w:r>
    </w:p>
    <w:p w14:paraId="15DF0E3E">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4.病毒发作导致不能进行正常操作的；</w:t>
      </w:r>
    </w:p>
    <w:p w14:paraId="15DF0E3F">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5.其他无法保证电子交易的公平、公正和安全的情况。</w:t>
      </w:r>
    </w:p>
    <w:p w14:paraId="15DF0E40">
      <w:pPr>
        <w:adjustRightInd w:val="0"/>
        <w:snapToGrid w:val="0"/>
        <w:spacing w:line="288" w:lineRule="auto"/>
        <w:ind w:firstLine="396" w:firstLineChars="200"/>
        <w:rPr>
          <w:rFonts w:hint="eastAsia" w:ascii="宋体" w:hAnsi="宋体" w:eastAsia="宋体"/>
          <w:szCs w:val="21"/>
        </w:rPr>
      </w:pPr>
      <w:r>
        <w:rPr>
          <w:rFonts w:hint="eastAsia" w:ascii="宋体" w:hAnsi="宋体" w:eastAsia="宋体" w:cs="Times New Roman"/>
          <w:spacing w:val="-6"/>
          <w:szCs w:val="21"/>
        </w:rPr>
        <w:t>出现前款规定情形，不影响采购公平、公正性的，采购代理机构可以待上述情形消除后继续组织电子交易活动；影响或可能影响采购公平、公正性的，应当重新采购。</w:t>
      </w:r>
    </w:p>
    <w:p w14:paraId="15DF0E41">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br w:type="page"/>
      </w:r>
    </w:p>
    <w:p w14:paraId="15DF0E42">
      <w:pPr>
        <w:adjustRightInd w:val="0"/>
        <w:snapToGrid w:val="0"/>
        <w:spacing w:line="288" w:lineRule="auto"/>
        <w:jc w:val="center"/>
        <w:outlineLvl w:val="0"/>
        <w:rPr>
          <w:rFonts w:hint="eastAsia" w:ascii="宋体" w:hAnsi="宋体" w:eastAsia="宋体" w:cs="Times New Roman"/>
          <w:b/>
          <w:spacing w:val="-6"/>
          <w:sz w:val="32"/>
          <w:szCs w:val="32"/>
        </w:rPr>
      </w:pPr>
      <w:r>
        <w:rPr>
          <w:rFonts w:hint="eastAsia" w:ascii="宋体" w:hAnsi="宋体" w:eastAsia="宋体" w:cs="Times New Roman"/>
          <w:b/>
          <w:sz w:val="32"/>
          <w:szCs w:val="32"/>
        </w:rPr>
        <w:t>第四章  评标方法和评标标准</w:t>
      </w:r>
    </w:p>
    <w:p w14:paraId="15DF0E43">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一、评标方法</w:t>
      </w:r>
    </w:p>
    <w:p w14:paraId="15DF0E44">
      <w:pPr>
        <w:adjustRightInd w:val="0"/>
        <w:snapToGrid w:val="0"/>
        <w:spacing w:line="288" w:lineRule="auto"/>
        <w:ind w:firstLine="396" w:firstLineChars="200"/>
        <w:rPr>
          <w:rFonts w:hint="eastAsia" w:ascii="宋体" w:hAnsi="宋体" w:eastAsia="宋体" w:cs="Times New Roman"/>
          <w:bCs/>
          <w:spacing w:val="-6"/>
          <w:szCs w:val="21"/>
        </w:rPr>
      </w:pPr>
      <w:r>
        <w:rPr>
          <w:rFonts w:hint="eastAsia" w:ascii="宋体" w:hAnsi="宋体" w:eastAsia="宋体" w:cs="Times New Roman"/>
          <w:bCs/>
          <w:spacing w:val="-6"/>
          <w:szCs w:val="21"/>
        </w:rPr>
        <w:t>本次评标采用综合评分法，总分为100分。评分过程中采用四舍五入法，并保留小数2位。</w:t>
      </w:r>
    </w:p>
    <w:p w14:paraId="15DF0E45">
      <w:pPr>
        <w:adjustRightInd w:val="0"/>
        <w:snapToGrid w:val="0"/>
        <w:spacing w:line="288" w:lineRule="auto"/>
        <w:ind w:firstLine="396" w:firstLineChars="200"/>
        <w:rPr>
          <w:rFonts w:hint="eastAsia" w:ascii="宋体" w:hAnsi="宋体" w:eastAsia="宋体" w:cs="Times New Roman"/>
          <w:bCs/>
          <w:spacing w:val="-6"/>
          <w:szCs w:val="21"/>
        </w:rPr>
      </w:pPr>
      <w:r>
        <w:rPr>
          <w:rFonts w:hint="eastAsia" w:ascii="宋体" w:hAnsi="宋体" w:eastAsia="宋体" w:cs="Times New Roman"/>
          <w:spacing w:val="-6"/>
          <w:szCs w:val="21"/>
        </w:rPr>
        <w:t>投标人评标</w:t>
      </w:r>
      <w:r>
        <w:rPr>
          <w:rFonts w:hint="eastAsia" w:ascii="宋体" w:hAnsi="宋体" w:eastAsia="宋体" w:cs="Times New Roman"/>
          <w:bCs/>
          <w:spacing w:val="-6"/>
          <w:szCs w:val="21"/>
        </w:rPr>
        <w:t>综合得分=商务分+技术分+价格分</w:t>
      </w:r>
    </w:p>
    <w:p w14:paraId="15DF0E46">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bCs/>
          <w:spacing w:val="-6"/>
          <w:szCs w:val="21"/>
        </w:rPr>
        <w:t>商务和技术分按照评标委员会成员的独立评分结果的算术平均分计算，计算公式为：商务分</w:t>
      </w:r>
      <w:r>
        <w:rPr>
          <w:rFonts w:ascii="宋体" w:hAnsi="宋体" w:eastAsia="宋体" w:cs="Times New Roman"/>
          <w:bCs/>
          <w:spacing w:val="-6"/>
          <w:szCs w:val="21"/>
        </w:rPr>
        <w:t>、</w:t>
      </w:r>
      <w:r>
        <w:rPr>
          <w:rFonts w:hint="eastAsia" w:ascii="宋体" w:hAnsi="宋体" w:eastAsia="宋体" w:cs="Times New Roman"/>
          <w:bCs/>
          <w:spacing w:val="-6"/>
          <w:szCs w:val="21"/>
        </w:rPr>
        <w:t>技术分=评标委员会所有成员评分合计数</w:t>
      </w:r>
      <w:r>
        <w:rPr>
          <w:rFonts w:ascii="宋体" w:hAnsi="宋体" w:eastAsia="宋体" w:cs="Times New Roman"/>
          <w:bCs/>
          <w:spacing w:val="-6"/>
          <w:szCs w:val="21"/>
        </w:rPr>
        <w:t>/</w:t>
      </w:r>
      <w:r>
        <w:rPr>
          <w:rFonts w:hint="eastAsia" w:ascii="宋体" w:hAnsi="宋体" w:eastAsia="宋体" w:cs="Times New Roman"/>
          <w:bCs/>
          <w:spacing w:val="-6"/>
          <w:szCs w:val="21"/>
        </w:rPr>
        <w:t>评标委员会组成人员数</w:t>
      </w:r>
    </w:p>
    <w:p w14:paraId="15DF0E47">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二、评标标准</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7"/>
        <w:gridCol w:w="654"/>
        <w:gridCol w:w="7072"/>
      </w:tblGrid>
      <w:tr w14:paraId="15DF0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767" w:type="dxa"/>
            <w:vAlign w:val="center"/>
          </w:tcPr>
          <w:p w14:paraId="15DF0E48">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评审因素</w:t>
            </w:r>
          </w:p>
        </w:tc>
        <w:tc>
          <w:tcPr>
            <w:tcW w:w="654" w:type="dxa"/>
            <w:vAlign w:val="center"/>
          </w:tcPr>
          <w:p w14:paraId="15DF0E49">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分值</w:t>
            </w:r>
          </w:p>
        </w:tc>
        <w:tc>
          <w:tcPr>
            <w:tcW w:w="7072" w:type="dxa"/>
            <w:vAlign w:val="center"/>
          </w:tcPr>
          <w:p w14:paraId="15DF0E4A">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评分标准</w:t>
            </w:r>
          </w:p>
        </w:tc>
      </w:tr>
      <w:tr w14:paraId="15DF0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493" w:type="dxa"/>
            <w:gridSpan w:val="3"/>
            <w:vAlign w:val="center"/>
          </w:tcPr>
          <w:p w14:paraId="15DF0E4C">
            <w:pPr>
              <w:adjustRightInd w:val="0"/>
              <w:snapToGrid w:val="0"/>
              <w:spacing w:line="288" w:lineRule="auto"/>
              <w:jc w:val="left"/>
              <w:rPr>
                <w:rFonts w:hint="eastAsia" w:ascii="宋体" w:hAnsi="宋体" w:eastAsia="宋体" w:cs="宋体"/>
                <w:b/>
                <w:bCs/>
                <w:szCs w:val="21"/>
              </w:rPr>
            </w:pPr>
            <w:r>
              <w:rPr>
                <w:rFonts w:hint="eastAsia" w:ascii="宋体" w:hAnsi="宋体" w:eastAsia="宋体" w:cs="宋体"/>
                <w:b/>
                <w:bCs/>
                <w:szCs w:val="21"/>
              </w:rPr>
              <w:t>价格分（30）</w:t>
            </w:r>
          </w:p>
        </w:tc>
      </w:tr>
      <w:tr w14:paraId="15DF0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767" w:type="dxa"/>
            <w:tcBorders>
              <w:top w:val="single" w:color="auto" w:sz="4" w:space="0"/>
              <w:left w:val="single" w:color="auto" w:sz="4" w:space="0"/>
              <w:bottom w:val="single" w:color="auto" w:sz="4" w:space="0"/>
              <w:right w:val="single" w:color="auto" w:sz="4" w:space="0"/>
            </w:tcBorders>
            <w:vAlign w:val="center"/>
          </w:tcPr>
          <w:p w14:paraId="15DF0E4E">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投标报价</w:t>
            </w:r>
          </w:p>
        </w:tc>
        <w:tc>
          <w:tcPr>
            <w:tcW w:w="654" w:type="dxa"/>
            <w:tcBorders>
              <w:top w:val="single" w:color="auto" w:sz="4" w:space="0"/>
              <w:left w:val="single" w:color="auto" w:sz="4" w:space="0"/>
              <w:bottom w:val="single" w:color="auto" w:sz="4" w:space="0"/>
              <w:right w:val="single" w:color="auto" w:sz="4" w:space="0"/>
            </w:tcBorders>
            <w:vAlign w:val="center"/>
          </w:tcPr>
          <w:p w14:paraId="15DF0E4F">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30</w:t>
            </w:r>
          </w:p>
        </w:tc>
        <w:tc>
          <w:tcPr>
            <w:tcW w:w="7072" w:type="dxa"/>
            <w:tcBorders>
              <w:top w:val="single" w:color="auto" w:sz="4" w:space="0"/>
              <w:left w:val="single" w:color="auto" w:sz="4" w:space="0"/>
              <w:bottom w:val="single" w:color="auto" w:sz="4" w:space="0"/>
              <w:right w:val="single" w:color="auto" w:sz="4" w:space="0"/>
            </w:tcBorders>
            <w:vAlign w:val="center"/>
          </w:tcPr>
          <w:p w14:paraId="15DF0E50">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价格分采用低价优先法计算，即满足招标文件要求且投标价格最低的投标报价为评标基准价，其他投标人的价格分按照下列公式计算：</w:t>
            </w:r>
          </w:p>
          <w:p w14:paraId="15DF0E51">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价格分=（评标基准价/投标报价）×30%×100</w:t>
            </w:r>
          </w:p>
        </w:tc>
      </w:tr>
      <w:tr w14:paraId="15DF0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493" w:type="dxa"/>
            <w:gridSpan w:val="3"/>
            <w:vAlign w:val="center"/>
          </w:tcPr>
          <w:p w14:paraId="15DF0E53">
            <w:pPr>
              <w:adjustRightInd w:val="0"/>
              <w:snapToGrid w:val="0"/>
              <w:spacing w:line="288" w:lineRule="auto"/>
              <w:jc w:val="left"/>
              <w:rPr>
                <w:rFonts w:hint="eastAsia" w:ascii="宋体" w:hAnsi="宋体" w:eastAsia="宋体" w:cs="宋体"/>
                <w:b/>
                <w:bCs/>
                <w:szCs w:val="21"/>
              </w:rPr>
            </w:pPr>
            <w:r>
              <w:rPr>
                <w:rFonts w:hint="eastAsia" w:ascii="宋体" w:hAnsi="宋体" w:eastAsia="宋体" w:cs="宋体"/>
                <w:b/>
                <w:bCs/>
                <w:szCs w:val="21"/>
              </w:rPr>
              <w:t>商务分（5）</w:t>
            </w:r>
          </w:p>
        </w:tc>
      </w:tr>
      <w:tr w14:paraId="15DF0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767" w:type="dxa"/>
            <w:vAlign w:val="center"/>
          </w:tcPr>
          <w:p w14:paraId="15DF0E55">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业绩</w:t>
            </w:r>
          </w:p>
        </w:tc>
        <w:tc>
          <w:tcPr>
            <w:tcW w:w="654" w:type="dxa"/>
            <w:vAlign w:val="center"/>
          </w:tcPr>
          <w:p w14:paraId="15DF0E56">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3</w:t>
            </w:r>
          </w:p>
        </w:tc>
        <w:tc>
          <w:tcPr>
            <w:tcW w:w="7072" w:type="dxa"/>
            <w:vAlign w:val="center"/>
          </w:tcPr>
          <w:p w14:paraId="15DF0E57">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【客观分】</w:t>
            </w:r>
          </w:p>
          <w:p w14:paraId="15DF0E58">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投标人自2022年1月1日以来（以合同签订时间为准）同类合同业绩（以提供的合同扫描件为准）：每提供1份合同业绩得1分，最高得3分。</w:t>
            </w:r>
          </w:p>
        </w:tc>
      </w:tr>
      <w:tr w14:paraId="15DF0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767" w:type="dxa"/>
            <w:vAlign w:val="center"/>
          </w:tcPr>
          <w:p w14:paraId="15DF0E5A">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政策功能</w:t>
            </w:r>
          </w:p>
        </w:tc>
        <w:tc>
          <w:tcPr>
            <w:tcW w:w="654" w:type="dxa"/>
            <w:vAlign w:val="center"/>
          </w:tcPr>
          <w:p w14:paraId="15DF0E5B">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2</w:t>
            </w:r>
          </w:p>
        </w:tc>
        <w:tc>
          <w:tcPr>
            <w:tcW w:w="7072" w:type="dxa"/>
            <w:vAlign w:val="center"/>
          </w:tcPr>
          <w:p w14:paraId="15DF0E5C">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【客观分】</w:t>
            </w:r>
          </w:p>
          <w:p w14:paraId="15DF0E5D">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投标产品属于品目清单范围且提供国家确定的认证机构出具的有效的节能产品认证证书（扫描件）的得1分；</w:t>
            </w:r>
          </w:p>
          <w:p w14:paraId="15DF0E5E">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投标产品属于品目清单范围且提供国家确定的认证机构出具的有效的环境标志产品认证证书（扫描件）的得1分；</w:t>
            </w:r>
          </w:p>
          <w:p w14:paraId="15DF0E5F">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注：政府强制采购的节能产品的除外。</w:t>
            </w:r>
          </w:p>
        </w:tc>
      </w:tr>
      <w:tr w14:paraId="15DF0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493" w:type="dxa"/>
            <w:gridSpan w:val="3"/>
            <w:vAlign w:val="center"/>
          </w:tcPr>
          <w:p w14:paraId="15DF0E61">
            <w:pPr>
              <w:adjustRightInd w:val="0"/>
              <w:snapToGrid w:val="0"/>
              <w:spacing w:line="288" w:lineRule="auto"/>
              <w:jc w:val="left"/>
              <w:rPr>
                <w:rFonts w:hint="eastAsia" w:ascii="宋体" w:hAnsi="宋体" w:eastAsia="宋体" w:cs="宋体"/>
                <w:b/>
                <w:bCs/>
                <w:szCs w:val="21"/>
              </w:rPr>
            </w:pPr>
            <w:r>
              <w:rPr>
                <w:rFonts w:hint="eastAsia" w:ascii="宋体" w:hAnsi="宋体" w:eastAsia="宋体" w:cs="宋体"/>
                <w:b/>
                <w:bCs/>
                <w:szCs w:val="21"/>
              </w:rPr>
              <w:t>技术分（65）</w:t>
            </w:r>
          </w:p>
        </w:tc>
      </w:tr>
      <w:tr w14:paraId="15DF0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767" w:type="dxa"/>
            <w:vAlign w:val="center"/>
          </w:tcPr>
          <w:p w14:paraId="15DF0E63">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技术响应程度</w:t>
            </w:r>
          </w:p>
        </w:tc>
        <w:tc>
          <w:tcPr>
            <w:tcW w:w="654" w:type="dxa"/>
            <w:vAlign w:val="center"/>
          </w:tcPr>
          <w:p w14:paraId="15DF0E64">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24</w:t>
            </w:r>
          </w:p>
        </w:tc>
        <w:tc>
          <w:tcPr>
            <w:tcW w:w="7072" w:type="dxa"/>
            <w:vAlign w:val="center"/>
          </w:tcPr>
          <w:p w14:paraId="15DF0E65">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【客观分】</w:t>
            </w:r>
          </w:p>
          <w:p w14:paraId="15DF0E66">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不符合（负偏离）技术要求中标注“▲”条款（不可偏离）的投标无效；</w:t>
            </w:r>
          </w:p>
          <w:p w14:paraId="15DF0E67">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满足招标文件明确的全部技术条款要求的该项得满分；</w:t>
            </w:r>
          </w:p>
          <w:p w14:paraId="15DF0E68">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技术条款低于技术要求（负偏离）的，标注“★”的每项扣3分，未标注“★”的每项扣2分；</w:t>
            </w:r>
          </w:p>
          <w:p w14:paraId="15DF0E69">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负偏离扣分24分及以上的，视为采购人不能接受的附加条件。</w:t>
            </w:r>
          </w:p>
        </w:tc>
      </w:tr>
      <w:tr w14:paraId="15DF0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767" w:type="dxa"/>
            <w:tcBorders>
              <w:top w:val="single" w:color="auto" w:sz="4" w:space="0"/>
              <w:left w:val="single" w:color="auto" w:sz="4" w:space="0"/>
              <w:bottom w:val="single" w:color="auto" w:sz="4" w:space="0"/>
              <w:right w:val="single" w:color="auto" w:sz="4" w:space="0"/>
            </w:tcBorders>
            <w:vAlign w:val="center"/>
          </w:tcPr>
          <w:p w14:paraId="15DF0E6B">
            <w:pPr>
              <w:adjustRightInd w:val="0"/>
              <w:snapToGrid w:val="0"/>
              <w:spacing w:line="288" w:lineRule="auto"/>
              <w:jc w:val="center"/>
              <w:rPr>
                <w:rFonts w:hint="eastAsia" w:ascii="宋体" w:hAnsi="宋体" w:eastAsia="宋体" w:cs="宋体"/>
                <w:b/>
                <w:bCs/>
                <w:kern w:val="0"/>
                <w:szCs w:val="21"/>
              </w:rPr>
            </w:pPr>
            <w:r>
              <w:rPr>
                <w:rFonts w:hint="eastAsia" w:ascii="宋体" w:hAnsi="宋体" w:eastAsia="宋体" w:cs="宋体"/>
                <w:b/>
                <w:bCs/>
                <w:szCs w:val="21"/>
              </w:rPr>
              <w:t>产品功能及配置</w:t>
            </w:r>
          </w:p>
        </w:tc>
        <w:tc>
          <w:tcPr>
            <w:tcW w:w="654" w:type="dxa"/>
            <w:tcBorders>
              <w:top w:val="single" w:color="auto" w:sz="4" w:space="0"/>
              <w:left w:val="single" w:color="auto" w:sz="4" w:space="0"/>
              <w:bottom w:val="single" w:color="auto" w:sz="4" w:space="0"/>
              <w:right w:val="single" w:color="auto" w:sz="4" w:space="0"/>
            </w:tcBorders>
            <w:vAlign w:val="center"/>
          </w:tcPr>
          <w:p w14:paraId="15DF0E6C">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5</w:t>
            </w:r>
          </w:p>
        </w:tc>
        <w:tc>
          <w:tcPr>
            <w:tcW w:w="7072" w:type="dxa"/>
            <w:tcBorders>
              <w:top w:val="single" w:color="auto" w:sz="4" w:space="0"/>
              <w:left w:val="single" w:color="auto" w:sz="4" w:space="0"/>
              <w:bottom w:val="single" w:color="auto" w:sz="4" w:space="0"/>
              <w:right w:val="single" w:color="auto" w:sz="4" w:space="0"/>
            </w:tcBorders>
          </w:tcPr>
          <w:p w14:paraId="15DF0E6D">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【主观分】产品功能配置的先进性、完整性和适用性（评分范围：5,4,3,2,1,0）。</w:t>
            </w:r>
          </w:p>
        </w:tc>
      </w:tr>
      <w:tr w14:paraId="15DF0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767" w:type="dxa"/>
            <w:tcBorders>
              <w:top w:val="single" w:color="auto" w:sz="4" w:space="0"/>
              <w:left w:val="single" w:color="auto" w:sz="4" w:space="0"/>
              <w:bottom w:val="single" w:color="auto" w:sz="4" w:space="0"/>
              <w:right w:val="single" w:color="auto" w:sz="4" w:space="0"/>
            </w:tcBorders>
            <w:vAlign w:val="center"/>
          </w:tcPr>
          <w:p w14:paraId="15DF0E6F">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szCs w:val="21"/>
                <w:lang w:bidi="ar"/>
              </w:rPr>
              <w:t>项目实施方案</w:t>
            </w:r>
          </w:p>
        </w:tc>
        <w:tc>
          <w:tcPr>
            <w:tcW w:w="654" w:type="dxa"/>
            <w:tcBorders>
              <w:top w:val="single" w:color="auto" w:sz="4" w:space="0"/>
              <w:left w:val="single" w:color="auto" w:sz="4" w:space="0"/>
              <w:bottom w:val="single" w:color="auto" w:sz="4" w:space="0"/>
              <w:right w:val="single" w:color="auto" w:sz="4" w:space="0"/>
            </w:tcBorders>
            <w:vAlign w:val="center"/>
          </w:tcPr>
          <w:p w14:paraId="15DF0E70">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15DF0E71">
            <w:pPr>
              <w:adjustRightInd w:val="0"/>
              <w:snapToGrid w:val="0"/>
              <w:spacing w:line="288" w:lineRule="auto"/>
              <w:rPr>
                <w:rFonts w:hint="eastAsia" w:ascii="宋体" w:hAnsi="宋体" w:eastAsia="宋体" w:cs="宋体"/>
                <w:szCs w:val="21"/>
              </w:rPr>
            </w:pPr>
            <w:r>
              <w:rPr>
                <w:rFonts w:hint="eastAsia" w:ascii="宋体" w:hAnsi="宋体" w:eastAsia="宋体" w:cs="宋体"/>
                <w:szCs w:val="21"/>
                <w:lang w:bidi="ar"/>
              </w:rPr>
              <w:t>【主观分】项目实施计划详细完整程度，符合项目进度要求，投入人员数量和综合素质（评分范围：5,4,3,2,1,0）。</w:t>
            </w:r>
          </w:p>
        </w:tc>
      </w:tr>
      <w:tr w14:paraId="15DF0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767" w:type="dxa"/>
            <w:tcBorders>
              <w:top w:val="single" w:color="auto" w:sz="4" w:space="0"/>
              <w:left w:val="single" w:color="auto" w:sz="4" w:space="0"/>
              <w:bottom w:val="single" w:color="auto" w:sz="4" w:space="0"/>
              <w:right w:val="single" w:color="auto" w:sz="4" w:space="0"/>
            </w:tcBorders>
            <w:vAlign w:val="center"/>
          </w:tcPr>
          <w:p w14:paraId="15DF0E73">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szCs w:val="21"/>
                <w:lang w:bidi="ar"/>
              </w:rPr>
              <w:t>安装调试</w:t>
            </w:r>
          </w:p>
        </w:tc>
        <w:tc>
          <w:tcPr>
            <w:tcW w:w="654" w:type="dxa"/>
            <w:tcBorders>
              <w:top w:val="single" w:color="auto" w:sz="4" w:space="0"/>
              <w:left w:val="single" w:color="auto" w:sz="4" w:space="0"/>
              <w:bottom w:val="single" w:color="auto" w:sz="4" w:space="0"/>
              <w:right w:val="single" w:color="auto" w:sz="4" w:space="0"/>
            </w:tcBorders>
            <w:vAlign w:val="center"/>
          </w:tcPr>
          <w:p w14:paraId="15DF0E74">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lang w:bidi="ar"/>
              </w:rPr>
              <w:t>4</w:t>
            </w:r>
          </w:p>
        </w:tc>
        <w:tc>
          <w:tcPr>
            <w:tcW w:w="7072" w:type="dxa"/>
            <w:tcBorders>
              <w:top w:val="single" w:color="auto" w:sz="4" w:space="0"/>
              <w:left w:val="single" w:color="auto" w:sz="4" w:space="0"/>
              <w:bottom w:val="single" w:color="auto" w:sz="4" w:space="0"/>
              <w:right w:val="single" w:color="auto" w:sz="4" w:space="0"/>
            </w:tcBorders>
            <w:vAlign w:val="center"/>
          </w:tcPr>
          <w:p w14:paraId="15DF0E75">
            <w:pPr>
              <w:adjustRightInd w:val="0"/>
              <w:snapToGrid w:val="0"/>
              <w:spacing w:line="288" w:lineRule="auto"/>
              <w:rPr>
                <w:rFonts w:hint="eastAsia" w:ascii="宋体" w:hAnsi="宋体" w:eastAsia="宋体" w:cs="宋体"/>
                <w:szCs w:val="21"/>
              </w:rPr>
            </w:pPr>
            <w:r>
              <w:rPr>
                <w:rFonts w:hint="eastAsia" w:ascii="宋体" w:hAnsi="宋体" w:eastAsia="宋体" w:cs="宋体"/>
                <w:szCs w:val="21"/>
                <w:lang w:bidi="ar"/>
              </w:rPr>
              <w:t>【主观分】安装、调试方法或方案的详细完整度、合理可行性（评分范围：4,3,2,1,0）。</w:t>
            </w:r>
          </w:p>
        </w:tc>
      </w:tr>
      <w:tr w14:paraId="15DF0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767" w:type="dxa"/>
            <w:tcBorders>
              <w:top w:val="single" w:color="auto" w:sz="4" w:space="0"/>
              <w:left w:val="single" w:color="auto" w:sz="4" w:space="0"/>
              <w:bottom w:val="single" w:color="auto" w:sz="4" w:space="0"/>
              <w:right w:val="single" w:color="auto" w:sz="4" w:space="0"/>
            </w:tcBorders>
            <w:vAlign w:val="center"/>
          </w:tcPr>
          <w:p w14:paraId="15DF0E77">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szCs w:val="21"/>
                <w:lang w:bidi="ar"/>
              </w:rPr>
              <w:t>售后服务</w:t>
            </w:r>
          </w:p>
        </w:tc>
        <w:tc>
          <w:tcPr>
            <w:tcW w:w="654" w:type="dxa"/>
            <w:tcBorders>
              <w:top w:val="single" w:color="auto" w:sz="4" w:space="0"/>
              <w:left w:val="single" w:color="auto" w:sz="4" w:space="0"/>
              <w:bottom w:val="single" w:color="auto" w:sz="4" w:space="0"/>
              <w:right w:val="single" w:color="auto" w:sz="4" w:space="0"/>
            </w:tcBorders>
            <w:vAlign w:val="center"/>
          </w:tcPr>
          <w:p w14:paraId="15DF0E78">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lang w:bidi="ar"/>
              </w:rPr>
              <w:t>3</w:t>
            </w:r>
          </w:p>
        </w:tc>
        <w:tc>
          <w:tcPr>
            <w:tcW w:w="7072" w:type="dxa"/>
            <w:tcBorders>
              <w:top w:val="single" w:color="auto" w:sz="4" w:space="0"/>
              <w:left w:val="single" w:color="auto" w:sz="4" w:space="0"/>
              <w:bottom w:val="single" w:color="auto" w:sz="4" w:space="0"/>
              <w:right w:val="single" w:color="auto" w:sz="4" w:space="0"/>
            </w:tcBorders>
            <w:vAlign w:val="center"/>
          </w:tcPr>
          <w:p w14:paraId="15DF0E79">
            <w:pPr>
              <w:adjustRightInd w:val="0"/>
              <w:snapToGrid w:val="0"/>
              <w:spacing w:line="288" w:lineRule="auto"/>
              <w:rPr>
                <w:rFonts w:hint="eastAsia" w:ascii="宋体" w:hAnsi="宋体" w:eastAsia="宋体" w:cs="宋体"/>
                <w:szCs w:val="21"/>
              </w:rPr>
            </w:pPr>
            <w:r>
              <w:rPr>
                <w:rFonts w:hint="eastAsia" w:ascii="宋体" w:hAnsi="宋体" w:eastAsia="宋体" w:cs="宋体"/>
                <w:szCs w:val="21"/>
                <w:lang w:bidi="ar"/>
              </w:rPr>
              <w:t>【主观分】售后服务方案、售后服务承诺的可行性及服务承诺落实的保障措施（评分范围： 3,2,1,0）。</w:t>
            </w:r>
          </w:p>
        </w:tc>
      </w:tr>
      <w:tr w14:paraId="15DF0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767" w:type="dxa"/>
            <w:tcBorders>
              <w:top w:val="single" w:color="auto" w:sz="4" w:space="0"/>
              <w:left w:val="single" w:color="auto" w:sz="4" w:space="0"/>
              <w:bottom w:val="single" w:color="auto" w:sz="4" w:space="0"/>
              <w:right w:val="single" w:color="auto" w:sz="4" w:space="0"/>
            </w:tcBorders>
            <w:vAlign w:val="center"/>
          </w:tcPr>
          <w:p w14:paraId="15DF0E7B">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szCs w:val="21"/>
                <w:lang w:bidi="ar"/>
              </w:rPr>
              <w:t>技术服务、培训</w:t>
            </w:r>
          </w:p>
        </w:tc>
        <w:tc>
          <w:tcPr>
            <w:tcW w:w="654" w:type="dxa"/>
            <w:tcBorders>
              <w:top w:val="single" w:color="auto" w:sz="4" w:space="0"/>
              <w:left w:val="single" w:color="auto" w:sz="4" w:space="0"/>
              <w:bottom w:val="single" w:color="auto" w:sz="4" w:space="0"/>
              <w:right w:val="single" w:color="auto" w:sz="4" w:space="0"/>
            </w:tcBorders>
            <w:vAlign w:val="center"/>
          </w:tcPr>
          <w:p w14:paraId="15DF0E7C">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lang w:bidi="ar"/>
              </w:rPr>
              <w:t>3</w:t>
            </w:r>
          </w:p>
        </w:tc>
        <w:tc>
          <w:tcPr>
            <w:tcW w:w="7072" w:type="dxa"/>
            <w:tcBorders>
              <w:top w:val="single" w:color="auto" w:sz="4" w:space="0"/>
              <w:left w:val="single" w:color="auto" w:sz="4" w:space="0"/>
              <w:bottom w:val="single" w:color="auto" w:sz="4" w:space="0"/>
              <w:right w:val="single" w:color="auto" w:sz="4" w:space="0"/>
            </w:tcBorders>
            <w:vAlign w:val="center"/>
          </w:tcPr>
          <w:p w14:paraId="15DF0E7D">
            <w:pPr>
              <w:adjustRightInd w:val="0"/>
              <w:snapToGrid w:val="0"/>
              <w:spacing w:line="288" w:lineRule="auto"/>
              <w:rPr>
                <w:rFonts w:hint="eastAsia" w:ascii="宋体" w:hAnsi="宋体" w:eastAsia="宋体" w:cs="宋体"/>
                <w:szCs w:val="21"/>
              </w:rPr>
            </w:pPr>
            <w:r>
              <w:rPr>
                <w:rFonts w:hint="eastAsia" w:ascii="宋体" w:hAnsi="宋体" w:eastAsia="宋体" w:cs="宋体"/>
                <w:szCs w:val="21"/>
                <w:lang w:bidi="ar"/>
              </w:rPr>
              <w:t>【主观分】服务力量和服务保障，培训计划内容、培训范围，实施及针对性（评分范围：3,2,1,0）。</w:t>
            </w:r>
          </w:p>
        </w:tc>
      </w:tr>
      <w:tr w14:paraId="15DF0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767" w:type="dxa"/>
            <w:tcBorders>
              <w:top w:val="single" w:color="auto" w:sz="4" w:space="0"/>
              <w:left w:val="single" w:color="auto" w:sz="4" w:space="0"/>
              <w:bottom w:val="single" w:color="auto" w:sz="4" w:space="0"/>
              <w:right w:val="single" w:color="auto" w:sz="4" w:space="0"/>
            </w:tcBorders>
            <w:vAlign w:val="center"/>
          </w:tcPr>
          <w:p w14:paraId="15DF0E7F">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szCs w:val="21"/>
                <w:lang w:bidi="ar"/>
              </w:rPr>
              <w:t>配件耗材</w:t>
            </w:r>
          </w:p>
        </w:tc>
        <w:tc>
          <w:tcPr>
            <w:tcW w:w="654" w:type="dxa"/>
            <w:tcBorders>
              <w:top w:val="single" w:color="auto" w:sz="4" w:space="0"/>
              <w:left w:val="single" w:color="auto" w:sz="4" w:space="0"/>
              <w:bottom w:val="single" w:color="auto" w:sz="4" w:space="0"/>
              <w:right w:val="single" w:color="auto" w:sz="4" w:space="0"/>
            </w:tcBorders>
            <w:vAlign w:val="center"/>
          </w:tcPr>
          <w:p w14:paraId="15DF0E80">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lang w:bidi="ar"/>
              </w:rPr>
              <w:t>3</w:t>
            </w:r>
          </w:p>
        </w:tc>
        <w:tc>
          <w:tcPr>
            <w:tcW w:w="7072" w:type="dxa"/>
            <w:tcBorders>
              <w:top w:val="single" w:color="auto" w:sz="4" w:space="0"/>
              <w:left w:val="single" w:color="auto" w:sz="4" w:space="0"/>
              <w:bottom w:val="single" w:color="auto" w:sz="4" w:space="0"/>
              <w:right w:val="single" w:color="auto" w:sz="4" w:space="0"/>
            </w:tcBorders>
            <w:vAlign w:val="center"/>
          </w:tcPr>
          <w:p w14:paraId="15DF0E81">
            <w:pPr>
              <w:adjustRightInd w:val="0"/>
              <w:snapToGrid w:val="0"/>
              <w:spacing w:line="288" w:lineRule="auto"/>
              <w:rPr>
                <w:rFonts w:hint="eastAsia" w:ascii="宋体" w:hAnsi="宋体" w:eastAsia="宋体" w:cs="宋体"/>
                <w:szCs w:val="21"/>
              </w:rPr>
            </w:pPr>
            <w:r>
              <w:rPr>
                <w:rFonts w:hint="eastAsia" w:ascii="宋体" w:hAnsi="宋体" w:eastAsia="宋体" w:cs="宋体"/>
                <w:szCs w:val="21"/>
                <w:lang w:bidi="ar"/>
              </w:rPr>
              <w:t>【主观分】质保期满后配件、附件、备品备件的准备、收费标准和保障措施（评分范围：3,2,1,0）。</w:t>
            </w:r>
          </w:p>
        </w:tc>
      </w:tr>
      <w:tr w14:paraId="15DF0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767" w:type="dxa"/>
            <w:tcBorders>
              <w:top w:val="single" w:color="auto" w:sz="4" w:space="0"/>
              <w:left w:val="single" w:color="auto" w:sz="4" w:space="0"/>
              <w:bottom w:val="single" w:color="auto" w:sz="4" w:space="0"/>
              <w:right w:val="single" w:color="auto" w:sz="4" w:space="0"/>
            </w:tcBorders>
            <w:vAlign w:val="center"/>
          </w:tcPr>
          <w:p w14:paraId="15DF0E83">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服务响应效率</w:t>
            </w:r>
          </w:p>
        </w:tc>
        <w:tc>
          <w:tcPr>
            <w:tcW w:w="654" w:type="dxa"/>
            <w:tcBorders>
              <w:top w:val="single" w:color="auto" w:sz="4" w:space="0"/>
              <w:left w:val="single" w:color="auto" w:sz="4" w:space="0"/>
              <w:bottom w:val="single" w:color="auto" w:sz="4" w:space="0"/>
              <w:right w:val="single" w:color="auto" w:sz="4" w:space="0"/>
            </w:tcBorders>
            <w:vAlign w:val="center"/>
          </w:tcPr>
          <w:p w14:paraId="15DF0E84">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lang w:bidi="ar"/>
              </w:rPr>
              <w:t>3</w:t>
            </w:r>
          </w:p>
        </w:tc>
        <w:tc>
          <w:tcPr>
            <w:tcW w:w="7072" w:type="dxa"/>
            <w:tcBorders>
              <w:top w:val="single" w:color="auto" w:sz="4" w:space="0"/>
              <w:left w:val="single" w:color="auto" w:sz="4" w:space="0"/>
              <w:bottom w:val="single" w:color="auto" w:sz="4" w:space="0"/>
              <w:right w:val="single" w:color="auto" w:sz="4" w:space="0"/>
            </w:tcBorders>
            <w:vAlign w:val="center"/>
          </w:tcPr>
          <w:p w14:paraId="15DF0E85">
            <w:pPr>
              <w:adjustRightInd w:val="0"/>
              <w:snapToGrid w:val="0"/>
              <w:spacing w:line="288" w:lineRule="auto"/>
              <w:rPr>
                <w:rFonts w:hint="eastAsia" w:ascii="宋体" w:hAnsi="宋体" w:eastAsia="宋体" w:cs="宋体"/>
                <w:szCs w:val="21"/>
              </w:rPr>
            </w:pPr>
            <w:r>
              <w:rPr>
                <w:rFonts w:hint="eastAsia" w:ascii="宋体" w:hAnsi="宋体" w:eastAsia="宋体" w:cs="宋体"/>
                <w:szCs w:val="21"/>
                <w:lang w:bidi="ar"/>
              </w:rPr>
              <w:t>【主观分】投标人服务响应效率保障方案，包括服务响应效率承诺、保障服务质量的措施（评分范围：3,2,1,0）。</w:t>
            </w:r>
          </w:p>
        </w:tc>
      </w:tr>
      <w:tr w14:paraId="15DF0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767" w:type="dxa"/>
            <w:tcBorders>
              <w:top w:val="single" w:color="auto" w:sz="4" w:space="0"/>
              <w:left w:val="single" w:color="auto" w:sz="4" w:space="0"/>
              <w:bottom w:val="single" w:color="auto" w:sz="4" w:space="0"/>
              <w:right w:val="single" w:color="auto" w:sz="4" w:space="0"/>
            </w:tcBorders>
            <w:vAlign w:val="center"/>
          </w:tcPr>
          <w:p w14:paraId="15DF0E87">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lang w:bidi="ar"/>
              </w:rPr>
              <w:t>演示</w:t>
            </w:r>
          </w:p>
        </w:tc>
        <w:tc>
          <w:tcPr>
            <w:tcW w:w="654" w:type="dxa"/>
            <w:tcBorders>
              <w:top w:val="single" w:color="auto" w:sz="4" w:space="0"/>
              <w:left w:val="single" w:color="auto" w:sz="4" w:space="0"/>
              <w:bottom w:val="single" w:color="auto" w:sz="4" w:space="0"/>
              <w:right w:val="single" w:color="auto" w:sz="4" w:space="0"/>
            </w:tcBorders>
            <w:vAlign w:val="center"/>
          </w:tcPr>
          <w:p w14:paraId="15DF0E88">
            <w:pPr>
              <w:adjustRightInd w:val="0"/>
              <w:snapToGrid w:val="0"/>
              <w:spacing w:line="288" w:lineRule="auto"/>
              <w:jc w:val="center"/>
              <w:rPr>
                <w:rFonts w:hint="eastAsia" w:ascii="宋体" w:hAnsi="宋体" w:eastAsia="宋体" w:cs="宋体"/>
                <w:b/>
                <w:bCs/>
                <w:color w:val="EE0000"/>
                <w:szCs w:val="21"/>
                <w:lang w:bidi="ar"/>
              </w:rPr>
            </w:pPr>
            <w:r>
              <w:rPr>
                <w:rFonts w:hint="eastAsia" w:ascii="宋体" w:hAnsi="宋体" w:eastAsia="宋体" w:cs="宋体"/>
                <w:b/>
                <w:bCs/>
                <w:szCs w:val="21"/>
                <w:lang w:bidi="ar"/>
              </w:rPr>
              <w:t>15</w:t>
            </w:r>
          </w:p>
        </w:tc>
        <w:tc>
          <w:tcPr>
            <w:tcW w:w="7072" w:type="dxa"/>
            <w:tcBorders>
              <w:top w:val="single" w:color="auto" w:sz="4" w:space="0"/>
              <w:left w:val="single" w:color="auto" w:sz="4" w:space="0"/>
              <w:bottom w:val="single" w:color="auto" w:sz="4" w:space="0"/>
              <w:right w:val="single" w:color="auto" w:sz="4" w:space="0"/>
            </w:tcBorders>
            <w:vAlign w:val="center"/>
          </w:tcPr>
          <w:p w14:paraId="15DF0E89">
            <w:pPr>
              <w:adjustRightInd w:val="0"/>
              <w:snapToGrid w:val="0"/>
              <w:spacing w:line="288" w:lineRule="auto"/>
              <w:rPr>
                <w:rFonts w:hint="eastAsia" w:ascii="宋体" w:hAnsi="宋体" w:eastAsia="宋体" w:cs="宋体"/>
                <w:szCs w:val="21"/>
                <w:lang w:bidi="ar"/>
              </w:rPr>
            </w:pPr>
            <w:r>
              <w:rPr>
                <w:rFonts w:hint="eastAsia" w:ascii="宋体" w:hAnsi="宋体" w:eastAsia="宋体" w:cs="宋体"/>
                <w:szCs w:val="21"/>
                <w:lang w:bidi="ar"/>
              </w:rPr>
              <w:t>【主观分】投标人根据第二章 采购需求“4.演示”的要求提供演示，根据演示内容和演示要求的契合程度（每项演示评分范围：3,2,1,0）。</w:t>
            </w:r>
          </w:p>
        </w:tc>
      </w:tr>
    </w:tbl>
    <w:p w14:paraId="15DF0E8B">
      <w:pPr>
        <w:adjustRightInd w:val="0"/>
        <w:snapToGrid w:val="0"/>
        <w:spacing w:line="288" w:lineRule="auto"/>
        <w:jc w:val="left"/>
        <w:rPr>
          <w:rFonts w:hint="eastAsia" w:ascii="宋体" w:hAnsi="宋体" w:eastAsia="宋体" w:cs="Times New Roman"/>
          <w:b/>
          <w:szCs w:val="21"/>
        </w:rPr>
      </w:pPr>
      <w:r>
        <w:rPr>
          <w:rFonts w:hint="eastAsia" w:ascii="宋体" w:hAnsi="宋体" w:eastAsia="宋体" w:cs="Times New Roman"/>
          <w:b/>
          <w:szCs w:val="21"/>
        </w:rPr>
        <w:t>说明</w:t>
      </w:r>
      <w:r>
        <w:rPr>
          <w:rFonts w:ascii="宋体" w:hAnsi="宋体" w:eastAsia="宋体" w:cs="Times New Roman"/>
          <w:b/>
          <w:szCs w:val="21"/>
        </w:rPr>
        <w:t>：</w:t>
      </w:r>
    </w:p>
    <w:p w14:paraId="15DF0E8C">
      <w:pPr>
        <w:adjustRightInd w:val="0"/>
        <w:snapToGrid w:val="0"/>
        <w:spacing w:line="288" w:lineRule="auto"/>
        <w:jc w:val="left"/>
        <w:rPr>
          <w:rFonts w:hint="eastAsia" w:ascii="宋体" w:hAnsi="宋体" w:eastAsia="宋体" w:cs="Times New Roman"/>
          <w:b/>
          <w:szCs w:val="21"/>
        </w:rPr>
      </w:pPr>
      <w:r>
        <w:rPr>
          <w:rFonts w:ascii="宋体" w:hAnsi="宋体" w:eastAsia="宋体" w:cs="Times New Roman"/>
          <w:b/>
          <w:szCs w:val="21"/>
        </w:rPr>
        <w:t>1.</w:t>
      </w:r>
      <w:r>
        <w:rPr>
          <w:rFonts w:hint="eastAsia" w:ascii="宋体" w:hAnsi="宋体" w:eastAsia="宋体" w:cs="Times New Roman"/>
          <w:b/>
          <w:szCs w:val="21"/>
        </w:rPr>
        <w:t>根据《政府采购促进中小企业发展管理办法》（财库〔2020〕46号）、《关于进一步加大政府采购支持中小企业力度的通知》（财库〔</w:t>
      </w:r>
      <w:r>
        <w:rPr>
          <w:rFonts w:ascii="宋体" w:hAnsi="宋体" w:eastAsia="宋体" w:cs="Times New Roman"/>
          <w:b/>
          <w:szCs w:val="21"/>
        </w:rPr>
        <w:t>2022〕19号）</w:t>
      </w:r>
      <w:r>
        <w:rPr>
          <w:rFonts w:hint="eastAsia" w:ascii="宋体" w:hAnsi="宋体" w:eastAsia="宋体" w:cs="Times New Roman"/>
          <w:b/>
          <w:szCs w:val="21"/>
        </w:rPr>
        <w:t>的规定：对符合规定的小微企业报价给予10%的扣除后计算价格得分。</w:t>
      </w:r>
    </w:p>
    <w:p w14:paraId="15DF0E8D">
      <w:pPr>
        <w:adjustRightInd w:val="0"/>
        <w:snapToGrid w:val="0"/>
        <w:spacing w:line="288" w:lineRule="auto"/>
        <w:ind w:firstLine="396" w:firstLineChars="200"/>
        <w:jc w:val="left"/>
        <w:rPr>
          <w:rFonts w:hint="eastAsia" w:ascii="宋体" w:hAnsi="宋体" w:eastAsia="宋体" w:cs="Times New Roman"/>
          <w:spacing w:val="-6"/>
          <w:szCs w:val="21"/>
          <w:u w:val="single"/>
        </w:rPr>
      </w:pPr>
      <w:r>
        <w:rPr>
          <w:rFonts w:hint="eastAsia" w:ascii="宋体" w:hAnsi="宋体" w:eastAsia="宋体" w:cs="Times New Roman"/>
          <w:spacing w:val="-6"/>
          <w:szCs w:val="21"/>
          <w:u w:val="single"/>
        </w:rPr>
        <w:t>注：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14:paraId="15DF0E8E">
      <w:pPr>
        <w:adjustRightInd w:val="0"/>
        <w:snapToGrid w:val="0"/>
        <w:spacing w:line="288" w:lineRule="auto"/>
        <w:rPr>
          <w:rFonts w:hint="eastAsia" w:ascii="宋体" w:hAnsi="宋体" w:eastAsia="宋体" w:cs="Times New Roman"/>
          <w:b/>
          <w:bCs/>
          <w:spacing w:val="-6"/>
          <w:szCs w:val="21"/>
        </w:rPr>
      </w:pPr>
      <w:bookmarkStart w:id="54" w:name="_Hlk81817373"/>
      <w:bookmarkStart w:id="55" w:name="_Hlk81817387"/>
      <w:r>
        <w:rPr>
          <w:rFonts w:hint="eastAsia" w:ascii="宋体" w:hAnsi="宋体" w:eastAsia="宋体" w:cs="Times New Roman"/>
          <w:b/>
          <w:bCs/>
          <w:spacing w:val="-6"/>
          <w:szCs w:val="21"/>
        </w:rPr>
        <w:t>2</w:t>
      </w:r>
      <w:r>
        <w:rPr>
          <w:rFonts w:ascii="宋体" w:hAnsi="宋体" w:eastAsia="宋体" w:cs="Times New Roman"/>
          <w:b/>
          <w:bCs/>
          <w:spacing w:val="-6"/>
          <w:szCs w:val="21"/>
        </w:rPr>
        <w:t>.</w:t>
      </w:r>
      <w:r>
        <w:rPr>
          <w:rFonts w:hint="eastAsia" w:ascii="宋体" w:hAnsi="宋体" w:eastAsia="宋体" w:cs="Times New Roman"/>
          <w:b/>
          <w:bCs/>
          <w:spacing w:val="-6"/>
          <w:szCs w:val="21"/>
        </w:rPr>
        <w:t>根据《</w:t>
      </w:r>
      <w:r>
        <w:rPr>
          <w:rFonts w:ascii="宋体" w:hAnsi="宋体" w:eastAsia="宋体" w:cs="Times New Roman"/>
          <w:b/>
          <w:bCs/>
          <w:spacing w:val="-6"/>
          <w:szCs w:val="21"/>
        </w:rPr>
        <w:t>关于政府采购支持监狱企业发展有关问题的通知</w:t>
      </w:r>
      <w:r>
        <w:rPr>
          <w:rFonts w:hint="eastAsia" w:ascii="宋体" w:hAnsi="宋体" w:eastAsia="宋体" w:cs="Times New Roman"/>
          <w:b/>
          <w:bCs/>
          <w:spacing w:val="-6"/>
          <w:szCs w:val="21"/>
        </w:rPr>
        <w:t>》（</w:t>
      </w:r>
      <w:r>
        <w:rPr>
          <w:rFonts w:ascii="宋体" w:hAnsi="宋体" w:eastAsia="宋体" w:cs="Times New Roman"/>
          <w:b/>
          <w:bCs/>
          <w:spacing w:val="-6"/>
          <w:szCs w:val="21"/>
        </w:rPr>
        <w:t>财库[2014]68号</w:t>
      </w:r>
      <w:r>
        <w:rPr>
          <w:rFonts w:hint="eastAsia" w:ascii="宋体" w:hAnsi="宋体" w:eastAsia="宋体" w:cs="Times New Roman"/>
          <w:b/>
          <w:bCs/>
          <w:spacing w:val="-6"/>
          <w:szCs w:val="21"/>
        </w:rPr>
        <w:t>）的规定，</w:t>
      </w:r>
      <w:r>
        <w:rPr>
          <w:rFonts w:hint="eastAsia" w:ascii="宋体" w:hAnsi="宋体" w:eastAsia="宋体" w:cs="宋体"/>
          <w:kern w:val="0"/>
          <w:szCs w:val="21"/>
        </w:rPr>
        <w:t>监狱企业参加政府采购活动时，提供由省级以上监狱管理局、戒毒管理局（含新疆生产建设兵团）出具的属于监狱企业的证明文件的，在政府采购活动中，监狱企业视同小型、微型企业，享受预留份额、评审中价格扣除等政府采购促进中小企业发展的政府采购政策。</w:t>
      </w:r>
    </w:p>
    <w:bookmarkEnd w:id="54"/>
    <w:p w14:paraId="15DF0E8F">
      <w:pPr>
        <w:adjustRightInd w:val="0"/>
        <w:snapToGrid w:val="0"/>
        <w:spacing w:line="288" w:lineRule="auto"/>
        <w:rPr>
          <w:rFonts w:hint="eastAsia" w:ascii="宋体" w:hAnsi="宋体" w:eastAsia="宋体" w:cs="Times New Roman"/>
          <w:spacing w:val="-6"/>
          <w:szCs w:val="21"/>
        </w:rPr>
      </w:pPr>
      <w:r>
        <w:rPr>
          <w:rFonts w:hint="eastAsia" w:ascii="宋体" w:hAnsi="宋体" w:eastAsia="宋体" w:cs="Times New Roman"/>
          <w:b/>
          <w:bCs/>
          <w:spacing w:val="-6"/>
          <w:szCs w:val="21"/>
        </w:rPr>
        <w:t>3</w:t>
      </w:r>
      <w:r>
        <w:rPr>
          <w:rFonts w:ascii="宋体" w:hAnsi="宋体" w:eastAsia="宋体" w:cs="Times New Roman"/>
          <w:b/>
          <w:bCs/>
          <w:spacing w:val="-6"/>
          <w:szCs w:val="21"/>
        </w:rPr>
        <w:t>.</w:t>
      </w:r>
      <w:r>
        <w:rPr>
          <w:rFonts w:hint="eastAsia" w:ascii="宋体" w:hAnsi="宋体" w:eastAsia="宋体" w:cs="Times New Roman"/>
          <w:b/>
          <w:bCs/>
          <w:spacing w:val="-6"/>
          <w:szCs w:val="21"/>
        </w:rPr>
        <w:t>根据《关于促进残疾人就业政府采购政策的通知》（财库[2017]141号）的规定，</w:t>
      </w:r>
      <w:r>
        <w:rPr>
          <w:rFonts w:hint="eastAsia" w:ascii="宋体" w:hAnsi="宋体" w:eastAsia="宋体"/>
          <w:szCs w:val="21"/>
        </w:rPr>
        <w:t>符合条件的残疾人福利性单位在参加政府采购活动时，提供财库</w:t>
      </w:r>
      <w:r>
        <w:rPr>
          <w:rFonts w:ascii="宋体" w:hAnsi="宋体" w:eastAsia="宋体"/>
          <w:szCs w:val="21"/>
        </w:rPr>
        <w:t>[2017]141号</w:t>
      </w:r>
      <w:r>
        <w:rPr>
          <w:rFonts w:hint="eastAsia" w:ascii="宋体" w:hAnsi="宋体" w:eastAsia="宋体"/>
          <w:szCs w:val="21"/>
        </w:rPr>
        <w:t>文件规定的《残疾人福利性单位声明函》的，在政府采购活动中，残疾人福利性单位视同小型、微型企业，享受预留份额、评审中价格扣除等促进中小企业发展的政府采购政策。</w:t>
      </w:r>
      <w:r>
        <w:rPr>
          <w:rFonts w:ascii="宋体" w:hAnsi="宋体" w:eastAsia="宋体" w:cs="Times New Roman"/>
          <w:spacing w:val="-6"/>
          <w:szCs w:val="21"/>
        </w:rPr>
        <w:t>残疾人福利性单位属于小型、微型企业的，不重复享受政策。</w:t>
      </w:r>
    </w:p>
    <w:bookmarkEnd w:id="55"/>
    <w:p w14:paraId="15DF0E90">
      <w:pPr>
        <w:widowControl/>
        <w:adjustRightInd w:val="0"/>
        <w:snapToGrid w:val="0"/>
        <w:spacing w:line="288" w:lineRule="auto"/>
        <w:jc w:val="left"/>
        <w:rPr>
          <w:rFonts w:hint="eastAsia" w:ascii="宋体" w:hAnsi="宋体" w:eastAsia="宋体" w:cs="Times New Roman"/>
          <w:b/>
          <w:bCs/>
          <w:spacing w:val="-6"/>
          <w:szCs w:val="21"/>
        </w:rPr>
      </w:pPr>
      <w:r>
        <w:rPr>
          <w:rFonts w:ascii="宋体" w:hAnsi="宋体" w:eastAsia="宋体" w:cs="Times New Roman"/>
          <w:b/>
          <w:bCs/>
          <w:spacing w:val="-6"/>
          <w:szCs w:val="21"/>
        </w:rPr>
        <w:br w:type="page"/>
      </w:r>
    </w:p>
    <w:p w14:paraId="15DF0E91">
      <w:pPr>
        <w:adjustRightInd w:val="0"/>
        <w:snapToGrid w:val="0"/>
        <w:spacing w:line="288" w:lineRule="auto"/>
        <w:jc w:val="center"/>
        <w:outlineLvl w:val="0"/>
        <w:rPr>
          <w:rFonts w:hint="eastAsia" w:ascii="宋体" w:hAnsi="宋体" w:eastAsia="宋体" w:cs="宋体"/>
          <w:b/>
          <w:bCs/>
          <w:spacing w:val="-6"/>
          <w:sz w:val="32"/>
          <w:szCs w:val="32"/>
        </w:rPr>
      </w:pPr>
      <w:r>
        <w:rPr>
          <w:rFonts w:hint="eastAsia" w:ascii="宋体" w:hAnsi="宋体" w:eastAsia="宋体" w:cs="宋体"/>
          <w:b/>
          <w:sz w:val="32"/>
          <w:szCs w:val="32"/>
        </w:rPr>
        <w:t>第五章  拟签订的合同文本</w:t>
      </w:r>
    </w:p>
    <w:p w14:paraId="15DF0E92">
      <w:pPr>
        <w:adjustRightInd w:val="0"/>
        <w:snapToGrid w:val="0"/>
        <w:spacing w:line="288" w:lineRule="auto"/>
        <w:rPr>
          <w:rFonts w:hint="eastAsia" w:ascii="宋体" w:hAnsi="宋体" w:eastAsia="宋体" w:cs="宋体"/>
          <w:b/>
          <w:spacing w:val="-6"/>
          <w:szCs w:val="21"/>
        </w:rPr>
      </w:pPr>
    </w:p>
    <w:p w14:paraId="15DF0E93">
      <w:pPr>
        <w:spacing w:line="288" w:lineRule="auto"/>
        <w:ind w:firstLine="562" w:firstLineChars="200"/>
        <w:jc w:val="center"/>
        <w:rPr>
          <w:rFonts w:hint="eastAsia" w:ascii="宋体" w:hAnsi="宋体" w:eastAsia="宋体" w:cs="宋体"/>
          <w:b/>
          <w:bCs/>
          <w:kern w:val="0"/>
          <w:sz w:val="28"/>
          <w:szCs w:val="28"/>
        </w:rPr>
      </w:pPr>
      <w:r>
        <w:rPr>
          <w:rFonts w:hint="eastAsia" w:ascii="宋体" w:hAnsi="宋体" w:eastAsia="宋体" w:cs="宋体"/>
          <w:b/>
          <w:bCs/>
          <w:kern w:val="0"/>
          <w:sz w:val="28"/>
          <w:szCs w:val="28"/>
        </w:rPr>
        <w:t>杭州电子科技大学采购合同（货物类）</w:t>
      </w:r>
    </w:p>
    <w:p w14:paraId="15DF0E94">
      <w:pPr>
        <w:spacing w:line="288" w:lineRule="auto"/>
        <w:ind w:firstLine="420" w:firstLineChars="200"/>
        <w:jc w:val="right"/>
        <w:rPr>
          <w:rFonts w:hint="eastAsia" w:ascii="宋体" w:hAnsi="宋体" w:eastAsia="宋体" w:cs="宋体"/>
          <w:kern w:val="0"/>
          <w:szCs w:val="20"/>
        </w:rPr>
      </w:pPr>
      <w:r>
        <w:rPr>
          <w:rFonts w:hint="eastAsia" w:ascii="宋体" w:hAnsi="宋体" w:eastAsia="宋体" w:cs="宋体"/>
          <w:kern w:val="0"/>
          <w:szCs w:val="20"/>
        </w:rPr>
        <w:t xml:space="preserve">合同编号_________________ </w:t>
      </w:r>
    </w:p>
    <w:p w14:paraId="15DF0E95">
      <w:pPr>
        <w:spacing w:line="288" w:lineRule="auto"/>
        <w:ind w:firstLine="396" w:firstLineChars="200"/>
        <w:jc w:val="left"/>
        <w:rPr>
          <w:rFonts w:hint="eastAsia" w:ascii="宋体" w:hAnsi="宋体" w:eastAsia="宋体" w:cs="宋体"/>
          <w:spacing w:val="-6"/>
          <w:kern w:val="0"/>
          <w:szCs w:val="21"/>
        </w:rPr>
      </w:pPr>
      <w:r>
        <w:rPr>
          <w:rFonts w:hint="eastAsia" w:ascii="宋体" w:hAnsi="宋体" w:eastAsia="宋体" w:cs="宋体"/>
          <w:spacing w:val="-6"/>
          <w:kern w:val="0"/>
          <w:szCs w:val="21"/>
        </w:rPr>
        <w:t>确认书号：</w:t>
      </w:r>
    </w:p>
    <w:p w14:paraId="15DF0E96">
      <w:pPr>
        <w:spacing w:line="288" w:lineRule="auto"/>
        <w:ind w:firstLine="396" w:firstLineChars="200"/>
        <w:jc w:val="left"/>
        <w:rPr>
          <w:rFonts w:hint="eastAsia" w:ascii="宋体" w:hAnsi="宋体" w:eastAsia="宋体" w:cs="宋体"/>
          <w:spacing w:val="-6"/>
          <w:kern w:val="0"/>
          <w:szCs w:val="21"/>
        </w:rPr>
      </w:pPr>
      <w:r>
        <w:rPr>
          <w:rFonts w:hint="eastAsia" w:ascii="宋体" w:hAnsi="宋体" w:eastAsia="宋体" w:cs="宋体"/>
          <w:spacing w:val="-6"/>
          <w:kern w:val="0"/>
          <w:szCs w:val="21"/>
        </w:rPr>
        <w:t>项目编号：</w:t>
      </w:r>
    </w:p>
    <w:p w14:paraId="15DF0E97">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 xml:space="preserve">甲方（采购人）：杭州电子科技大学  </w:t>
      </w:r>
    </w:p>
    <w:p w14:paraId="15DF0E98">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 xml:space="preserve">乙方（供应商）： </w:t>
      </w:r>
    </w:p>
    <w:p w14:paraId="15DF0E99">
      <w:pPr>
        <w:spacing w:line="288" w:lineRule="auto"/>
        <w:ind w:firstLine="396" w:firstLineChars="200"/>
        <w:jc w:val="left"/>
        <w:rPr>
          <w:rFonts w:hint="eastAsia" w:ascii="宋体" w:hAnsi="宋体" w:eastAsia="宋体" w:cs="宋体"/>
          <w:kern w:val="0"/>
          <w:szCs w:val="21"/>
        </w:rPr>
      </w:pPr>
      <w:r>
        <w:rPr>
          <w:rFonts w:hint="eastAsia" w:ascii="宋体" w:hAnsi="宋体" w:eastAsia="宋体" w:cs="宋体"/>
          <w:spacing w:val="-6"/>
          <w:kern w:val="0"/>
          <w:szCs w:val="21"/>
        </w:rPr>
        <w:t>采购代理机构（鉴证方）：</w:t>
      </w:r>
      <w:r>
        <w:rPr>
          <w:rFonts w:hint="eastAsia" w:ascii="宋体" w:hAnsi="宋体" w:eastAsia="宋体" w:cs="宋体"/>
          <w:kern w:val="0"/>
          <w:szCs w:val="21"/>
        </w:rPr>
        <w:t xml:space="preserve">             </w:t>
      </w:r>
    </w:p>
    <w:p w14:paraId="15DF0E9A">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为了保护甲乙双方合法权益，根据项目</w:t>
      </w:r>
      <w:r>
        <w:rPr>
          <w:rFonts w:hint="eastAsia" w:ascii="宋体" w:hAnsi="宋体" w:eastAsia="宋体" w:cs="宋体"/>
          <w:kern w:val="0"/>
          <w:szCs w:val="21"/>
          <w:u w:val="single"/>
        </w:rPr>
        <w:t>裸眼立体物理实验平台</w:t>
      </w:r>
      <w:r>
        <w:rPr>
          <w:rFonts w:hint="eastAsia" w:ascii="宋体" w:hAnsi="宋体" w:eastAsia="宋体" w:cs="宋体"/>
          <w:kern w:val="0"/>
          <w:szCs w:val="21"/>
        </w:rPr>
        <w:t>（项目编号</w:t>
      </w:r>
      <w:r>
        <w:rPr>
          <w:rFonts w:hint="eastAsia" w:ascii="宋体" w:hAnsi="宋体" w:eastAsia="宋体" w:cs="宋体"/>
          <w:kern w:val="0"/>
          <w:szCs w:val="21"/>
          <w:u w:val="single"/>
          <w:lang w:eastAsia="zh-CN"/>
        </w:rPr>
        <w:t>QSZBB250272ZHGK</w:t>
      </w:r>
      <w:r>
        <w:rPr>
          <w:rFonts w:hint="eastAsia" w:ascii="宋体" w:hAnsi="宋体" w:eastAsia="宋体" w:cs="宋体"/>
          <w:kern w:val="0"/>
          <w:szCs w:val="21"/>
        </w:rPr>
        <w:t>）</w:t>
      </w:r>
      <w:r>
        <w:rPr>
          <w:rFonts w:hint="eastAsia" w:ascii="宋体" w:hAnsi="宋体" w:eastAsia="宋体" w:cs="宋体"/>
          <w:kern w:val="0"/>
          <w:szCs w:val="21"/>
          <w:u w:val="single"/>
        </w:rPr>
        <w:t>公开招标</w:t>
      </w:r>
      <w:r>
        <w:rPr>
          <w:rFonts w:hint="eastAsia" w:ascii="宋体" w:hAnsi="宋体" w:eastAsia="宋体" w:cs="宋体"/>
          <w:kern w:val="0"/>
          <w:szCs w:val="21"/>
        </w:rPr>
        <w:t>的中标（成交）结果，签署本合同，以资共同遵守。</w:t>
      </w:r>
    </w:p>
    <w:p w14:paraId="15DF0E9B">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一、采购货物与合同价格</w:t>
      </w:r>
    </w:p>
    <w:tbl>
      <w:tblPr>
        <w:tblStyle w:val="23"/>
        <w:tblW w:w="90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270"/>
        <w:gridCol w:w="3200"/>
        <w:gridCol w:w="720"/>
        <w:gridCol w:w="795"/>
        <w:gridCol w:w="1206"/>
        <w:gridCol w:w="1134"/>
      </w:tblGrid>
      <w:tr w14:paraId="15DF0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15DF0E9C">
            <w:pPr>
              <w:spacing w:line="288" w:lineRule="auto"/>
              <w:jc w:val="center"/>
              <w:rPr>
                <w:rFonts w:hint="eastAsia" w:ascii="宋体" w:hAnsi="宋体" w:eastAsia="宋体" w:cs="宋体"/>
                <w:kern w:val="0"/>
                <w:szCs w:val="21"/>
              </w:rPr>
            </w:pPr>
            <w:r>
              <w:rPr>
                <w:rFonts w:hint="eastAsia" w:ascii="宋体" w:hAnsi="宋体" w:eastAsia="宋体" w:cs="宋体"/>
                <w:kern w:val="0"/>
                <w:szCs w:val="21"/>
              </w:rPr>
              <w:t>序号</w:t>
            </w:r>
          </w:p>
        </w:tc>
        <w:tc>
          <w:tcPr>
            <w:tcW w:w="1270" w:type="dxa"/>
            <w:tcBorders>
              <w:top w:val="single" w:color="auto" w:sz="4" w:space="0"/>
              <w:left w:val="single" w:color="auto" w:sz="4" w:space="0"/>
              <w:bottom w:val="single" w:color="auto" w:sz="4" w:space="0"/>
              <w:right w:val="single" w:color="auto" w:sz="4" w:space="0"/>
            </w:tcBorders>
            <w:vAlign w:val="center"/>
          </w:tcPr>
          <w:p w14:paraId="15DF0E9D">
            <w:pPr>
              <w:spacing w:line="288" w:lineRule="auto"/>
              <w:jc w:val="center"/>
              <w:rPr>
                <w:rFonts w:hint="eastAsia" w:ascii="宋体" w:hAnsi="宋体" w:eastAsia="宋体" w:cs="宋体"/>
                <w:kern w:val="0"/>
                <w:szCs w:val="21"/>
              </w:rPr>
            </w:pPr>
            <w:r>
              <w:rPr>
                <w:rFonts w:hint="eastAsia" w:ascii="宋体" w:hAnsi="宋体" w:eastAsia="宋体" w:cs="宋体"/>
                <w:kern w:val="0"/>
                <w:szCs w:val="21"/>
              </w:rPr>
              <w:t>货物名称</w:t>
            </w:r>
          </w:p>
        </w:tc>
        <w:tc>
          <w:tcPr>
            <w:tcW w:w="3200" w:type="dxa"/>
            <w:tcBorders>
              <w:top w:val="single" w:color="auto" w:sz="4" w:space="0"/>
              <w:left w:val="single" w:color="auto" w:sz="4" w:space="0"/>
              <w:bottom w:val="single" w:color="auto" w:sz="4" w:space="0"/>
              <w:right w:val="single" w:color="auto" w:sz="4" w:space="0"/>
            </w:tcBorders>
            <w:vAlign w:val="center"/>
          </w:tcPr>
          <w:p w14:paraId="15DF0E9E">
            <w:pPr>
              <w:spacing w:line="288" w:lineRule="auto"/>
              <w:jc w:val="center"/>
              <w:rPr>
                <w:rFonts w:hint="eastAsia" w:ascii="宋体" w:hAnsi="宋体" w:eastAsia="宋体" w:cs="宋体"/>
                <w:kern w:val="0"/>
                <w:szCs w:val="21"/>
              </w:rPr>
            </w:pPr>
            <w:r>
              <w:rPr>
                <w:rFonts w:hint="eastAsia" w:ascii="宋体" w:hAnsi="宋体" w:eastAsia="宋体" w:cs="宋体"/>
                <w:kern w:val="0"/>
                <w:szCs w:val="21"/>
              </w:rPr>
              <w:t>品牌、型号等</w:t>
            </w:r>
          </w:p>
        </w:tc>
        <w:tc>
          <w:tcPr>
            <w:tcW w:w="720" w:type="dxa"/>
            <w:tcBorders>
              <w:top w:val="single" w:color="auto" w:sz="4" w:space="0"/>
              <w:left w:val="single" w:color="auto" w:sz="4" w:space="0"/>
              <w:bottom w:val="single" w:color="auto" w:sz="4" w:space="0"/>
              <w:right w:val="single" w:color="auto" w:sz="4" w:space="0"/>
            </w:tcBorders>
            <w:vAlign w:val="center"/>
          </w:tcPr>
          <w:p w14:paraId="15DF0E9F">
            <w:pPr>
              <w:spacing w:line="288" w:lineRule="auto"/>
              <w:jc w:val="center"/>
              <w:rPr>
                <w:rFonts w:hint="eastAsia" w:ascii="宋体" w:hAnsi="宋体" w:eastAsia="宋体" w:cs="宋体"/>
                <w:kern w:val="0"/>
                <w:szCs w:val="21"/>
              </w:rPr>
            </w:pPr>
            <w:r>
              <w:rPr>
                <w:rFonts w:hint="eastAsia" w:ascii="宋体" w:hAnsi="宋体" w:eastAsia="宋体" w:cs="宋体"/>
                <w:kern w:val="0"/>
                <w:szCs w:val="21"/>
              </w:rPr>
              <w:t>数量</w:t>
            </w:r>
          </w:p>
        </w:tc>
        <w:tc>
          <w:tcPr>
            <w:tcW w:w="795" w:type="dxa"/>
            <w:tcBorders>
              <w:top w:val="single" w:color="auto" w:sz="4" w:space="0"/>
              <w:left w:val="single" w:color="auto" w:sz="4" w:space="0"/>
              <w:bottom w:val="single" w:color="auto" w:sz="4" w:space="0"/>
              <w:right w:val="single" w:color="auto" w:sz="4" w:space="0"/>
            </w:tcBorders>
            <w:vAlign w:val="center"/>
          </w:tcPr>
          <w:p w14:paraId="15DF0EA0">
            <w:pPr>
              <w:spacing w:line="288" w:lineRule="auto"/>
              <w:jc w:val="center"/>
              <w:rPr>
                <w:rFonts w:hint="eastAsia" w:ascii="宋体" w:hAnsi="宋体" w:eastAsia="宋体" w:cs="宋体"/>
                <w:kern w:val="0"/>
                <w:szCs w:val="21"/>
              </w:rPr>
            </w:pPr>
            <w:r>
              <w:rPr>
                <w:rFonts w:hint="eastAsia" w:ascii="宋体" w:hAnsi="宋体" w:eastAsia="宋体" w:cs="宋体"/>
                <w:kern w:val="0"/>
                <w:szCs w:val="21"/>
              </w:rPr>
              <w:t>单位</w:t>
            </w:r>
          </w:p>
        </w:tc>
        <w:tc>
          <w:tcPr>
            <w:tcW w:w="1206" w:type="dxa"/>
            <w:tcBorders>
              <w:top w:val="single" w:color="auto" w:sz="4" w:space="0"/>
              <w:left w:val="single" w:color="auto" w:sz="4" w:space="0"/>
              <w:bottom w:val="single" w:color="auto" w:sz="4" w:space="0"/>
              <w:right w:val="single" w:color="auto" w:sz="4" w:space="0"/>
            </w:tcBorders>
            <w:vAlign w:val="center"/>
          </w:tcPr>
          <w:p w14:paraId="15DF0EA1">
            <w:pPr>
              <w:spacing w:line="288" w:lineRule="auto"/>
              <w:jc w:val="center"/>
              <w:rPr>
                <w:rFonts w:hint="eastAsia" w:ascii="宋体" w:hAnsi="宋体" w:eastAsia="宋体" w:cs="宋体"/>
                <w:kern w:val="0"/>
                <w:szCs w:val="21"/>
              </w:rPr>
            </w:pPr>
            <w:r>
              <w:rPr>
                <w:rFonts w:hint="eastAsia" w:ascii="宋体" w:hAnsi="宋体" w:eastAsia="宋体" w:cs="宋体"/>
                <w:kern w:val="0"/>
                <w:szCs w:val="21"/>
              </w:rPr>
              <w:t>单价</w:t>
            </w:r>
          </w:p>
        </w:tc>
        <w:tc>
          <w:tcPr>
            <w:tcW w:w="1134" w:type="dxa"/>
            <w:tcBorders>
              <w:top w:val="single" w:color="auto" w:sz="4" w:space="0"/>
              <w:left w:val="single" w:color="auto" w:sz="4" w:space="0"/>
              <w:bottom w:val="single" w:color="auto" w:sz="4" w:space="0"/>
              <w:right w:val="single" w:color="auto" w:sz="4" w:space="0"/>
            </w:tcBorders>
            <w:vAlign w:val="center"/>
          </w:tcPr>
          <w:p w14:paraId="15DF0EA2">
            <w:pPr>
              <w:spacing w:line="288" w:lineRule="auto"/>
              <w:jc w:val="center"/>
              <w:rPr>
                <w:rFonts w:hint="eastAsia" w:ascii="宋体" w:hAnsi="宋体" w:eastAsia="宋体" w:cs="宋体"/>
                <w:kern w:val="0"/>
                <w:szCs w:val="21"/>
              </w:rPr>
            </w:pPr>
            <w:r>
              <w:rPr>
                <w:rFonts w:hint="eastAsia" w:ascii="宋体" w:hAnsi="宋体" w:eastAsia="宋体" w:cs="宋体"/>
                <w:kern w:val="0"/>
                <w:szCs w:val="21"/>
              </w:rPr>
              <w:t>总价</w:t>
            </w:r>
          </w:p>
        </w:tc>
      </w:tr>
      <w:tr w14:paraId="15DF0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15DF0EA4">
            <w:pPr>
              <w:spacing w:line="288" w:lineRule="auto"/>
              <w:jc w:val="center"/>
              <w:rPr>
                <w:rFonts w:hint="eastAsia" w:ascii="宋体" w:hAnsi="宋体" w:eastAsia="宋体" w:cs="宋体"/>
                <w:kern w:val="0"/>
                <w:szCs w:val="21"/>
              </w:rPr>
            </w:pPr>
            <w:r>
              <w:rPr>
                <w:rFonts w:hint="eastAsia" w:ascii="宋体" w:hAnsi="宋体" w:eastAsia="宋体" w:cs="宋体"/>
                <w:kern w:val="0"/>
                <w:szCs w:val="21"/>
              </w:rPr>
              <w:t>1</w:t>
            </w:r>
          </w:p>
        </w:tc>
        <w:tc>
          <w:tcPr>
            <w:tcW w:w="1270" w:type="dxa"/>
            <w:tcBorders>
              <w:top w:val="single" w:color="auto" w:sz="4" w:space="0"/>
              <w:left w:val="single" w:color="auto" w:sz="4" w:space="0"/>
              <w:bottom w:val="single" w:color="auto" w:sz="4" w:space="0"/>
              <w:right w:val="single" w:color="auto" w:sz="4" w:space="0"/>
            </w:tcBorders>
            <w:vAlign w:val="center"/>
          </w:tcPr>
          <w:p w14:paraId="15DF0EA5">
            <w:pPr>
              <w:spacing w:line="288" w:lineRule="auto"/>
              <w:jc w:val="center"/>
              <w:rPr>
                <w:rFonts w:hint="eastAsia" w:ascii="宋体" w:hAnsi="宋体" w:eastAsia="宋体" w:cs="宋体"/>
                <w:kern w:val="0"/>
                <w:szCs w:val="21"/>
              </w:rPr>
            </w:pPr>
          </w:p>
        </w:tc>
        <w:tc>
          <w:tcPr>
            <w:tcW w:w="3200" w:type="dxa"/>
            <w:tcBorders>
              <w:top w:val="single" w:color="auto" w:sz="4" w:space="0"/>
              <w:left w:val="single" w:color="auto" w:sz="4" w:space="0"/>
              <w:bottom w:val="single" w:color="auto" w:sz="4" w:space="0"/>
              <w:right w:val="single" w:color="auto" w:sz="4" w:space="0"/>
            </w:tcBorders>
          </w:tcPr>
          <w:p w14:paraId="15DF0EA6">
            <w:pPr>
              <w:spacing w:line="288" w:lineRule="auto"/>
              <w:jc w:val="center"/>
              <w:rPr>
                <w:rFonts w:hint="eastAsia" w:ascii="宋体" w:hAnsi="宋体" w:eastAsia="宋体" w:cs="宋体"/>
                <w:kern w:val="0"/>
                <w:szCs w:val="21"/>
              </w:rPr>
            </w:pPr>
            <w:r>
              <w:rPr>
                <w:rFonts w:hint="eastAsia" w:ascii="宋体" w:hAnsi="宋体" w:eastAsia="宋体" w:cs="宋体"/>
                <w:kern w:val="0"/>
                <w:szCs w:val="21"/>
              </w:rPr>
              <w:t>品牌、型号、详细技术参数（技术参数可以合同附件方式提供）</w:t>
            </w:r>
          </w:p>
        </w:tc>
        <w:tc>
          <w:tcPr>
            <w:tcW w:w="720" w:type="dxa"/>
            <w:tcBorders>
              <w:top w:val="single" w:color="auto" w:sz="4" w:space="0"/>
              <w:left w:val="single" w:color="auto" w:sz="4" w:space="0"/>
              <w:bottom w:val="single" w:color="auto" w:sz="4" w:space="0"/>
              <w:right w:val="single" w:color="auto" w:sz="4" w:space="0"/>
            </w:tcBorders>
            <w:vAlign w:val="center"/>
          </w:tcPr>
          <w:p w14:paraId="15DF0EA7">
            <w:pPr>
              <w:spacing w:line="288" w:lineRule="auto"/>
              <w:jc w:val="center"/>
              <w:rPr>
                <w:rFonts w:hint="eastAsia" w:ascii="宋体" w:hAnsi="宋体" w:eastAsia="宋体" w:cs="宋体"/>
                <w:kern w:val="0"/>
                <w:szCs w:val="21"/>
              </w:rPr>
            </w:pPr>
          </w:p>
        </w:tc>
        <w:tc>
          <w:tcPr>
            <w:tcW w:w="795" w:type="dxa"/>
            <w:tcBorders>
              <w:top w:val="single" w:color="auto" w:sz="4" w:space="0"/>
              <w:left w:val="single" w:color="auto" w:sz="4" w:space="0"/>
              <w:bottom w:val="single" w:color="auto" w:sz="4" w:space="0"/>
              <w:right w:val="single" w:color="auto" w:sz="4" w:space="0"/>
            </w:tcBorders>
            <w:vAlign w:val="center"/>
          </w:tcPr>
          <w:p w14:paraId="15DF0EA8">
            <w:pPr>
              <w:spacing w:line="288" w:lineRule="auto"/>
              <w:jc w:val="center"/>
              <w:rPr>
                <w:rFonts w:hint="eastAsia" w:ascii="宋体" w:hAnsi="宋体" w:eastAsia="宋体" w:cs="宋体"/>
                <w:kern w:val="0"/>
                <w:szCs w:val="21"/>
              </w:rPr>
            </w:pPr>
          </w:p>
        </w:tc>
        <w:tc>
          <w:tcPr>
            <w:tcW w:w="1206" w:type="dxa"/>
            <w:tcBorders>
              <w:top w:val="single" w:color="auto" w:sz="4" w:space="0"/>
              <w:left w:val="single" w:color="auto" w:sz="4" w:space="0"/>
              <w:bottom w:val="single" w:color="auto" w:sz="4" w:space="0"/>
              <w:right w:val="single" w:color="auto" w:sz="4" w:space="0"/>
            </w:tcBorders>
            <w:vAlign w:val="center"/>
          </w:tcPr>
          <w:p w14:paraId="15DF0EA9">
            <w:pPr>
              <w:spacing w:line="288" w:lineRule="auto"/>
              <w:jc w:val="center"/>
              <w:rPr>
                <w:rFonts w:hint="eastAsia" w:ascii="宋体" w:hAnsi="宋体" w:eastAsia="宋体" w:cs="宋体"/>
                <w:kern w:val="0"/>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15DF0EAA">
            <w:pPr>
              <w:spacing w:line="288" w:lineRule="auto"/>
              <w:jc w:val="center"/>
              <w:rPr>
                <w:rFonts w:hint="eastAsia" w:ascii="宋体" w:hAnsi="宋体" w:eastAsia="宋体" w:cs="宋体"/>
                <w:kern w:val="0"/>
                <w:szCs w:val="21"/>
              </w:rPr>
            </w:pPr>
          </w:p>
        </w:tc>
      </w:tr>
      <w:tr w14:paraId="15DF0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15DF0EAC">
            <w:pPr>
              <w:spacing w:line="288" w:lineRule="auto"/>
              <w:jc w:val="center"/>
              <w:rPr>
                <w:rFonts w:hint="eastAsia" w:ascii="宋体" w:hAnsi="宋体" w:eastAsia="宋体" w:cs="宋体"/>
                <w:kern w:val="0"/>
                <w:szCs w:val="21"/>
              </w:rPr>
            </w:pPr>
          </w:p>
        </w:tc>
        <w:tc>
          <w:tcPr>
            <w:tcW w:w="1270" w:type="dxa"/>
            <w:tcBorders>
              <w:top w:val="single" w:color="auto" w:sz="4" w:space="0"/>
              <w:left w:val="single" w:color="auto" w:sz="4" w:space="0"/>
              <w:bottom w:val="single" w:color="auto" w:sz="4" w:space="0"/>
              <w:right w:val="single" w:color="auto" w:sz="4" w:space="0"/>
            </w:tcBorders>
            <w:vAlign w:val="center"/>
          </w:tcPr>
          <w:p w14:paraId="15DF0EAD">
            <w:pPr>
              <w:spacing w:line="288" w:lineRule="auto"/>
              <w:jc w:val="center"/>
              <w:rPr>
                <w:rFonts w:hint="eastAsia" w:ascii="宋体" w:hAnsi="宋体" w:eastAsia="宋体" w:cs="宋体"/>
                <w:kern w:val="0"/>
                <w:szCs w:val="21"/>
              </w:rPr>
            </w:pPr>
          </w:p>
        </w:tc>
        <w:tc>
          <w:tcPr>
            <w:tcW w:w="3200" w:type="dxa"/>
            <w:tcBorders>
              <w:top w:val="single" w:color="auto" w:sz="4" w:space="0"/>
              <w:left w:val="single" w:color="auto" w:sz="4" w:space="0"/>
              <w:bottom w:val="single" w:color="auto" w:sz="4" w:space="0"/>
              <w:right w:val="single" w:color="auto" w:sz="4" w:space="0"/>
            </w:tcBorders>
          </w:tcPr>
          <w:p w14:paraId="15DF0EAE">
            <w:pPr>
              <w:spacing w:line="288" w:lineRule="auto"/>
              <w:jc w:val="center"/>
              <w:rPr>
                <w:rFonts w:hint="eastAsia" w:ascii="宋体" w:hAnsi="宋体" w:eastAsia="宋体" w:cs="宋体"/>
                <w:kern w:val="0"/>
                <w:szCs w:val="21"/>
              </w:rPr>
            </w:pPr>
          </w:p>
        </w:tc>
        <w:tc>
          <w:tcPr>
            <w:tcW w:w="720" w:type="dxa"/>
            <w:tcBorders>
              <w:top w:val="single" w:color="auto" w:sz="4" w:space="0"/>
              <w:left w:val="single" w:color="auto" w:sz="4" w:space="0"/>
              <w:bottom w:val="single" w:color="auto" w:sz="4" w:space="0"/>
              <w:right w:val="single" w:color="auto" w:sz="4" w:space="0"/>
            </w:tcBorders>
            <w:vAlign w:val="center"/>
          </w:tcPr>
          <w:p w14:paraId="15DF0EAF">
            <w:pPr>
              <w:spacing w:line="288" w:lineRule="auto"/>
              <w:jc w:val="center"/>
              <w:rPr>
                <w:rFonts w:hint="eastAsia" w:ascii="宋体" w:hAnsi="宋体" w:eastAsia="宋体" w:cs="宋体"/>
                <w:kern w:val="0"/>
                <w:szCs w:val="21"/>
              </w:rPr>
            </w:pPr>
          </w:p>
        </w:tc>
        <w:tc>
          <w:tcPr>
            <w:tcW w:w="795" w:type="dxa"/>
            <w:tcBorders>
              <w:top w:val="single" w:color="auto" w:sz="4" w:space="0"/>
              <w:left w:val="single" w:color="auto" w:sz="4" w:space="0"/>
              <w:bottom w:val="single" w:color="auto" w:sz="4" w:space="0"/>
              <w:right w:val="single" w:color="auto" w:sz="4" w:space="0"/>
            </w:tcBorders>
            <w:vAlign w:val="center"/>
          </w:tcPr>
          <w:p w14:paraId="15DF0EB0">
            <w:pPr>
              <w:spacing w:line="288" w:lineRule="auto"/>
              <w:jc w:val="center"/>
              <w:rPr>
                <w:rFonts w:hint="eastAsia" w:ascii="宋体" w:hAnsi="宋体" w:eastAsia="宋体" w:cs="宋体"/>
                <w:kern w:val="0"/>
                <w:szCs w:val="21"/>
              </w:rPr>
            </w:pPr>
          </w:p>
        </w:tc>
        <w:tc>
          <w:tcPr>
            <w:tcW w:w="1206" w:type="dxa"/>
            <w:tcBorders>
              <w:top w:val="single" w:color="auto" w:sz="4" w:space="0"/>
              <w:left w:val="single" w:color="auto" w:sz="4" w:space="0"/>
              <w:bottom w:val="single" w:color="auto" w:sz="4" w:space="0"/>
              <w:right w:val="single" w:color="auto" w:sz="4" w:space="0"/>
            </w:tcBorders>
            <w:vAlign w:val="center"/>
          </w:tcPr>
          <w:p w14:paraId="15DF0EB1">
            <w:pPr>
              <w:spacing w:line="288" w:lineRule="auto"/>
              <w:jc w:val="center"/>
              <w:rPr>
                <w:rFonts w:hint="eastAsia" w:ascii="宋体" w:hAnsi="宋体" w:eastAsia="宋体" w:cs="宋体"/>
                <w:kern w:val="0"/>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15DF0EB2">
            <w:pPr>
              <w:spacing w:line="288" w:lineRule="auto"/>
              <w:jc w:val="center"/>
              <w:rPr>
                <w:rFonts w:hint="eastAsia" w:ascii="宋体" w:hAnsi="宋体" w:eastAsia="宋体" w:cs="宋体"/>
                <w:kern w:val="0"/>
                <w:szCs w:val="21"/>
              </w:rPr>
            </w:pPr>
          </w:p>
        </w:tc>
      </w:tr>
      <w:tr w14:paraId="15DF0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35" w:type="dxa"/>
            <w:gridSpan w:val="7"/>
            <w:tcBorders>
              <w:top w:val="single" w:color="auto" w:sz="4" w:space="0"/>
              <w:left w:val="single" w:color="auto" w:sz="4" w:space="0"/>
              <w:bottom w:val="single" w:color="auto" w:sz="4" w:space="0"/>
              <w:right w:val="single" w:color="auto" w:sz="4" w:space="0"/>
            </w:tcBorders>
            <w:vAlign w:val="center"/>
          </w:tcPr>
          <w:p w14:paraId="15DF0EB4">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合同总价（元，人民币）：小写￥              ，大写：</w:t>
            </w:r>
          </w:p>
        </w:tc>
      </w:tr>
    </w:tbl>
    <w:p w14:paraId="15DF0EB6">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注：以上合同总价包含货物到达甲方或甲方指定用户并能正常使用所需的一切费用，包括但不限于设备（软件）费、包装费、运输费、装卸费、保险费、安装调试费、技术服务费、培训费、保修保换费、税费等。</w:t>
      </w:r>
    </w:p>
    <w:p w14:paraId="15DF0EB7">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二、供货范围</w:t>
      </w:r>
    </w:p>
    <w:p w14:paraId="15DF0EB8">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合同供货范围包括所有合同货物、相关的技术资料。</w:t>
      </w:r>
    </w:p>
    <w:p w14:paraId="15DF0EB9">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15DF0EBA">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三、质保期、履约保证金与货款结算</w:t>
      </w:r>
    </w:p>
    <w:p w14:paraId="15DF0EBB">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质保期：自验收合格之日起，整机质保期</w:t>
      </w:r>
      <w:r>
        <w:rPr>
          <w:rFonts w:hint="eastAsia" w:ascii="宋体" w:hAnsi="宋体" w:eastAsia="宋体" w:cs="宋体"/>
          <w:kern w:val="0"/>
          <w:szCs w:val="21"/>
          <w:u w:val="single"/>
        </w:rPr>
        <w:t xml:space="preserve">   </w:t>
      </w:r>
      <w:r>
        <w:rPr>
          <w:rFonts w:hint="eastAsia" w:ascii="宋体" w:hAnsi="宋体" w:eastAsia="宋体" w:cs="宋体"/>
          <w:kern w:val="0"/>
          <w:szCs w:val="21"/>
        </w:rPr>
        <w:t>年，其中</w:t>
      </w:r>
      <w:r>
        <w:rPr>
          <w:rFonts w:hint="eastAsia" w:ascii="宋体" w:hAnsi="宋体" w:eastAsia="宋体" w:cs="宋体"/>
          <w:kern w:val="0"/>
          <w:szCs w:val="21"/>
          <w:u w:val="single"/>
        </w:rPr>
        <w:t xml:space="preserve">    </w:t>
      </w:r>
      <w:r>
        <w:rPr>
          <w:rFonts w:hint="eastAsia" w:ascii="宋体" w:hAnsi="宋体" w:eastAsia="宋体" w:cs="宋体"/>
          <w:kern w:val="0"/>
          <w:szCs w:val="21"/>
        </w:rPr>
        <w:t>（配件名称）质保</w:t>
      </w:r>
      <w:r>
        <w:rPr>
          <w:rFonts w:hint="eastAsia" w:ascii="宋体" w:hAnsi="宋体" w:eastAsia="宋体" w:cs="宋体"/>
          <w:kern w:val="0"/>
          <w:szCs w:val="21"/>
          <w:u w:val="single"/>
        </w:rPr>
        <w:t xml:space="preserve">   </w:t>
      </w:r>
      <w:r>
        <w:rPr>
          <w:rFonts w:hint="eastAsia" w:ascii="宋体" w:hAnsi="宋体" w:eastAsia="宋体" w:cs="宋体"/>
          <w:kern w:val="0"/>
          <w:szCs w:val="21"/>
        </w:rPr>
        <w:t>年（如需要）。超过质保期的货物，终生维修，维修时只收部件成本费。软件的质保期即维护期，乙方应提供升级服务。质保期内质保维护升级等费用包含在合同总价中，不额外收取。</w:t>
      </w:r>
    </w:p>
    <w:p w14:paraId="15DF0EBC">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2.履约保证金（如无则删除本条款）</w:t>
      </w:r>
      <w:r>
        <w:rPr>
          <w:rFonts w:hint="eastAsia" w:ascii="宋体" w:hAnsi="宋体" w:eastAsia="宋体" w:cs="宋体"/>
          <w:b/>
          <w:bCs/>
          <w:kern w:val="0"/>
          <w:szCs w:val="21"/>
        </w:rPr>
        <w:t>：</w:t>
      </w:r>
      <w:r>
        <w:rPr>
          <w:rFonts w:hint="eastAsia" w:ascii="宋体" w:hAnsi="宋体" w:eastAsia="宋体" w:cs="宋体"/>
          <w:kern w:val="0"/>
          <w:szCs w:val="21"/>
        </w:rPr>
        <w:t>合同总金额的</w:t>
      </w:r>
      <w:r>
        <w:rPr>
          <w:rFonts w:hint="eastAsia" w:ascii="宋体" w:hAnsi="宋体" w:eastAsia="宋体" w:cs="宋体"/>
          <w:kern w:val="0"/>
          <w:szCs w:val="21"/>
          <w:u w:val="single"/>
        </w:rPr>
        <w:t xml:space="preserve">  　  </w:t>
      </w:r>
      <w:r>
        <w:rPr>
          <w:rFonts w:hint="eastAsia" w:ascii="宋体" w:hAnsi="宋体" w:eastAsia="宋体" w:cs="宋体"/>
          <w:kern w:val="0"/>
          <w:szCs w:val="21"/>
        </w:rPr>
        <w:t>%，合同签订后5个工作日内交纳。交付方式：保函/汇票/支票/电汇/转账等。交付完毕后提供保函或联系杭州电子科技大学计划财务处大厅开收据，验收合格后7个工作日内凭原始收据不计息退还。收款单位（户名）：杭州电子科技大学。开户银行：工行高新支行。银行账号：1202026209008806216。</w:t>
      </w:r>
    </w:p>
    <w:p w14:paraId="15DF0EBD">
      <w:pPr>
        <w:spacing w:line="288" w:lineRule="auto"/>
        <w:ind w:firstLine="420" w:firstLineChars="200"/>
        <w:jc w:val="left"/>
        <w:rPr>
          <w:rFonts w:hint="eastAsia" w:ascii="宋体" w:hAnsi="宋体" w:eastAsia="宋体" w:cs="宋体"/>
          <w:kern w:val="0"/>
          <w:szCs w:val="21"/>
          <w:u w:val="single"/>
        </w:rPr>
      </w:pPr>
      <w:r>
        <w:rPr>
          <w:rFonts w:hint="eastAsia" w:ascii="宋体" w:hAnsi="宋体" w:eastAsia="宋体" w:cs="宋体"/>
          <w:kern w:val="0"/>
          <w:szCs w:val="21"/>
        </w:rPr>
        <w:t>3</w:t>
      </w:r>
      <w:r>
        <w:rPr>
          <w:rFonts w:hint="eastAsia" w:ascii="宋体" w:hAnsi="宋体" w:eastAsia="宋体" w:cs="宋体"/>
          <w:spacing w:val="-6"/>
          <w:kern w:val="0"/>
          <w:szCs w:val="21"/>
        </w:rPr>
        <w:t>.</w:t>
      </w:r>
      <w:r>
        <w:rPr>
          <w:rFonts w:hint="eastAsia" w:ascii="宋体" w:hAnsi="宋体" w:eastAsia="宋体" w:cs="宋体"/>
          <w:kern w:val="0"/>
          <w:szCs w:val="21"/>
        </w:rPr>
        <w:t>货款结算（根据项目要求、采购文件、采购结果，按以下方式选择填写）：</w:t>
      </w:r>
    </w:p>
    <w:p w14:paraId="15DF0EBE">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w:t>
      </w:r>
      <w:r>
        <w:rPr>
          <w:rFonts w:hint="eastAsia" w:ascii="宋体" w:hAnsi="宋体" w:eastAsia="宋体" w:cs="宋体"/>
          <w:spacing w:val="-6"/>
          <w:kern w:val="0"/>
          <w:szCs w:val="21"/>
        </w:rPr>
        <w:t>1</w:t>
      </w:r>
      <w:r>
        <w:rPr>
          <w:rFonts w:hint="eastAsia" w:ascii="宋体" w:hAnsi="宋体" w:eastAsia="宋体" w:cs="宋体"/>
          <w:kern w:val="0"/>
          <w:szCs w:val="21"/>
        </w:rPr>
        <w:t>）预付款方式：</w:t>
      </w:r>
    </w:p>
    <w:p w14:paraId="15DF0EBF">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①乙方为中小企业的，合同生效以及具备实施条件后7个工作日内，且乙方已向甲方提交银行、保险公司等金融机构出具的预付款保函的，甲方向乙方支付合同总价的</w:t>
      </w:r>
      <w:r>
        <w:rPr>
          <w:rFonts w:hint="eastAsia" w:ascii="宋体" w:hAnsi="宋体" w:eastAsia="宋体" w:cs="宋体"/>
          <w:kern w:val="0"/>
          <w:szCs w:val="21"/>
          <w:u w:val="single"/>
        </w:rPr>
        <w:t xml:space="preserve">      </w:t>
      </w:r>
      <w:r>
        <w:rPr>
          <w:rFonts w:hint="eastAsia" w:ascii="宋体" w:hAnsi="宋体" w:eastAsia="宋体" w:cs="宋体"/>
          <w:kern w:val="0"/>
          <w:szCs w:val="21"/>
        </w:rPr>
        <w:t>%（</w:t>
      </w:r>
      <w:bookmarkStart w:id="56" w:name="OLE_LINK9"/>
      <w:bookmarkStart w:id="57" w:name="OLE_LINK8"/>
      <w:bookmarkStart w:id="58" w:name="OLE_LINK7"/>
      <w:bookmarkStart w:id="59" w:name="OLE_LINK10"/>
      <w:r>
        <w:rPr>
          <w:rFonts w:hint="eastAsia" w:ascii="宋体" w:hAnsi="宋体" w:eastAsia="宋体" w:cs="宋体"/>
          <w:szCs w:val="21"/>
        </w:rPr>
        <w:t>根据</w:t>
      </w:r>
      <w:bookmarkStart w:id="60" w:name="OLE_LINK6"/>
      <w:bookmarkStart w:id="61" w:name="OLE_LINK5"/>
      <w:r>
        <w:rPr>
          <w:rFonts w:hint="eastAsia" w:ascii="宋体" w:hAnsi="宋体" w:eastAsia="宋体" w:cs="宋体"/>
          <w:szCs w:val="21"/>
        </w:rPr>
        <w:t>《浙江省财政厅关于进一步发挥政府采购政策功能全力推动经济稳进提质的通知》</w:t>
      </w:r>
      <w:bookmarkEnd w:id="60"/>
      <w:bookmarkEnd w:id="61"/>
      <w:r>
        <w:rPr>
          <w:rFonts w:hint="eastAsia" w:ascii="宋体" w:hAnsi="宋体" w:eastAsia="宋体" w:cs="宋体"/>
          <w:szCs w:val="21"/>
        </w:rPr>
        <w:t>《浙江省财政厅关于进一步加大政府采购支持中小企业力度助力扎实稳住经济的通知》等规范要求原则上不低于合同金额的40％，不高于合同金额的70%</w:t>
      </w:r>
      <w:bookmarkEnd w:id="56"/>
      <w:bookmarkEnd w:id="57"/>
      <w:bookmarkEnd w:id="58"/>
      <w:bookmarkEnd w:id="59"/>
      <w:r>
        <w:rPr>
          <w:rFonts w:hint="eastAsia" w:ascii="宋体" w:hAnsi="宋体" w:eastAsia="宋体" w:cs="宋体"/>
          <w:kern w:val="0"/>
          <w:szCs w:val="21"/>
        </w:rPr>
        <w:t>）；货物在乙方安装调试完毕并经甲方验收合格并收到发票后7个工作日内，向乙方支付合同总价的</w:t>
      </w:r>
      <w:r>
        <w:rPr>
          <w:rFonts w:hint="eastAsia" w:ascii="宋体" w:hAnsi="宋体" w:eastAsia="宋体" w:cs="宋体"/>
          <w:kern w:val="0"/>
          <w:szCs w:val="21"/>
          <w:u w:val="single"/>
        </w:rPr>
        <w:t>　　　</w:t>
      </w:r>
      <w:r>
        <w:rPr>
          <w:rFonts w:hint="eastAsia" w:ascii="宋体" w:hAnsi="宋体" w:eastAsia="宋体" w:cs="宋体"/>
          <w:kern w:val="0"/>
          <w:szCs w:val="21"/>
        </w:rPr>
        <w:t>%。</w:t>
      </w:r>
    </w:p>
    <w:p w14:paraId="15DF0EC0">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②乙方为大型企业的，合同生效以及具备实施条件后7个工作日内，且乙方已向甲方提交银行、保险公司等金融机构出具的预付款保函的，甲方向乙方支付合同总价的</w:t>
      </w:r>
      <w:r>
        <w:rPr>
          <w:rFonts w:hint="eastAsia" w:ascii="宋体" w:hAnsi="宋体" w:eastAsia="宋体" w:cs="宋体"/>
          <w:kern w:val="0"/>
          <w:szCs w:val="21"/>
          <w:u w:val="single"/>
        </w:rPr>
        <w:t>　　　</w:t>
      </w:r>
      <w:r>
        <w:rPr>
          <w:rFonts w:hint="eastAsia" w:ascii="宋体" w:hAnsi="宋体" w:eastAsia="宋体" w:cs="宋体"/>
          <w:kern w:val="0"/>
          <w:szCs w:val="21"/>
        </w:rPr>
        <w:t>%（</w:t>
      </w:r>
      <w:r>
        <w:rPr>
          <w:rFonts w:hint="eastAsia" w:ascii="宋体" w:hAnsi="宋体" w:eastAsia="宋体" w:cs="宋体"/>
          <w:szCs w:val="21"/>
        </w:rPr>
        <w:t>原则上不低于合同金额的30％，不高于合同金额的60%</w:t>
      </w:r>
      <w:r>
        <w:rPr>
          <w:rFonts w:hint="eastAsia" w:ascii="宋体" w:hAnsi="宋体" w:eastAsia="宋体" w:cs="宋体"/>
          <w:kern w:val="0"/>
          <w:szCs w:val="21"/>
        </w:rPr>
        <w:t>）；货物在乙方安装调试完毕并经甲方验收合格并收到发票后7个工作日内，向乙方支付合同总价的</w:t>
      </w:r>
      <w:r>
        <w:rPr>
          <w:rFonts w:hint="eastAsia" w:ascii="宋体" w:hAnsi="宋体" w:eastAsia="宋体" w:cs="宋体"/>
          <w:kern w:val="0"/>
          <w:szCs w:val="21"/>
          <w:u w:val="single"/>
        </w:rPr>
        <w:t>　　　</w:t>
      </w:r>
      <w:r>
        <w:rPr>
          <w:rFonts w:hint="eastAsia" w:ascii="宋体" w:hAnsi="宋体" w:eastAsia="宋体" w:cs="宋体"/>
          <w:kern w:val="0"/>
          <w:szCs w:val="21"/>
        </w:rPr>
        <w:t>%。</w:t>
      </w:r>
    </w:p>
    <w:p w14:paraId="15DF0EC1">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③在签订合同时，乙方明确表示主动要求降低预付款比例的，可降低预付款比例（预付款保函同步调整）。</w:t>
      </w:r>
    </w:p>
    <w:p w14:paraId="15DF0EC2">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④若乙方收取预付款，要求预付款保函有效期覆盖项目验收合格时间；提供了预付款保函则乙方无需再缴纳履约保证金。</w:t>
      </w:r>
    </w:p>
    <w:p w14:paraId="15DF0EC3">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（2）签订合同时乙方明确表示无需预付款或乙方为大型企业的，可以采用以下付款方式：</w:t>
      </w:r>
    </w:p>
    <w:p w14:paraId="15DF0EC4">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①</w:t>
      </w:r>
      <w:r>
        <w:rPr>
          <w:rFonts w:hint="eastAsia" w:ascii="宋体" w:hAnsi="宋体" w:eastAsia="宋体" w:cs="宋体"/>
          <w:bCs/>
          <w:kern w:val="0"/>
          <w:szCs w:val="21"/>
        </w:rPr>
        <w:t>货到分期付款：</w:t>
      </w:r>
      <w:r>
        <w:rPr>
          <w:rFonts w:hint="eastAsia" w:ascii="宋体" w:hAnsi="宋体" w:eastAsia="宋体" w:cs="宋体"/>
          <w:kern w:val="0"/>
          <w:szCs w:val="21"/>
        </w:rPr>
        <w:t>货物送达并经甲方初步验收并收到发票后10个工作日内，甲方向乙方支付合同总价的70%；货物由乙方安装调试完毕并经甲方验收合格后，收到发票后10个工作日内，甲方向乙方支付合同总价的30%。</w:t>
      </w:r>
    </w:p>
    <w:p w14:paraId="15DF0EC5">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②货到一次性支付：</w:t>
      </w:r>
    </w:p>
    <w:p w14:paraId="15DF0EC6">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 xml:space="preserve">全部货物送达安装调试完毕，经甲方验收合格，收到发票后10个工作日内，甲方向乙方支付全部合同价款。 </w:t>
      </w:r>
    </w:p>
    <w:p w14:paraId="15DF0EC7">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 xml:space="preserve">③其它支付形式：                 </w:t>
      </w:r>
    </w:p>
    <w:p w14:paraId="15DF0EC8">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付款前，乙方须交纳合同约定的履约保证金（如有）并提供甲方财务处开具的履约保证金收据，乙方向甲方开具等额有效的合格增值税专用发票。甲方开票信息如下：</w:t>
      </w:r>
    </w:p>
    <w:p w14:paraId="15DF0EC9">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单位名称：杭州电子科技大学。税号：12330000470009026T</w:t>
      </w:r>
    </w:p>
    <w:p w14:paraId="15DF0ECA">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开户银行：工行杭州高新支行。账号：1202026209008806216</w:t>
      </w:r>
    </w:p>
    <w:p w14:paraId="15DF0ECB">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 xml:space="preserve">四、知识产权 </w:t>
      </w:r>
    </w:p>
    <w:p w14:paraId="15DF0ECC">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bookmarkStart w:id="62" w:name="_Hlk155103594"/>
    </w:p>
    <w:bookmarkEnd w:id="62"/>
    <w:p w14:paraId="15DF0ECD">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2.涉及产品定做的，甲方交付给乙方的设计图纸、样品、模具等商业秘密和知识产权归属于甲方，许可乙方在合同范围内使用，乙方负有保密责任。</w:t>
      </w:r>
    </w:p>
    <w:p w14:paraId="15DF0ECE">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3</w:t>
      </w:r>
      <w:r>
        <w:rPr>
          <w:rFonts w:hint="eastAsia" w:ascii="宋体" w:hAnsi="宋体" w:eastAsia="宋体" w:cs="宋体"/>
          <w:spacing w:val="-6"/>
          <w:kern w:val="0"/>
          <w:szCs w:val="21"/>
        </w:rPr>
        <w:t>.</w:t>
      </w:r>
      <w:r>
        <w:rPr>
          <w:rFonts w:hint="eastAsia" w:ascii="宋体" w:hAnsi="宋体" w:eastAsia="宋体" w:cs="宋体"/>
          <w:kern w:val="0"/>
          <w:szCs w:val="21"/>
        </w:rPr>
        <w:t>乙方违反上述条款导致甲方受损的，由此所导致的所有责任以及甲方所支付的所有费用（包括但不限于律师费、诉讼费等）均由乙方承担。</w:t>
      </w:r>
    </w:p>
    <w:p w14:paraId="15DF0ECF">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五、转包或分包</w:t>
      </w:r>
    </w:p>
    <w:p w14:paraId="15DF0ED0">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本合同范围的货物，应由乙方直接供应，不得转让他人供应。</w:t>
      </w:r>
    </w:p>
    <w:p w14:paraId="15DF0ED1">
      <w:pPr>
        <w:spacing w:line="288" w:lineRule="auto"/>
        <w:ind w:firstLine="420" w:firstLineChars="200"/>
        <w:rPr>
          <w:rFonts w:hint="eastAsia" w:ascii="宋体" w:hAnsi="宋体" w:eastAsia="宋体" w:cs="宋体"/>
          <w:snapToGrid w:val="0"/>
          <w:szCs w:val="21"/>
        </w:rPr>
      </w:pPr>
      <w:r>
        <w:rPr>
          <w:rFonts w:hint="eastAsia" w:ascii="宋体" w:hAnsi="宋体" w:eastAsia="宋体" w:cs="宋体"/>
          <w:szCs w:val="21"/>
        </w:rPr>
        <w:t>2</w:t>
      </w:r>
      <w:r>
        <w:rPr>
          <w:rFonts w:hint="eastAsia" w:ascii="宋体" w:hAnsi="宋体" w:eastAsia="宋体" w:cs="宋体"/>
          <w:snapToGrid w:val="0"/>
          <w:spacing w:val="-6"/>
          <w:szCs w:val="21"/>
        </w:rPr>
        <w:t>.</w:t>
      </w:r>
      <w:r>
        <w:rPr>
          <w:rFonts w:hint="eastAsia" w:ascii="宋体" w:hAnsi="宋体" w:eastAsia="宋体" w:cs="宋体"/>
          <w:snapToGrid w:val="0"/>
          <w:szCs w:val="21"/>
        </w:rPr>
        <w:t>除非得到甲方的书面同意，乙方不得将本合同范围的货物分包给他人供应。</w:t>
      </w:r>
    </w:p>
    <w:p w14:paraId="15DF0ED2">
      <w:pPr>
        <w:spacing w:line="288" w:lineRule="auto"/>
        <w:ind w:firstLine="420" w:firstLineChars="200"/>
        <w:rPr>
          <w:rFonts w:hint="eastAsia" w:ascii="宋体" w:hAnsi="宋体" w:eastAsia="宋体" w:cs="宋体"/>
          <w:szCs w:val="21"/>
        </w:rPr>
      </w:pPr>
      <w:r>
        <w:rPr>
          <w:rFonts w:hint="eastAsia" w:ascii="宋体" w:hAnsi="宋体" w:eastAsia="宋体" w:cs="宋体"/>
          <w:szCs w:val="21"/>
        </w:rPr>
        <w:t>3</w:t>
      </w:r>
      <w:r>
        <w:rPr>
          <w:rFonts w:hint="eastAsia" w:ascii="宋体" w:hAnsi="宋体" w:eastAsia="宋体" w:cs="宋体"/>
          <w:spacing w:val="-6"/>
          <w:szCs w:val="21"/>
        </w:rPr>
        <w:t>.</w:t>
      </w:r>
      <w:r>
        <w:rPr>
          <w:rFonts w:hint="eastAsia" w:ascii="宋体" w:hAnsi="宋体" w:eastAsia="宋体" w:cs="宋体"/>
          <w:szCs w:val="21"/>
        </w:rPr>
        <w:t>如有转让或未经甲方同意的分包行为，甲方有权解除合同，没收履约保证金并追究乙方的违约责任。</w:t>
      </w:r>
    </w:p>
    <w:p w14:paraId="15DF0ED3">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六、货物交付</w:t>
      </w:r>
    </w:p>
    <w:p w14:paraId="15DF0ED4">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交货期：自合同签订之日起</w:t>
      </w:r>
      <w:r>
        <w:rPr>
          <w:rFonts w:hint="eastAsia" w:ascii="宋体" w:hAnsi="宋体" w:eastAsia="宋体" w:cs="宋体"/>
          <w:kern w:val="0"/>
          <w:szCs w:val="21"/>
          <w:u w:val="single"/>
        </w:rPr>
        <w:t xml:space="preserve">      </w:t>
      </w:r>
      <w:r>
        <w:rPr>
          <w:rFonts w:hint="eastAsia" w:ascii="宋体" w:hAnsi="宋体" w:eastAsia="宋体" w:cs="宋体"/>
          <w:kern w:val="0"/>
          <w:szCs w:val="21"/>
        </w:rPr>
        <w:t>日内。</w:t>
      </w:r>
    </w:p>
    <w:p w14:paraId="15DF0ED5">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pacing w:val="-6"/>
          <w:kern w:val="0"/>
          <w:szCs w:val="21"/>
        </w:rPr>
        <w:t>.</w:t>
      </w:r>
      <w:r>
        <w:rPr>
          <w:rFonts w:hint="eastAsia" w:ascii="宋体" w:hAnsi="宋体" w:eastAsia="宋体" w:cs="宋体"/>
          <w:kern w:val="0"/>
          <w:szCs w:val="21"/>
        </w:rPr>
        <w:t>交货方式：</w:t>
      </w:r>
      <w:bookmarkStart w:id="63" w:name="_Hlk155602651"/>
      <w:r>
        <w:rPr>
          <w:rFonts w:hint="eastAsia" w:ascii="宋体" w:hAnsi="宋体" w:eastAsia="宋体" w:cs="宋体"/>
          <w:kern w:val="0"/>
          <w:szCs w:val="21"/>
        </w:rPr>
        <w:t>　　　送货上门　　</w:t>
      </w:r>
      <w:bookmarkStart w:id="64" w:name="_Hlk155602451"/>
      <w:r>
        <w:rPr>
          <w:rFonts w:hint="eastAsia" w:ascii="宋体" w:hAnsi="宋体" w:eastAsia="宋体" w:cs="宋体"/>
          <w:kern w:val="0"/>
          <w:szCs w:val="21"/>
        </w:rPr>
        <w:t>。</w:t>
      </w:r>
      <w:bookmarkEnd w:id="63"/>
      <w:bookmarkEnd w:id="64"/>
    </w:p>
    <w:p w14:paraId="15DF0ED6">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3</w:t>
      </w:r>
      <w:r>
        <w:rPr>
          <w:rFonts w:hint="eastAsia" w:ascii="宋体" w:hAnsi="宋体" w:eastAsia="宋体" w:cs="宋体"/>
          <w:spacing w:val="-6"/>
          <w:kern w:val="0"/>
          <w:szCs w:val="21"/>
        </w:rPr>
        <w:t>.</w:t>
      </w:r>
      <w:r>
        <w:rPr>
          <w:rFonts w:hint="eastAsia" w:ascii="宋体" w:hAnsi="宋体" w:eastAsia="宋体" w:cs="宋体"/>
          <w:kern w:val="0"/>
          <w:szCs w:val="21"/>
        </w:rPr>
        <w:t>交货地点：</w:t>
      </w:r>
      <w:bookmarkStart w:id="65" w:name="_Hlk155602663"/>
      <w:r>
        <w:rPr>
          <w:rFonts w:hint="eastAsia" w:ascii="宋体" w:hAnsi="宋体" w:eastAsia="宋体" w:cs="宋体"/>
          <w:kern w:val="0"/>
          <w:szCs w:val="21"/>
        </w:rPr>
        <w:t xml:space="preserve"> 　　甲方指定地点　 。</w:t>
      </w:r>
      <w:bookmarkEnd w:id="65"/>
    </w:p>
    <w:p w14:paraId="15DF0ED7">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4</w:t>
      </w:r>
      <w:r>
        <w:rPr>
          <w:rFonts w:hint="eastAsia" w:ascii="宋体" w:hAnsi="宋体" w:eastAsia="宋体" w:cs="宋体"/>
          <w:spacing w:val="-6"/>
          <w:kern w:val="0"/>
          <w:szCs w:val="21"/>
        </w:rPr>
        <w:t>.</w:t>
      </w:r>
      <w:r>
        <w:rPr>
          <w:rFonts w:hint="eastAsia" w:ascii="宋体" w:hAnsi="宋体" w:eastAsia="宋体" w:cs="宋体"/>
          <w:kern w:val="0"/>
          <w:szCs w:val="21"/>
        </w:rPr>
        <w:t>联系人及电话：</w:t>
      </w:r>
      <w:bookmarkStart w:id="66" w:name="_Hlk155181628"/>
      <w:r>
        <w:rPr>
          <w:rFonts w:hint="eastAsia" w:ascii="宋体" w:hAnsi="宋体" w:eastAsia="宋体" w:cs="宋体"/>
          <w:kern w:val="0"/>
          <w:szCs w:val="21"/>
        </w:rPr>
        <w:t>甲方 姓名_________联系电话</w:t>
      </w:r>
      <w:r>
        <w:rPr>
          <w:rFonts w:hint="eastAsia" w:ascii="宋体" w:hAnsi="宋体" w:eastAsia="宋体" w:cs="宋体"/>
          <w:kern w:val="0"/>
          <w:szCs w:val="21"/>
          <w:u w:val="single"/>
        </w:rPr>
        <w:t xml:space="preserve">（办公电话及手机号） </w:t>
      </w:r>
      <w:r>
        <w:rPr>
          <w:rFonts w:hint="eastAsia" w:ascii="宋体" w:hAnsi="宋体" w:eastAsia="宋体" w:cs="宋体"/>
          <w:kern w:val="0"/>
          <w:szCs w:val="21"/>
        </w:rPr>
        <w:t>；乙方 姓名 __________联系电话</w:t>
      </w:r>
      <w:r>
        <w:rPr>
          <w:rFonts w:hint="eastAsia" w:ascii="宋体" w:hAnsi="宋体" w:eastAsia="宋体" w:cs="宋体"/>
          <w:kern w:val="0"/>
          <w:szCs w:val="21"/>
          <w:u w:val="single"/>
        </w:rPr>
        <w:t xml:space="preserve">（办公电话及手机号） </w:t>
      </w:r>
      <w:bookmarkEnd w:id="66"/>
      <w:r>
        <w:rPr>
          <w:rFonts w:hint="eastAsia" w:ascii="宋体" w:hAnsi="宋体" w:eastAsia="宋体" w:cs="宋体"/>
          <w:kern w:val="0"/>
          <w:szCs w:val="21"/>
        </w:rPr>
        <w:t>。</w:t>
      </w:r>
    </w:p>
    <w:p w14:paraId="15DF0ED8">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5</w:t>
      </w:r>
      <w:r>
        <w:rPr>
          <w:rFonts w:hint="eastAsia" w:ascii="宋体" w:hAnsi="宋体" w:eastAsia="宋体" w:cs="宋体"/>
          <w:spacing w:val="-6"/>
          <w:kern w:val="0"/>
          <w:szCs w:val="21"/>
        </w:rPr>
        <w:t>.</w:t>
      </w:r>
      <w:r>
        <w:rPr>
          <w:rFonts w:hint="eastAsia" w:ascii="宋体" w:hAnsi="宋体" w:eastAsia="宋体" w:cs="宋体"/>
          <w:kern w:val="0"/>
          <w:szCs w:val="21"/>
        </w:rPr>
        <w:t>乙方应在交货前3日内，以电话或传真向甲方提供交货计划（内容包括合同号、设备名称、型号规格、数量、重量和体积的约数、交货时间、地点、运输安排）。甲方应及时作好准备，办妥一切接货手续。</w:t>
      </w:r>
    </w:p>
    <w:p w14:paraId="15DF0ED9">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6</w:t>
      </w:r>
      <w:r>
        <w:rPr>
          <w:rFonts w:hint="eastAsia" w:ascii="宋体" w:hAnsi="宋体" w:eastAsia="宋体" w:cs="宋体"/>
          <w:spacing w:val="-6"/>
          <w:kern w:val="0"/>
          <w:szCs w:val="21"/>
        </w:rPr>
        <w:t>.</w:t>
      </w:r>
      <w:r>
        <w:rPr>
          <w:rFonts w:hint="eastAsia" w:ascii="宋体" w:hAnsi="宋体" w:eastAsia="宋体" w:cs="宋体"/>
          <w:kern w:val="0"/>
          <w:szCs w:val="21"/>
        </w:rPr>
        <w:t>本合同所有物品运抵甲方现场后，乙方应在确保设备外包装完好无损的情况下向甲方交货，出现货物不全，外包装破损等情况，甲方不予接收，由乙方负责更换，其相关费用由乙方负担。</w:t>
      </w:r>
    </w:p>
    <w:p w14:paraId="15DF0EDA">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7</w:t>
      </w:r>
      <w:r>
        <w:rPr>
          <w:rFonts w:hint="eastAsia" w:ascii="宋体" w:hAnsi="宋体" w:eastAsia="宋体" w:cs="宋体"/>
          <w:spacing w:val="-6"/>
          <w:kern w:val="0"/>
          <w:szCs w:val="21"/>
        </w:rPr>
        <w:t>.</w:t>
      </w:r>
      <w:r>
        <w:rPr>
          <w:rFonts w:hint="eastAsia" w:ascii="宋体" w:hAnsi="宋体" w:eastAsia="宋体" w:cs="宋体"/>
          <w:kern w:val="0"/>
          <w:szCs w:val="21"/>
        </w:rPr>
        <w:t>乙方负责在约定期内将货物安全运抵指定地点，运输方式由乙方自行决定，相关费用由乙方承担。运输途中产生的交通事故、人身伤害、财产损失等责任均由乙方自行承担，与甲方无涉。</w:t>
      </w:r>
    </w:p>
    <w:p w14:paraId="15DF0EDB">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七、安装与验收</w:t>
      </w:r>
    </w:p>
    <w:p w14:paraId="15DF0EDC">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验收由甲方负责实施，甲乙双方验收人员在安装数量和合同价格清单上签字确认。</w:t>
      </w:r>
    </w:p>
    <w:p w14:paraId="15DF0EDD">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15DF0EDE">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pacing w:val="-6"/>
          <w:kern w:val="0"/>
          <w:szCs w:val="21"/>
        </w:rPr>
        <w:t>.</w:t>
      </w:r>
      <w:r>
        <w:rPr>
          <w:rFonts w:hint="eastAsia" w:ascii="宋体" w:hAnsi="宋体" w:eastAsia="宋体" w:cs="宋体"/>
          <w:kern w:val="0"/>
          <w:szCs w:val="21"/>
        </w:rPr>
        <w:t>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14:paraId="15DF0EDF">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3</w:t>
      </w:r>
      <w:r>
        <w:rPr>
          <w:rFonts w:hint="eastAsia" w:ascii="宋体" w:hAnsi="宋体" w:eastAsia="宋体" w:cs="宋体"/>
          <w:spacing w:val="-6"/>
          <w:kern w:val="0"/>
          <w:szCs w:val="21"/>
        </w:rPr>
        <w:t>.</w:t>
      </w:r>
      <w:r>
        <w:rPr>
          <w:rFonts w:hint="eastAsia" w:ascii="宋体" w:hAnsi="宋体" w:eastAsia="宋体" w:cs="宋体"/>
          <w:kern w:val="0"/>
          <w:szCs w:val="21"/>
        </w:rPr>
        <w:t>最终验收：货物经安装调试完成且符合技术要求后，甲方负责在</w:t>
      </w:r>
      <w:r>
        <w:rPr>
          <w:rFonts w:hint="eastAsia" w:ascii="宋体" w:hAnsi="宋体" w:eastAsia="宋体" w:cs="宋体"/>
          <w:kern w:val="0"/>
          <w:szCs w:val="21"/>
          <w:u w:val="single"/>
        </w:rPr>
        <w:t xml:space="preserve">    </w:t>
      </w:r>
      <w:r>
        <w:rPr>
          <w:rFonts w:hint="eastAsia" w:ascii="宋体" w:hAnsi="宋体" w:eastAsia="宋体" w:cs="宋体"/>
          <w:kern w:val="0"/>
          <w:szCs w:val="21"/>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bookmarkStart w:id="67" w:name="_Hlk155181772"/>
    </w:p>
    <w:bookmarkEnd w:id="67"/>
    <w:p w14:paraId="15DF0EE0">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八、质量保证与售后服务</w:t>
      </w:r>
    </w:p>
    <w:p w14:paraId="15DF0EE1">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乙方</w:t>
      </w:r>
      <w:bookmarkStart w:id="68" w:name="_Hlk154577956"/>
      <w:r>
        <w:rPr>
          <w:rFonts w:hint="eastAsia" w:ascii="宋体" w:hAnsi="宋体" w:eastAsia="宋体" w:cs="宋体"/>
          <w:kern w:val="0"/>
          <w:szCs w:val="21"/>
        </w:rPr>
        <w:t>应按采购文件规定的货物性能、技术要求、质量标准向甲方提供</w:t>
      </w:r>
      <w:r>
        <w:rPr>
          <w:rFonts w:hint="eastAsia" w:ascii="宋体" w:hAnsi="宋体" w:eastAsia="宋体" w:cs="宋体"/>
          <w:kern w:val="0"/>
          <w:szCs w:val="21"/>
          <w:u w:val="single"/>
        </w:rPr>
        <w:t xml:space="preserve">      </w:t>
      </w:r>
      <w:r>
        <w:rPr>
          <w:rFonts w:hint="eastAsia" w:ascii="宋体" w:hAnsi="宋体" w:eastAsia="宋体" w:cs="宋体"/>
          <w:kern w:val="0"/>
          <w:szCs w:val="21"/>
        </w:rPr>
        <w:t>年</w:t>
      </w:r>
      <w:r>
        <w:rPr>
          <w:rFonts w:hint="eastAsia" w:ascii="宋体" w:hAnsi="宋体" w:eastAsia="宋体" w:cs="宋体"/>
          <w:kern w:val="0"/>
          <w:szCs w:val="21"/>
          <w:u w:val="single"/>
        </w:rPr>
        <w:t xml:space="preserve">   </w:t>
      </w:r>
      <w:r>
        <w:rPr>
          <w:rFonts w:hint="eastAsia" w:ascii="宋体" w:hAnsi="宋体" w:eastAsia="宋体" w:cs="宋体"/>
          <w:kern w:val="0"/>
          <w:szCs w:val="21"/>
        </w:rPr>
        <w:t>月后生产的，全新未经使用的，符合国家法律规定和技术规格、质量标准的出厂原装合格产品。</w:t>
      </w:r>
      <w:bookmarkEnd w:id="68"/>
    </w:p>
    <w:p w14:paraId="15DF0EE2">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pacing w:val="-6"/>
          <w:kern w:val="0"/>
          <w:szCs w:val="21"/>
        </w:rPr>
        <w:t>.</w:t>
      </w:r>
      <w:r>
        <w:rPr>
          <w:rFonts w:hint="eastAsia" w:ascii="宋体" w:hAnsi="宋体" w:eastAsia="宋体" w:cs="宋体"/>
          <w:kern w:val="0"/>
          <w:szCs w:val="21"/>
        </w:rPr>
        <w:t>售后服务</w:t>
      </w:r>
    </w:p>
    <w:p w14:paraId="15DF0EE3">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2.1远程技术支持：乙方应具有稳定的技术支持队伍和完善的服务支持网络，提供</w:t>
      </w:r>
      <w:r>
        <w:rPr>
          <w:rFonts w:hint="eastAsia" w:ascii="宋体" w:hAnsi="宋体" w:eastAsia="宋体" w:cs="宋体"/>
          <w:kern w:val="0"/>
          <w:szCs w:val="21"/>
          <w:u w:val="single"/>
        </w:rPr>
        <w:t xml:space="preserve"> 7×24小时 </w:t>
      </w:r>
      <w:r>
        <w:rPr>
          <w:rFonts w:hint="eastAsia" w:ascii="宋体" w:hAnsi="宋体" w:eastAsia="宋体" w:cs="宋体"/>
          <w:kern w:val="0"/>
          <w:szCs w:val="21"/>
        </w:rPr>
        <w:t>技术支持服务，及时响应甲方的技术服务支持需求，提出有效的解决方案，解决甲方在货物使用过程中遇到的实际问题。</w:t>
      </w:r>
    </w:p>
    <w:p w14:paraId="15DF0EE4">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2.2现场技术支持：对于通过电话、邮件等远程技术支持不能解决的问题，乙方应在</w:t>
      </w:r>
      <w:r>
        <w:rPr>
          <w:rFonts w:hint="eastAsia" w:ascii="宋体" w:hAnsi="宋体" w:eastAsia="宋体" w:cs="宋体"/>
          <w:kern w:val="0"/>
          <w:szCs w:val="21"/>
          <w:u w:val="single"/>
        </w:rPr>
        <w:t xml:space="preserve">      </w:t>
      </w:r>
      <w:r>
        <w:rPr>
          <w:rFonts w:hint="eastAsia" w:ascii="宋体" w:hAnsi="宋体" w:eastAsia="宋体" w:cs="宋体"/>
          <w:kern w:val="0"/>
          <w:szCs w:val="21"/>
        </w:rPr>
        <w:t>小时内派遣相关人员赶赴现场，</w:t>
      </w:r>
      <w:r>
        <w:rPr>
          <w:rFonts w:hint="eastAsia" w:ascii="宋体" w:hAnsi="宋体" w:eastAsia="宋体" w:cs="宋体"/>
          <w:kern w:val="0"/>
          <w:szCs w:val="21"/>
          <w:u w:val="single"/>
        </w:rPr>
        <w:t xml:space="preserve">     </w:t>
      </w:r>
      <w:r>
        <w:rPr>
          <w:rFonts w:hint="eastAsia" w:ascii="宋体" w:hAnsi="宋体" w:eastAsia="宋体" w:cs="宋体"/>
          <w:kern w:val="0"/>
          <w:szCs w:val="21"/>
        </w:rPr>
        <w:t>小时内维修完毕；发生紧急抢修事故的，乙方应在接到甲方通知后</w:t>
      </w:r>
      <w:r>
        <w:rPr>
          <w:rFonts w:hint="eastAsia" w:ascii="宋体" w:hAnsi="宋体" w:eastAsia="宋体" w:cs="宋体"/>
          <w:kern w:val="0"/>
          <w:szCs w:val="21"/>
          <w:u w:val="single"/>
        </w:rPr>
        <w:t xml:space="preserve">     </w:t>
      </w:r>
      <w:r>
        <w:rPr>
          <w:rFonts w:hint="eastAsia" w:ascii="宋体" w:hAnsi="宋体" w:eastAsia="宋体" w:cs="宋体"/>
          <w:kern w:val="0"/>
          <w:szCs w:val="21"/>
        </w:rPr>
        <w:t>小时内到达现场抢修，并于到达现场</w:t>
      </w:r>
      <w:r>
        <w:rPr>
          <w:rFonts w:hint="eastAsia" w:ascii="宋体" w:hAnsi="宋体" w:eastAsia="宋体" w:cs="宋体"/>
          <w:kern w:val="0"/>
          <w:szCs w:val="21"/>
          <w:u w:val="single"/>
        </w:rPr>
        <w:t xml:space="preserve">    </w:t>
      </w:r>
      <w:r>
        <w:rPr>
          <w:rFonts w:hint="eastAsia" w:ascii="宋体" w:hAnsi="宋体" w:eastAsia="宋体" w:cs="宋体"/>
          <w:kern w:val="0"/>
          <w:szCs w:val="21"/>
        </w:rPr>
        <w:t>小时之内排除故障。乙方未在约定时间内修复的或同一货物经</w:t>
      </w:r>
      <w:r>
        <w:rPr>
          <w:rFonts w:hint="eastAsia" w:ascii="宋体" w:hAnsi="宋体" w:eastAsia="宋体" w:cs="宋体"/>
          <w:kern w:val="0"/>
          <w:szCs w:val="21"/>
          <w:u w:val="single"/>
        </w:rPr>
        <w:t xml:space="preserve">    </w:t>
      </w:r>
      <w:r>
        <w:rPr>
          <w:rFonts w:hint="eastAsia" w:ascii="宋体" w:hAnsi="宋体" w:eastAsia="宋体" w:cs="宋体"/>
          <w:kern w:val="0"/>
          <w:szCs w:val="21"/>
        </w:rPr>
        <w:t>次维修后仍不能稳定、可靠运行的，甲方有权要求乙方免费更换。</w:t>
      </w:r>
    </w:p>
    <w:p w14:paraId="15DF0EE5">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九、保密条款</w:t>
      </w:r>
    </w:p>
    <w:p w14:paraId="15DF0EE6">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14:paraId="15DF0EE7">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十、违约责任</w:t>
      </w:r>
    </w:p>
    <w:p w14:paraId="15DF0EE8">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甲方无故逾期验收和办理货款支付手续的，每逾期一日，应按逾期付款总额</w:t>
      </w:r>
      <w:r>
        <w:rPr>
          <w:rFonts w:hint="eastAsia" w:ascii="宋体" w:hAnsi="宋体" w:eastAsia="宋体" w:cs="宋体"/>
          <w:kern w:val="0"/>
          <w:szCs w:val="21"/>
          <w:u w:val="single"/>
        </w:rPr>
        <w:t>千分之一</w:t>
      </w:r>
      <w:r>
        <w:rPr>
          <w:rFonts w:hint="eastAsia" w:ascii="宋体" w:hAnsi="宋体" w:eastAsia="宋体" w:cs="宋体"/>
          <w:kern w:val="0"/>
          <w:szCs w:val="21"/>
        </w:rPr>
        <w:t>向乙方支付违约金。</w:t>
      </w:r>
    </w:p>
    <w:p w14:paraId="15DF0EE9">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pacing w:val="-6"/>
          <w:kern w:val="0"/>
          <w:szCs w:val="21"/>
        </w:rPr>
        <w:t>.</w:t>
      </w:r>
      <w:r>
        <w:rPr>
          <w:rFonts w:hint="eastAsia" w:ascii="宋体" w:hAnsi="宋体" w:eastAsia="宋体" w:cs="宋体"/>
          <w:kern w:val="0"/>
          <w:szCs w:val="21"/>
        </w:rPr>
        <w:t>乙方逾期交货完工的，每逾期一日，应按合同总价</w:t>
      </w:r>
      <w:r>
        <w:rPr>
          <w:rFonts w:hint="eastAsia" w:ascii="宋体" w:hAnsi="宋体" w:eastAsia="宋体" w:cs="宋体"/>
          <w:kern w:val="0"/>
          <w:szCs w:val="21"/>
          <w:u w:val="single"/>
        </w:rPr>
        <w:t>千分之一</w:t>
      </w:r>
      <w:r>
        <w:rPr>
          <w:rFonts w:hint="eastAsia" w:ascii="宋体" w:hAnsi="宋体" w:eastAsia="宋体" w:cs="宋体"/>
          <w:kern w:val="0"/>
          <w:szCs w:val="21"/>
        </w:rPr>
        <w:t>向甲方支付违约金。逾期超过约定日期</w:t>
      </w:r>
      <w:r>
        <w:rPr>
          <w:rFonts w:hint="eastAsia" w:ascii="宋体" w:hAnsi="宋体" w:eastAsia="宋体" w:cs="宋体"/>
          <w:kern w:val="0"/>
          <w:szCs w:val="21"/>
          <w:u w:val="single"/>
        </w:rPr>
        <w:t xml:space="preserve"> 10 </w:t>
      </w:r>
      <w:r>
        <w:rPr>
          <w:rFonts w:hint="eastAsia" w:ascii="宋体" w:hAnsi="宋体" w:eastAsia="宋体" w:cs="宋体"/>
          <w:kern w:val="0"/>
          <w:szCs w:val="21"/>
        </w:rPr>
        <w:t>个工作日不能交货完工的，甲方有权解除本合同，并要求乙方支付合同总价</w:t>
      </w:r>
      <w:r>
        <w:rPr>
          <w:rFonts w:hint="eastAsia" w:ascii="宋体" w:hAnsi="宋体" w:eastAsia="宋体" w:cs="宋体"/>
          <w:kern w:val="0"/>
          <w:szCs w:val="21"/>
          <w:u w:val="single"/>
        </w:rPr>
        <w:t xml:space="preserve"> 5 %</w:t>
      </w:r>
      <w:r>
        <w:rPr>
          <w:rFonts w:hint="eastAsia" w:ascii="宋体" w:hAnsi="宋体" w:eastAsia="宋体" w:cs="宋体"/>
          <w:kern w:val="0"/>
          <w:szCs w:val="21"/>
        </w:rPr>
        <w:t>的违约金，违约金不足以弥补甲方损失的，乙方还应负责赔偿。</w:t>
      </w:r>
    </w:p>
    <w:p w14:paraId="15DF0EEA">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3</w:t>
      </w:r>
      <w:r>
        <w:rPr>
          <w:rFonts w:hint="eastAsia" w:ascii="宋体" w:hAnsi="宋体" w:eastAsia="宋体" w:cs="宋体"/>
          <w:spacing w:val="-6"/>
          <w:kern w:val="0"/>
          <w:szCs w:val="21"/>
        </w:rPr>
        <w:t>.</w:t>
      </w:r>
      <w:r>
        <w:rPr>
          <w:rFonts w:hint="eastAsia" w:ascii="宋体" w:hAnsi="宋体" w:eastAsia="宋体" w:cs="宋体"/>
          <w:kern w:val="0"/>
          <w:szCs w:val="21"/>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rFonts w:hint="eastAsia" w:ascii="宋体" w:hAnsi="宋体" w:eastAsia="宋体" w:cs="宋体"/>
          <w:kern w:val="0"/>
          <w:szCs w:val="21"/>
          <w:u w:val="single"/>
        </w:rPr>
        <w:t xml:space="preserve"> 5 %</w:t>
      </w:r>
      <w:r>
        <w:rPr>
          <w:rFonts w:hint="eastAsia" w:ascii="宋体" w:hAnsi="宋体" w:eastAsia="宋体" w:cs="宋体"/>
          <w:kern w:val="0"/>
          <w:szCs w:val="21"/>
        </w:rPr>
        <w:t>的违约金，违约金不足以弥补甲方损失的，乙方还应负责赔偿。</w:t>
      </w:r>
    </w:p>
    <w:p w14:paraId="15DF0EEB">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4</w:t>
      </w:r>
      <w:r>
        <w:rPr>
          <w:rFonts w:hint="eastAsia" w:ascii="宋体" w:hAnsi="宋体" w:eastAsia="宋体" w:cs="宋体"/>
          <w:spacing w:val="-6"/>
          <w:kern w:val="0"/>
          <w:szCs w:val="21"/>
        </w:rPr>
        <w:t>.</w:t>
      </w:r>
      <w:r>
        <w:rPr>
          <w:rFonts w:hint="eastAsia" w:ascii="宋体" w:hAnsi="宋体" w:eastAsia="宋体" w:cs="宋体"/>
          <w:kern w:val="0"/>
          <w:szCs w:val="21"/>
        </w:rPr>
        <w:t>乙方未能按约定要求履行保修义务的，</w:t>
      </w:r>
      <w:bookmarkStart w:id="69" w:name="_Hlk154755811"/>
      <w:r>
        <w:rPr>
          <w:rFonts w:hint="eastAsia" w:ascii="宋体" w:hAnsi="宋体" w:eastAsia="宋体" w:cs="宋体"/>
          <w:kern w:val="0"/>
          <w:szCs w:val="21"/>
        </w:rPr>
        <w:t>每发生一次应向甲方支付</w:t>
      </w:r>
      <w:r>
        <w:rPr>
          <w:rFonts w:hint="eastAsia" w:ascii="宋体" w:hAnsi="宋体" w:eastAsia="宋体" w:cs="宋体"/>
          <w:kern w:val="0"/>
          <w:szCs w:val="21"/>
          <w:u w:val="single"/>
        </w:rPr>
        <w:t>1000</w:t>
      </w:r>
      <w:r>
        <w:rPr>
          <w:rFonts w:hint="eastAsia" w:ascii="宋体" w:hAnsi="宋体" w:eastAsia="宋体" w:cs="宋体"/>
          <w:kern w:val="0"/>
          <w:szCs w:val="21"/>
        </w:rPr>
        <w:t>元的违约金，同时，甲方有权委托第三方进行保修，所产生的费用由乙方承担。</w:t>
      </w:r>
      <w:bookmarkEnd w:id="69"/>
      <w:r>
        <w:rPr>
          <w:rFonts w:hint="eastAsia" w:ascii="宋体" w:hAnsi="宋体" w:eastAsia="宋体" w:cs="宋体"/>
          <w:kern w:val="0"/>
          <w:szCs w:val="21"/>
        </w:rPr>
        <w:t>若因货物缺陷或乙方服务质量等问题造成甲方或任何人员人身、财产损害的，乙方应承担有关责任并作出相应赔偿。</w:t>
      </w:r>
    </w:p>
    <w:p w14:paraId="15DF0EEC">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5</w:t>
      </w:r>
      <w:r>
        <w:rPr>
          <w:rFonts w:hint="eastAsia" w:ascii="宋体" w:hAnsi="宋体" w:eastAsia="宋体" w:cs="宋体"/>
          <w:spacing w:val="-6"/>
          <w:kern w:val="0"/>
          <w:szCs w:val="21"/>
        </w:rPr>
        <w:t>.</w:t>
      </w:r>
      <w:r>
        <w:rPr>
          <w:rFonts w:hint="eastAsia" w:ascii="宋体" w:hAnsi="宋体" w:eastAsia="宋体" w:cs="宋体"/>
          <w:kern w:val="0"/>
          <w:szCs w:val="21"/>
        </w:rPr>
        <w:t xml:space="preserve">因乙方其他违约行为导致甲方解除合同的，乙方应向甲方支付合同总价 </w:t>
      </w:r>
      <w:r>
        <w:rPr>
          <w:rFonts w:hint="eastAsia" w:ascii="宋体" w:hAnsi="宋体" w:eastAsia="宋体" w:cs="宋体"/>
          <w:kern w:val="0"/>
          <w:szCs w:val="21"/>
          <w:u w:val="single"/>
        </w:rPr>
        <w:t>5 %</w:t>
      </w:r>
      <w:r>
        <w:rPr>
          <w:rFonts w:hint="eastAsia" w:ascii="宋体" w:hAnsi="宋体" w:eastAsia="宋体" w:cs="宋体"/>
          <w:kern w:val="0"/>
          <w:szCs w:val="21"/>
        </w:rPr>
        <w:t>的违约金，违约金不足以弥补甲方损失的，乙方还应负责赔偿。</w:t>
      </w:r>
    </w:p>
    <w:p w14:paraId="15DF0EED">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十一、不可抗力</w:t>
      </w:r>
    </w:p>
    <w:p w14:paraId="15DF0EEE">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在合同有效期内，任何一方因不可抗力事件导致不能履行合同，则合同履行期可延长，其延长期与不可抗力影响期相同。</w:t>
      </w:r>
    </w:p>
    <w:p w14:paraId="15DF0EEF">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pacing w:val="-6"/>
          <w:kern w:val="0"/>
          <w:szCs w:val="21"/>
        </w:rPr>
        <w:t>.</w:t>
      </w:r>
      <w:r>
        <w:rPr>
          <w:rFonts w:hint="eastAsia" w:ascii="宋体" w:hAnsi="宋体" w:eastAsia="宋体" w:cs="宋体"/>
          <w:kern w:val="0"/>
          <w:szCs w:val="21"/>
        </w:rPr>
        <w:t>本条所述的“不可抗力”系指双方不可预见、不可避免、不可克服的事件。</w:t>
      </w:r>
    </w:p>
    <w:p w14:paraId="15DF0EF0">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3</w:t>
      </w:r>
      <w:r>
        <w:rPr>
          <w:rFonts w:hint="eastAsia" w:ascii="宋体" w:hAnsi="宋体" w:eastAsia="宋体" w:cs="宋体"/>
          <w:spacing w:val="-6"/>
          <w:kern w:val="0"/>
          <w:szCs w:val="21"/>
        </w:rPr>
        <w:t>.</w:t>
      </w:r>
      <w:r>
        <w:rPr>
          <w:rFonts w:hint="eastAsia" w:ascii="宋体" w:hAnsi="宋体" w:eastAsia="宋体" w:cs="宋体"/>
          <w:kern w:val="0"/>
          <w:szCs w:val="21"/>
        </w:rPr>
        <w:t>不可抗力事件发生后，受不可抗力事件影响的一方应在事件发生后3日内通知对方，并寄送有关权威机构出具的证明。同时应立即尽一切合理努力采取措施，消除影响，减少损失。</w:t>
      </w:r>
    </w:p>
    <w:p w14:paraId="15DF0EF1">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4</w:t>
      </w:r>
      <w:r>
        <w:rPr>
          <w:rFonts w:hint="eastAsia" w:ascii="宋体" w:hAnsi="宋体" w:eastAsia="宋体" w:cs="宋体"/>
          <w:spacing w:val="-6"/>
          <w:kern w:val="0"/>
          <w:szCs w:val="21"/>
        </w:rPr>
        <w:t>.</w:t>
      </w:r>
      <w:r>
        <w:rPr>
          <w:rFonts w:hint="eastAsia" w:ascii="宋体" w:hAnsi="宋体" w:eastAsia="宋体" w:cs="宋体"/>
          <w:kern w:val="0"/>
          <w:szCs w:val="21"/>
        </w:rPr>
        <w:t>不可抗力事件延续30天以上，双方应通过友好协商，确定是否继续履行合同。</w:t>
      </w:r>
    </w:p>
    <w:p w14:paraId="15DF0EF2">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十二、法律适用与争议解决</w:t>
      </w:r>
    </w:p>
    <w:p w14:paraId="15DF0EF3">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本合同的订立、解释、履行及争议解决，均适用中华人民共和国法律。</w:t>
      </w:r>
    </w:p>
    <w:p w14:paraId="15DF0EF4">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pacing w:val="-6"/>
          <w:kern w:val="0"/>
          <w:szCs w:val="21"/>
        </w:rPr>
        <w:t>.</w:t>
      </w:r>
      <w:r>
        <w:rPr>
          <w:rFonts w:hint="eastAsia" w:ascii="宋体" w:hAnsi="宋体" w:eastAsia="宋体" w:cs="宋体"/>
          <w:kern w:val="0"/>
          <w:szCs w:val="21"/>
        </w:rPr>
        <w:t>本合同履行过程中发生争议的，甲乙双方应友好协商；协商不成的，任何一方可向甲方所在地人民法院起诉。</w:t>
      </w:r>
    </w:p>
    <w:p w14:paraId="15DF0EF5">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十三、合同生效及其他</w:t>
      </w:r>
    </w:p>
    <w:p w14:paraId="15DF0EF6">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本合同经甲、乙双方代表签字并加盖单位公章或合同专用章后生效，甲方的单位公章盖采购中心合同专用章（其他部门公章无效）。</w:t>
      </w:r>
    </w:p>
    <w:p w14:paraId="15DF0EF7">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pacing w:val="-6"/>
          <w:kern w:val="0"/>
          <w:szCs w:val="21"/>
        </w:rPr>
        <w:t>.</w:t>
      </w:r>
      <w:r>
        <w:rPr>
          <w:rFonts w:hint="eastAsia" w:ascii="宋体" w:hAnsi="宋体" w:eastAsia="宋体" w:cs="宋体"/>
          <w:kern w:val="0"/>
          <w:szCs w:val="21"/>
        </w:rPr>
        <w:t>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w:t>
      </w:r>
    </w:p>
    <w:p w14:paraId="15DF0EF8">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3</w:t>
      </w:r>
      <w:r>
        <w:rPr>
          <w:rFonts w:hint="eastAsia" w:ascii="宋体" w:hAnsi="宋体" w:eastAsia="宋体" w:cs="宋体"/>
          <w:spacing w:val="-6"/>
          <w:kern w:val="0"/>
          <w:szCs w:val="21"/>
        </w:rPr>
        <w:t>.</w:t>
      </w:r>
      <w:r>
        <w:rPr>
          <w:rFonts w:hint="eastAsia" w:ascii="宋体" w:hAnsi="宋体" w:eastAsia="宋体" w:cs="宋体"/>
          <w:kern w:val="0"/>
          <w:szCs w:val="21"/>
        </w:rPr>
        <w:t>本次采购过程中形成的招标（非招标）文件、投标（响应）文件、澄清承诺、补充协议、附件等</w:t>
      </w:r>
      <w:r>
        <w:rPr>
          <w:rFonts w:hint="eastAsia" w:ascii="宋体" w:hAnsi="宋体" w:eastAsia="宋体" w:cs="宋体"/>
          <w:kern w:val="0"/>
          <w:szCs w:val="21"/>
          <w:lang w:val="zh-CN"/>
        </w:rPr>
        <w:t>为本合同的组成部分，并构成一个整体，需综合解释、相互补充。如果</w:t>
      </w:r>
      <w:r>
        <w:rPr>
          <w:rFonts w:hint="eastAsia" w:ascii="宋体" w:hAnsi="宋体" w:eastAsia="宋体" w:cs="宋体"/>
          <w:kern w:val="0"/>
          <w:szCs w:val="21"/>
        </w:rPr>
        <w:t>上述</w:t>
      </w:r>
      <w:r>
        <w:rPr>
          <w:rFonts w:hint="eastAsia" w:ascii="宋体" w:hAnsi="宋体" w:eastAsia="宋体" w:cs="宋体"/>
          <w:kern w:val="0"/>
          <w:szCs w:val="21"/>
          <w:lang w:val="zh-CN"/>
        </w:rPr>
        <w:t>文件内容出现不一致的情形，那么在保证按照采购文件确定的事项的前提下，组成本合同的多个文件的优先适用顺序如下：</w:t>
      </w:r>
    </w:p>
    <w:p w14:paraId="15DF0EF9">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（1）本合同及其补充合同、变更协议；</w:t>
      </w:r>
    </w:p>
    <w:p w14:paraId="15DF0EFA">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（2）中标（成交）通知书；</w:t>
      </w:r>
    </w:p>
    <w:p w14:paraId="15DF0EFB">
      <w:pPr>
        <w:spacing w:line="288" w:lineRule="auto"/>
        <w:ind w:firstLine="420" w:firstLineChars="200"/>
        <w:jc w:val="left"/>
        <w:rPr>
          <w:rFonts w:hint="eastAsia" w:ascii="宋体" w:hAnsi="宋体" w:eastAsia="宋体" w:cs="宋体"/>
          <w:kern w:val="0"/>
          <w:szCs w:val="21"/>
          <w:lang w:val="zh-CN"/>
        </w:rPr>
      </w:pPr>
      <w:r>
        <w:rPr>
          <w:rFonts w:hint="eastAsia" w:ascii="宋体" w:hAnsi="宋体" w:eastAsia="宋体" w:cs="宋体"/>
          <w:kern w:val="0"/>
          <w:szCs w:val="21"/>
        </w:rPr>
        <w:t>（3）投标（</w:t>
      </w:r>
      <w:r>
        <w:rPr>
          <w:rFonts w:hint="eastAsia" w:ascii="宋体" w:hAnsi="宋体" w:eastAsia="宋体" w:cs="宋体"/>
          <w:kern w:val="0"/>
          <w:szCs w:val="21"/>
          <w:lang w:val="zh-CN"/>
        </w:rPr>
        <w:t>响应）文件（含澄清或者说明文件）；</w:t>
      </w:r>
    </w:p>
    <w:p w14:paraId="15DF0EFC">
      <w:pPr>
        <w:spacing w:line="288" w:lineRule="auto"/>
        <w:ind w:firstLine="420" w:firstLineChars="200"/>
        <w:jc w:val="left"/>
        <w:rPr>
          <w:rFonts w:hint="eastAsia" w:ascii="宋体" w:hAnsi="宋体" w:eastAsia="宋体" w:cs="宋体"/>
          <w:kern w:val="0"/>
          <w:szCs w:val="21"/>
          <w:lang w:val="zh-CN"/>
        </w:rPr>
      </w:pPr>
      <w:r>
        <w:rPr>
          <w:rFonts w:hint="eastAsia" w:ascii="宋体" w:hAnsi="宋体" w:eastAsia="宋体" w:cs="宋体"/>
          <w:kern w:val="0"/>
          <w:szCs w:val="21"/>
        </w:rPr>
        <w:t>（4）招标（非招标）</w:t>
      </w:r>
      <w:r>
        <w:rPr>
          <w:rFonts w:hint="eastAsia" w:ascii="宋体" w:hAnsi="宋体" w:eastAsia="宋体" w:cs="宋体"/>
          <w:kern w:val="0"/>
          <w:szCs w:val="21"/>
          <w:lang w:val="zh-CN"/>
        </w:rPr>
        <w:t>文件（含澄清或者修改文件）；</w:t>
      </w:r>
    </w:p>
    <w:p w14:paraId="15DF0EFD">
      <w:pPr>
        <w:spacing w:line="288" w:lineRule="auto"/>
        <w:ind w:firstLine="420" w:firstLineChars="200"/>
        <w:rPr>
          <w:rFonts w:hint="eastAsia" w:ascii="宋体" w:hAnsi="宋体" w:eastAsia="宋体" w:cs="宋体"/>
          <w:snapToGrid w:val="0"/>
          <w:szCs w:val="21"/>
        </w:rPr>
      </w:pPr>
      <w:r>
        <w:rPr>
          <w:rFonts w:hint="eastAsia" w:ascii="宋体" w:hAnsi="宋体" w:eastAsia="宋体" w:cs="宋体"/>
          <w:snapToGrid w:val="0"/>
          <w:szCs w:val="21"/>
        </w:rPr>
        <w:t>（5）</w:t>
      </w:r>
      <w:r>
        <w:rPr>
          <w:rFonts w:hint="eastAsia" w:ascii="宋体" w:hAnsi="宋体" w:eastAsia="宋体" w:cs="宋体"/>
          <w:snapToGrid w:val="0"/>
          <w:szCs w:val="21"/>
          <w:lang w:val="zh-CN"/>
        </w:rPr>
        <w:t>其他相关采购文件。</w:t>
      </w:r>
    </w:p>
    <w:p w14:paraId="15DF0EFE">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4</w:t>
      </w:r>
      <w:r>
        <w:rPr>
          <w:rFonts w:hint="eastAsia" w:ascii="宋体" w:hAnsi="宋体" w:eastAsia="宋体" w:cs="宋体"/>
          <w:spacing w:val="-6"/>
          <w:kern w:val="0"/>
          <w:szCs w:val="21"/>
        </w:rPr>
        <w:t>.</w:t>
      </w:r>
      <w:r>
        <w:rPr>
          <w:rFonts w:hint="eastAsia" w:ascii="宋体" w:hAnsi="宋体" w:eastAsia="宋体" w:cs="宋体"/>
          <w:kern w:val="0"/>
          <w:szCs w:val="21"/>
        </w:rPr>
        <w:t>本合同未尽事宜，遵照《中华人民共和国民法典》有关条文执行。</w:t>
      </w:r>
    </w:p>
    <w:p w14:paraId="15DF0EFF">
      <w:pPr>
        <w:spacing w:line="288" w:lineRule="auto"/>
        <w:ind w:firstLine="396" w:firstLineChars="200"/>
        <w:jc w:val="left"/>
        <w:rPr>
          <w:rFonts w:hint="eastAsia" w:ascii="宋体" w:hAnsi="宋体" w:eastAsia="宋体" w:cs="宋体"/>
          <w:kern w:val="0"/>
          <w:szCs w:val="21"/>
        </w:rPr>
      </w:pPr>
      <w:r>
        <w:rPr>
          <w:rFonts w:hint="eastAsia" w:ascii="宋体" w:hAnsi="宋体" w:eastAsia="宋体" w:cs="宋体"/>
          <w:spacing w:val="-6"/>
          <w:kern w:val="0"/>
          <w:szCs w:val="21"/>
        </w:rPr>
        <w:t>5.</w:t>
      </w:r>
      <w:r>
        <w:rPr>
          <w:rFonts w:hint="eastAsia" w:ascii="宋体" w:hAnsi="宋体" w:eastAsia="宋体" w:cs="宋体"/>
          <w:kern w:val="0"/>
          <w:szCs w:val="21"/>
        </w:rPr>
        <w:t xml:space="preserve"> 本合同一式伍份，甲方执三份，乙方和鉴证方各执一份，具有同等法律效力。</w:t>
      </w:r>
    </w:p>
    <w:p w14:paraId="15DF0F00">
      <w:pPr>
        <w:spacing w:line="288" w:lineRule="auto"/>
        <w:ind w:firstLine="420" w:firstLineChars="200"/>
        <w:jc w:val="left"/>
        <w:rPr>
          <w:rFonts w:hint="eastAsia" w:ascii="宋体" w:hAnsi="宋体" w:eastAsia="宋体" w:cs="宋体"/>
          <w:kern w:val="0"/>
          <w:szCs w:val="21"/>
        </w:rPr>
      </w:pPr>
    </w:p>
    <w:p w14:paraId="15DF0F01">
      <w:pPr>
        <w:spacing w:line="288" w:lineRule="auto"/>
        <w:ind w:firstLine="420" w:firstLineChars="200"/>
        <w:rPr>
          <w:rFonts w:hint="eastAsia" w:ascii="宋体" w:hAnsi="宋体" w:eastAsia="宋体" w:cs="宋体"/>
          <w:szCs w:val="21"/>
        </w:rPr>
      </w:pPr>
      <w:r>
        <w:rPr>
          <w:rFonts w:hint="eastAsia" w:ascii="宋体" w:hAnsi="宋体" w:eastAsia="宋体" w:cs="宋体"/>
          <w:szCs w:val="21"/>
        </w:rPr>
        <w:t>合同附件：   （附件名称）（如有则填写，如无则删除）</w:t>
      </w:r>
    </w:p>
    <w:tbl>
      <w:tblPr>
        <w:tblStyle w:val="23"/>
        <w:tblW w:w="9249" w:type="dxa"/>
        <w:jc w:val="center"/>
        <w:tblLayout w:type="fixed"/>
        <w:tblCellMar>
          <w:top w:w="0" w:type="dxa"/>
          <w:left w:w="108" w:type="dxa"/>
          <w:bottom w:w="0" w:type="dxa"/>
          <w:right w:w="108" w:type="dxa"/>
        </w:tblCellMar>
      </w:tblPr>
      <w:tblGrid>
        <w:gridCol w:w="5073"/>
        <w:gridCol w:w="4176"/>
      </w:tblGrid>
      <w:tr w14:paraId="15DF0F04">
        <w:tblPrEx>
          <w:tblCellMar>
            <w:top w:w="0" w:type="dxa"/>
            <w:left w:w="108" w:type="dxa"/>
            <w:bottom w:w="0" w:type="dxa"/>
            <w:right w:w="108" w:type="dxa"/>
          </w:tblCellMar>
        </w:tblPrEx>
        <w:trPr>
          <w:trHeight w:val="632" w:hRule="atLeast"/>
          <w:jc w:val="center"/>
        </w:trPr>
        <w:tc>
          <w:tcPr>
            <w:tcW w:w="5073" w:type="dxa"/>
            <w:vAlign w:val="center"/>
          </w:tcPr>
          <w:p w14:paraId="15DF0F02">
            <w:pPr>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甲方：杭州电子科技大学（公章）</w:t>
            </w:r>
          </w:p>
        </w:tc>
        <w:tc>
          <w:tcPr>
            <w:tcW w:w="4176" w:type="dxa"/>
            <w:vAlign w:val="center"/>
          </w:tcPr>
          <w:p w14:paraId="15DF0F03">
            <w:pPr>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乙方：（公章）</w:t>
            </w:r>
          </w:p>
        </w:tc>
      </w:tr>
      <w:tr w14:paraId="15DF0F09">
        <w:tblPrEx>
          <w:tblCellMar>
            <w:top w:w="0" w:type="dxa"/>
            <w:left w:w="108" w:type="dxa"/>
            <w:bottom w:w="0" w:type="dxa"/>
            <w:right w:w="108" w:type="dxa"/>
          </w:tblCellMar>
        </w:tblPrEx>
        <w:trPr>
          <w:trHeight w:val="717" w:hRule="atLeast"/>
          <w:jc w:val="center"/>
        </w:trPr>
        <w:tc>
          <w:tcPr>
            <w:tcW w:w="5073" w:type="dxa"/>
            <w:vAlign w:val="center"/>
          </w:tcPr>
          <w:p w14:paraId="15DF0F05">
            <w:pPr>
              <w:spacing w:line="288" w:lineRule="auto"/>
              <w:jc w:val="left"/>
              <w:rPr>
                <w:rFonts w:hint="eastAsia" w:ascii="宋体" w:hAnsi="宋体" w:eastAsia="宋体" w:cs="宋体"/>
                <w:kern w:val="0"/>
                <w:szCs w:val="21"/>
              </w:rPr>
            </w:pPr>
            <w:r>
              <w:rPr>
                <w:rFonts w:hint="eastAsia" w:ascii="宋体" w:hAnsi="宋体" w:eastAsia="宋体" w:cs="宋体"/>
                <w:kern w:val="0"/>
                <w:szCs w:val="21"/>
              </w:rPr>
              <w:t>法定代表人委托代理人：</w:t>
            </w:r>
          </w:p>
          <w:p w14:paraId="15DF0F06">
            <w:pPr>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(签字）</w:t>
            </w:r>
          </w:p>
        </w:tc>
        <w:tc>
          <w:tcPr>
            <w:tcW w:w="4176" w:type="dxa"/>
            <w:vAlign w:val="center"/>
          </w:tcPr>
          <w:p w14:paraId="15DF0F07">
            <w:pPr>
              <w:spacing w:line="288" w:lineRule="auto"/>
              <w:jc w:val="left"/>
              <w:rPr>
                <w:rFonts w:hint="eastAsia" w:ascii="宋体" w:hAnsi="宋体" w:eastAsia="宋体" w:cs="宋体"/>
                <w:kern w:val="0"/>
                <w:szCs w:val="21"/>
              </w:rPr>
            </w:pPr>
            <w:r>
              <w:rPr>
                <w:rFonts w:hint="eastAsia" w:ascii="宋体" w:hAnsi="宋体" w:eastAsia="宋体" w:cs="宋体"/>
                <w:kern w:val="0"/>
                <w:szCs w:val="21"/>
              </w:rPr>
              <w:t>法定代表人或委托代理人：</w:t>
            </w:r>
          </w:p>
          <w:p w14:paraId="15DF0F08">
            <w:pPr>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（签字）</w:t>
            </w:r>
          </w:p>
        </w:tc>
      </w:tr>
      <w:tr w14:paraId="15DF0F0C">
        <w:tblPrEx>
          <w:tblCellMar>
            <w:top w:w="0" w:type="dxa"/>
            <w:left w:w="108" w:type="dxa"/>
            <w:bottom w:w="0" w:type="dxa"/>
            <w:right w:w="108" w:type="dxa"/>
          </w:tblCellMar>
        </w:tblPrEx>
        <w:trPr>
          <w:jc w:val="center"/>
        </w:trPr>
        <w:tc>
          <w:tcPr>
            <w:tcW w:w="5073" w:type="dxa"/>
            <w:vAlign w:val="center"/>
          </w:tcPr>
          <w:p w14:paraId="15DF0F0A">
            <w:pPr>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地址：杭州下沙高教园区二号大街1158号</w:t>
            </w:r>
          </w:p>
        </w:tc>
        <w:tc>
          <w:tcPr>
            <w:tcW w:w="4176" w:type="dxa"/>
            <w:vAlign w:val="center"/>
          </w:tcPr>
          <w:p w14:paraId="15DF0F0B">
            <w:pPr>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地址：</w:t>
            </w:r>
          </w:p>
        </w:tc>
      </w:tr>
      <w:tr w14:paraId="15DF0F0F">
        <w:tblPrEx>
          <w:tblCellMar>
            <w:top w:w="0" w:type="dxa"/>
            <w:left w:w="108" w:type="dxa"/>
            <w:bottom w:w="0" w:type="dxa"/>
            <w:right w:w="108" w:type="dxa"/>
          </w:tblCellMar>
        </w:tblPrEx>
        <w:trPr>
          <w:jc w:val="center"/>
        </w:trPr>
        <w:tc>
          <w:tcPr>
            <w:tcW w:w="5073" w:type="dxa"/>
            <w:vAlign w:val="center"/>
          </w:tcPr>
          <w:p w14:paraId="15DF0F0D">
            <w:pPr>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 xml:space="preserve">电话： </w:t>
            </w:r>
          </w:p>
        </w:tc>
        <w:tc>
          <w:tcPr>
            <w:tcW w:w="4176" w:type="dxa"/>
            <w:vAlign w:val="center"/>
          </w:tcPr>
          <w:p w14:paraId="15DF0F0E">
            <w:pPr>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电话：</w:t>
            </w:r>
          </w:p>
        </w:tc>
      </w:tr>
      <w:tr w14:paraId="15DF0F12">
        <w:tblPrEx>
          <w:tblCellMar>
            <w:top w:w="0" w:type="dxa"/>
            <w:left w:w="108" w:type="dxa"/>
            <w:bottom w:w="0" w:type="dxa"/>
            <w:right w:w="108" w:type="dxa"/>
          </w:tblCellMar>
        </w:tblPrEx>
        <w:trPr>
          <w:jc w:val="center"/>
        </w:trPr>
        <w:tc>
          <w:tcPr>
            <w:tcW w:w="5073" w:type="dxa"/>
            <w:vAlign w:val="center"/>
          </w:tcPr>
          <w:p w14:paraId="15DF0F10">
            <w:pPr>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 xml:space="preserve">开户银行：工行高新支行 </w:t>
            </w:r>
          </w:p>
        </w:tc>
        <w:tc>
          <w:tcPr>
            <w:tcW w:w="4176" w:type="dxa"/>
            <w:vAlign w:val="center"/>
          </w:tcPr>
          <w:p w14:paraId="15DF0F11">
            <w:pPr>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开户银行：</w:t>
            </w:r>
          </w:p>
        </w:tc>
      </w:tr>
      <w:tr w14:paraId="15DF0F15">
        <w:tblPrEx>
          <w:tblCellMar>
            <w:top w:w="0" w:type="dxa"/>
            <w:left w:w="108" w:type="dxa"/>
            <w:bottom w:w="0" w:type="dxa"/>
            <w:right w:w="108" w:type="dxa"/>
          </w:tblCellMar>
        </w:tblPrEx>
        <w:trPr>
          <w:jc w:val="center"/>
        </w:trPr>
        <w:tc>
          <w:tcPr>
            <w:tcW w:w="5073" w:type="dxa"/>
            <w:vAlign w:val="center"/>
          </w:tcPr>
          <w:p w14:paraId="15DF0F13">
            <w:pPr>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帐号：1202026209008806216</w:t>
            </w:r>
          </w:p>
        </w:tc>
        <w:tc>
          <w:tcPr>
            <w:tcW w:w="4176" w:type="dxa"/>
            <w:vAlign w:val="center"/>
          </w:tcPr>
          <w:p w14:paraId="15DF0F14">
            <w:pPr>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帐号：</w:t>
            </w:r>
          </w:p>
        </w:tc>
      </w:tr>
      <w:tr w14:paraId="15DF0F18">
        <w:tblPrEx>
          <w:tblCellMar>
            <w:top w:w="0" w:type="dxa"/>
            <w:left w:w="108" w:type="dxa"/>
            <w:bottom w:w="0" w:type="dxa"/>
            <w:right w:w="108" w:type="dxa"/>
          </w:tblCellMar>
        </w:tblPrEx>
        <w:trPr>
          <w:jc w:val="center"/>
        </w:trPr>
        <w:tc>
          <w:tcPr>
            <w:tcW w:w="5073" w:type="dxa"/>
            <w:vAlign w:val="center"/>
          </w:tcPr>
          <w:p w14:paraId="15DF0F16">
            <w:pPr>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签字日期：      年    月    日</w:t>
            </w:r>
          </w:p>
        </w:tc>
        <w:tc>
          <w:tcPr>
            <w:tcW w:w="4176" w:type="dxa"/>
            <w:vAlign w:val="center"/>
          </w:tcPr>
          <w:p w14:paraId="15DF0F17">
            <w:pPr>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签字日期：      年    月    日</w:t>
            </w:r>
          </w:p>
        </w:tc>
      </w:tr>
      <w:tr w14:paraId="15DF0F1F">
        <w:tblPrEx>
          <w:tblCellMar>
            <w:top w:w="0" w:type="dxa"/>
            <w:left w:w="108" w:type="dxa"/>
            <w:bottom w:w="0" w:type="dxa"/>
            <w:right w:w="108" w:type="dxa"/>
          </w:tblCellMar>
        </w:tblPrEx>
        <w:trPr>
          <w:jc w:val="center"/>
        </w:trPr>
        <w:tc>
          <w:tcPr>
            <w:tcW w:w="9249" w:type="dxa"/>
            <w:gridSpan w:val="2"/>
          </w:tcPr>
          <w:p w14:paraId="15DF0F19">
            <w:pPr>
              <w:snapToGrid w:val="0"/>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合同鉴证方（公章）：</w:t>
            </w:r>
          </w:p>
          <w:p w14:paraId="15DF0F1A">
            <w:pPr>
              <w:spacing w:line="288" w:lineRule="auto"/>
              <w:jc w:val="left"/>
              <w:rPr>
                <w:rFonts w:hint="eastAsia" w:ascii="宋体" w:hAnsi="宋体" w:eastAsia="宋体" w:cs="宋体"/>
                <w:kern w:val="0"/>
                <w:szCs w:val="21"/>
              </w:rPr>
            </w:pPr>
            <w:r>
              <w:rPr>
                <w:rFonts w:hint="eastAsia" w:ascii="宋体" w:hAnsi="宋体" w:eastAsia="宋体" w:cs="宋体"/>
                <w:kern w:val="0"/>
                <w:szCs w:val="21"/>
              </w:rPr>
              <w:t>代表人：</w:t>
            </w:r>
          </w:p>
          <w:p w14:paraId="15DF0F1B">
            <w:pPr>
              <w:snapToGrid w:val="0"/>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（签字）</w:t>
            </w:r>
          </w:p>
          <w:p w14:paraId="15DF0F1C">
            <w:pPr>
              <w:snapToGrid w:val="0"/>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地址：</w:t>
            </w:r>
          </w:p>
          <w:p w14:paraId="15DF0F1D">
            <w:pPr>
              <w:snapToGrid w:val="0"/>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电话：</w:t>
            </w:r>
          </w:p>
          <w:p w14:paraId="15DF0F1E">
            <w:pPr>
              <w:snapToGrid w:val="0"/>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签字日期：      年    月    日</w:t>
            </w:r>
          </w:p>
        </w:tc>
      </w:tr>
    </w:tbl>
    <w:p w14:paraId="15DF0F20">
      <w:pPr>
        <w:adjustRightInd w:val="0"/>
        <w:snapToGrid w:val="0"/>
        <w:spacing w:line="288" w:lineRule="auto"/>
        <w:ind w:firstLine="420" w:firstLineChars="200"/>
        <w:jc w:val="center"/>
        <w:rPr>
          <w:rFonts w:hint="eastAsia" w:ascii="宋体" w:hAnsi="宋体" w:eastAsia="宋体" w:cs="Times New Roman"/>
          <w:b/>
          <w:sz w:val="32"/>
          <w:szCs w:val="32"/>
        </w:rPr>
      </w:pPr>
      <w:r>
        <w:rPr>
          <w:rFonts w:ascii="宋体" w:hAnsi="宋体" w:eastAsia="宋体" w:cs="宋体"/>
          <w:szCs w:val="21"/>
          <w:lang w:val="zh-CN"/>
        </w:rPr>
        <w:br w:type="page"/>
      </w:r>
    </w:p>
    <w:p w14:paraId="15DF0F21">
      <w:pPr>
        <w:adjustRightInd w:val="0"/>
        <w:snapToGrid w:val="0"/>
        <w:spacing w:line="288" w:lineRule="auto"/>
        <w:jc w:val="center"/>
        <w:outlineLvl w:val="0"/>
        <w:rPr>
          <w:rFonts w:hint="eastAsia" w:ascii="宋体" w:hAnsi="宋体" w:eastAsia="宋体" w:cs="Times New Roman"/>
          <w:sz w:val="28"/>
          <w:szCs w:val="24"/>
        </w:rPr>
      </w:pPr>
      <w:r>
        <w:rPr>
          <w:rFonts w:ascii="宋体" w:hAnsi="宋体" w:eastAsia="宋体" w:cs="Times New Roman"/>
          <w:b/>
          <w:sz w:val="32"/>
          <w:szCs w:val="32"/>
        </w:rPr>
        <w:t>第六章</w:t>
      </w:r>
      <w:r>
        <w:rPr>
          <w:rFonts w:hint="eastAsia" w:ascii="宋体" w:hAnsi="宋体" w:eastAsia="宋体" w:cs="Times New Roman"/>
          <w:b/>
          <w:sz w:val="32"/>
          <w:szCs w:val="32"/>
        </w:rPr>
        <w:t xml:space="preserve">  </w:t>
      </w:r>
      <w:r>
        <w:rPr>
          <w:rFonts w:ascii="宋体" w:hAnsi="宋体" w:eastAsia="宋体" w:cs="Times New Roman"/>
          <w:b/>
          <w:sz w:val="32"/>
          <w:szCs w:val="32"/>
        </w:rPr>
        <w:t>投标文件格式</w:t>
      </w:r>
    </w:p>
    <w:p w14:paraId="15DF0F22">
      <w:pPr>
        <w:adjustRightInd w:val="0"/>
        <w:snapToGrid w:val="0"/>
        <w:spacing w:line="288" w:lineRule="auto"/>
        <w:rPr>
          <w:rFonts w:hint="eastAsia" w:ascii="宋体" w:hAnsi="宋体" w:eastAsia="宋体" w:cs="Times New Roman"/>
          <w:b/>
          <w:bCs/>
          <w:spacing w:val="-6"/>
          <w:sz w:val="24"/>
          <w:szCs w:val="24"/>
        </w:rPr>
      </w:pPr>
    </w:p>
    <w:p w14:paraId="15DF0F23">
      <w:pPr>
        <w:adjustRightInd w:val="0"/>
        <w:snapToGrid w:val="0"/>
        <w:spacing w:line="288" w:lineRule="auto"/>
        <w:jc w:val="center"/>
        <w:rPr>
          <w:rFonts w:hint="eastAsia" w:ascii="宋体" w:hAnsi="宋体" w:eastAsia="宋体" w:cs="Times New Roman"/>
          <w:b/>
          <w:bCs/>
          <w:spacing w:val="-6"/>
          <w:sz w:val="24"/>
          <w:szCs w:val="24"/>
        </w:rPr>
      </w:pPr>
      <w:r>
        <w:rPr>
          <w:rFonts w:hint="eastAsia" w:ascii="宋体" w:hAnsi="宋体" w:eastAsia="宋体" w:cs="Times New Roman"/>
          <w:b/>
          <w:bCs/>
          <w:spacing w:val="-6"/>
          <w:sz w:val="24"/>
          <w:szCs w:val="24"/>
        </w:rPr>
        <w:t xml:space="preserve">目 </w:t>
      </w:r>
      <w:r>
        <w:rPr>
          <w:rFonts w:ascii="宋体" w:hAnsi="宋体" w:eastAsia="宋体" w:cs="Times New Roman"/>
          <w:b/>
          <w:bCs/>
          <w:spacing w:val="-6"/>
          <w:sz w:val="24"/>
          <w:szCs w:val="24"/>
        </w:rPr>
        <w:t xml:space="preserve"> </w:t>
      </w:r>
      <w:r>
        <w:rPr>
          <w:rFonts w:hint="eastAsia" w:ascii="宋体" w:hAnsi="宋体" w:eastAsia="宋体" w:cs="Times New Roman"/>
          <w:b/>
          <w:bCs/>
          <w:spacing w:val="-6"/>
          <w:sz w:val="24"/>
          <w:szCs w:val="24"/>
        </w:rPr>
        <w:t>录</w:t>
      </w:r>
    </w:p>
    <w:p w14:paraId="15DF0F24">
      <w:pPr>
        <w:adjustRightInd w:val="0"/>
        <w:snapToGrid w:val="0"/>
        <w:spacing w:line="288" w:lineRule="auto"/>
        <w:rPr>
          <w:rFonts w:hint="eastAsia" w:ascii="宋体" w:hAnsi="宋体" w:eastAsia="宋体" w:cs="Times New Roman"/>
          <w:b/>
          <w:bCs/>
          <w:spacing w:val="-6"/>
          <w:sz w:val="24"/>
          <w:szCs w:val="24"/>
        </w:rPr>
      </w:pPr>
    </w:p>
    <w:p w14:paraId="15DF0F25">
      <w:pPr>
        <w:adjustRightInd w:val="0"/>
        <w:snapToGrid w:val="0"/>
        <w:spacing w:line="288" w:lineRule="auto"/>
        <w:ind w:firstLine="398" w:firstLineChars="200"/>
        <w:jc w:val="left"/>
        <w:rPr>
          <w:rFonts w:hint="eastAsia" w:ascii="宋体" w:hAnsi="宋体" w:eastAsia="宋体" w:cs="Times New Roman"/>
          <w:b/>
          <w:bCs/>
          <w:spacing w:val="-6"/>
          <w:szCs w:val="21"/>
        </w:rPr>
      </w:pPr>
      <w:r>
        <w:rPr>
          <w:rFonts w:hint="eastAsia" w:ascii="宋体" w:hAnsi="宋体" w:eastAsia="宋体" w:cs="Times New Roman"/>
          <w:b/>
          <w:bCs/>
          <w:spacing w:val="-6"/>
          <w:szCs w:val="21"/>
        </w:rPr>
        <w:t>▲</w:t>
      </w:r>
      <w:r>
        <w:rPr>
          <w:rFonts w:ascii="宋体" w:hAnsi="宋体" w:eastAsia="宋体" w:cs="Times New Roman"/>
          <w:b/>
          <w:bCs/>
          <w:spacing w:val="-6"/>
          <w:szCs w:val="21"/>
        </w:rPr>
        <w:t>1</w:t>
      </w:r>
      <w:r>
        <w:rPr>
          <w:rFonts w:hint="eastAsia" w:ascii="宋体" w:hAnsi="宋体" w:eastAsia="宋体" w:cs="Times New Roman"/>
          <w:b/>
          <w:bCs/>
          <w:spacing w:val="-6"/>
          <w:szCs w:val="21"/>
        </w:rPr>
        <w:t>.资格文件（单独上传）。</w:t>
      </w:r>
      <w:r>
        <w:rPr>
          <w:rFonts w:hint="eastAsia" w:ascii="宋体" w:hAnsi="宋体" w:eastAsia="宋体" w:cs="宋体"/>
          <w:b/>
          <w:bCs/>
          <w:szCs w:val="21"/>
        </w:rPr>
        <w:t>资格审查要求的资格证明材料（均需加盖公章）。</w:t>
      </w:r>
    </w:p>
    <w:p w14:paraId="15DF0F26">
      <w:pPr>
        <w:adjustRightInd w:val="0"/>
        <w:snapToGrid w:val="0"/>
        <w:spacing w:line="288" w:lineRule="auto"/>
        <w:ind w:firstLine="396" w:firstLineChars="200"/>
        <w:jc w:val="left"/>
        <w:rPr>
          <w:rFonts w:hint="eastAsia" w:ascii="宋体" w:hAnsi="宋体" w:eastAsia="宋体" w:cs="宋体"/>
          <w:bCs/>
          <w:spacing w:val="-6"/>
          <w:szCs w:val="21"/>
        </w:rPr>
      </w:pPr>
      <w:r>
        <w:rPr>
          <w:rFonts w:hint="eastAsia" w:ascii="宋体" w:hAnsi="宋体" w:eastAsia="宋体" w:cs="宋体"/>
          <w:bCs/>
          <w:spacing w:val="-6"/>
          <w:szCs w:val="21"/>
        </w:rPr>
        <w:t>（1）有效的法人或者其他组织的营业执照等证明文件，自然人的身份证明</w:t>
      </w:r>
    </w:p>
    <w:p w14:paraId="15DF0F27">
      <w:pPr>
        <w:adjustRightInd w:val="0"/>
        <w:snapToGrid w:val="0"/>
        <w:spacing w:line="288" w:lineRule="auto"/>
        <w:ind w:firstLine="396" w:firstLineChars="200"/>
        <w:jc w:val="left"/>
        <w:rPr>
          <w:rFonts w:hint="eastAsia" w:ascii="宋体" w:hAnsi="宋体" w:eastAsia="宋体" w:cs="宋体"/>
          <w:bCs/>
          <w:spacing w:val="-6"/>
          <w:szCs w:val="21"/>
        </w:rPr>
      </w:pPr>
      <w:r>
        <w:rPr>
          <w:rFonts w:hint="eastAsia" w:ascii="宋体" w:hAnsi="宋体" w:eastAsia="宋体" w:cs="宋体"/>
          <w:bCs/>
          <w:spacing w:val="-6"/>
          <w:szCs w:val="21"/>
        </w:rPr>
        <w:t>（</w:t>
      </w:r>
      <w:r>
        <w:rPr>
          <w:rFonts w:ascii="宋体" w:hAnsi="宋体" w:eastAsia="宋体" w:cs="宋体"/>
          <w:bCs/>
          <w:spacing w:val="-6"/>
          <w:szCs w:val="21"/>
        </w:rPr>
        <w:t>2）符合参加政府采购活动应当具备的一般条件的承诺函</w:t>
      </w:r>
    </w:p>
    <w:p w14:paraId="15DF0F28">
      <w:pPr>
        <w:adjustRightInd w:val="0"/>
        <w:snapToGrid w:val="0"/>
        <w:spacing w:line="288" w:lineRule="auto"/>
        <w:ind w:firstLine="396" w:firstLineChars="200"/>
        <w:jc w:val="left"/>
        <w:rPr>
          <w:rFonts w:hint="eastAsia" w:ascii="宋体" w:hAnsi="宋体" w:eastAsia="宋体" w:cs="宋体"/>
          <w:bCs/>
          <w:spacing w:val="-6"/>
          <w:szCs w:val="21"/>
        </w:rPr>
      </w:pPr>
      <w:r>
        <w:rPr>
          <w:rFonts w:hint="eastAsia" w:ascii="宋体" w:hAnsi="宋体" w:eastAsia="宋体" w:cs="宋体"/>
          <w:bCs/>
          <w:spacing w:val="-6"/>
          <w:szCs w:val="21"/>
        </w:rPr>
        <w:t>（</w:t>
      </w:r>
      <w:r>
        <w:rPr>
          <w:rFonts w:ascii="宋体" w:hAnsi="宋体" w:eastAsia="宋体" w:cs="宋体"/>
          <w:bCs/>
          <w:spacing w:val="-6"/>
          <w:szCs w:val="21"/>
        </w:rPr>
        <w:t>3）落实政府采购政策需满足的资格要求：无</w:t>
      </w:r>
    </w:p>
    <w:p w14:paraId="15DF0F29">
      <w:pPr>
        <w:adjustRightInd w:val="0"/>
        <w:snapToGrid w:val="0"/>
        <w:spacing w:line="288" w:lineRule="auto"/>
        <w:ind w:firstLine="396" w:firstLineChars="200"/>
        <w:jc w:val="left"/>
        <w:rPr>
          <w:rFonts w:hint="eastAsia" w:ascii="宋体" w:hAnsi="宋体" w:eastAsia="宋体" w:cs="宋体"/>
          <w:bCs/>
          <w:spacing w:val="-6"/>
          <w:szCs w:val="21"/>
        </w:rPr>
      </w:pPr>
      <w:r>
        <w:rPr>
          <w:rFonts w:hint="eastAsia" w:ascii="宋体" w:hAnsi="宋体" w:eastAsia="宋体" w:cs="宋体"/>
          <w:bCs/>
          <w:spacing w:val="-6"/>
          <w:szCs w:val="21"/>
        </w:rPr>
        <w:t>（</w:t>
      </w:r>
      <w:r>
        <w:rPr>
          <w:rFonts w:ascii="宋体" w:hAnsi="宋体" w:eastAsia="宋体" w:cs="宋体"/>
          <w:bCs/>
          <w:spacing w:val="-6"/>
          <w:szCs w:val="21"/>
        </w:rPr>
        <w:t>4）</w:t>
      </w:r>
      <w:r>
        <w:rPr>
          <w:rFonts w:hint="eastAsia" w:ascii="宋体" w:hAnsi="宋体" w:eastAsia="宋体" w:cs="宋体"/>
          <w:bCs/>
          <w:spacing w:val="-6"/>
          <w:szCs w:val="21"/>
        </w:rPr>
        <w:t>本项目的特定资格要求证明材料：无</w:t>
      </w:r>
    </w:p>
    <w:p w14:paraId="15DF0F2A">
      <w:pPr>
        <w:adjustRightInd w:val="0"/>
        <w:snapToGrid w:val="0"/>
        <w:spacing w:line="288" w:lineRule="auto"/>
        <w:ind w:firstLine="396" w:firstLineChars="200"/>
        <w:jc w:val="left"/>
        <w:rPr>
          <w:rFonts w:hint="eastAsia" w:ascii="宋体" w:hAnsi="宋体" w:eastAsia="宋体" w:cs="宋体"/>
          <w:bCs/>
          <w:spacing w:val="-6"/>
          <w:szCs w:val="21"/>
        </w:rPr>
      </w:pPr>
      <w:r>
        <w:rPr>
          <w:rFonts w:hint="eastAsia" w:ascii="宋体" w:hAnsi="宋体" w:eastAsia="宋体" w:cs="宋体"/>
          <w:bCs/>
          <w:spacing w:val="-6"/>
          <w:szCs w:val="21"/>
        </w:rPr>
        <w:t>▲联合体投标的，联合体各方均应提供资格文件材料</w:t>
      </w:r>
      <w:r>
        <w:rPr>
          <w:rFonts w:ascii="宋体" w:hAnsi="宋体" w:eastAsia="宋体" w:cs="宋体"/>
          <w:bCs/>
          <w:spacing w:val="-6"/>
          <w:szCs w:val="21"/>
        </w:rPr>
        <w:t>。</w:t>
      </w:r>
    </w:p>
    <w:p w14:paraId="15DF0F2B">
      <w:pPr>
        <w:adjustRightInd w:val="0"/>
        <w:snapToGrid w:val="0"/>
        <w:spacing w:line="288" w:lineRule="auto"/>
        <w:jc w:val="left"/>
        <w:rPr>
          <w:rFonts w:hint="eastAsia" w:ascii="宋体" w:hAnsi="宋体" w:eastAsia="宋体" w:cs="宋体"/>
          <w:b/>
          <w:spacing w:val="-6"/>
          <w:szCs w:val="21"/>
        </w:rPr>
      </w:pPr>
    </w:p>
    <w:p w14:paraId="15DF0F2C">
      <w:pPr>
        <w:adjustRightInd w:val="0"/>
        <w:snapToGrid w:val="0"/>
        <w:spacing w:line="288" w:lineRule="auto"/>
        <w:ind w:firstLine="398" w:firstLineChars="200"/>
        <w:jc w:val="left"/>
        <w:rPr>
          <w:rFonts w:hint="eastAsia" w:ascii="宋体" w:hAnsi="宋体" w:eastAsia="宋体" w:cs="Times New Roman"/>
          <w:b/>
          <w:bCs/>
          <w:spacing w:val="-6"/>
          <w:szCs w:val="21"/>
        </w:rPr>
      </w:pPr>
      <w:r>
        <w:rPr>
          <w:rFonts w:ascii="宋体" w:hAnsi="宋体" w:eastAsia="宋体" w:cs="Times New Roman"/>
          <w:b/>
          <w:spacing w:val="-6"/>
          <w:szCs w:val="21"/>
        </w:rPr>
        <w:t>2</w:t>
      </w:r>
      <w:r>
        <w:rPr>
          <w:rFonts w:hint="eastAsia" w:ascii="宋体" w:hAnsi="宋体" w:eastAsia="宋体" w:cs="Times New Roman"/>
          <w:b/>
          <w:spacing w:val="-6"/>
          <w:szCs w:val="21"/>
        </w:rPr>
        <w:t>.商务和</w:t>
      </w:r>
      <w:r>
        <w:rPr>
          <w:rFonts w:hint="eastAsia" w:ascii="宋体" w:hAnsi="宋体" w:eastAsia="宋体" w:cs="Times New Roman"/>
          <w:b/>
          <w:bCs/>
          <w:spacing w:val="-6"/>
          <w:szCs w:val="21"/>
        </w:rPr>
        <w:t>技术文件（单独上传）</w:t>
      </w:r>
    </w:p>
    <w:p w14:paraId="15DF0F2D">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（1）投标函</w:t>
      </w:r>
    </w:p>
    <w:p w14:paraId="15DF0F2E">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2）授权委托书</w:t>
      </w:r>
      <w:r>
        <w:rPr>
          <w:rFonts w:hint="eastAsia" w:ascii="宋体" w:hAnsi="宋体" w:eastAsia="宋体" w:cs="Times New Roman"/>
          <w:spacing w:val="-6"/>
          <w:szCs w:val="21"/>
        </w:rPr>
        <w:t>/法定代表人（单位负责人、自然人本人）身份证明</w:t>
      </w:r>
    </w:p>
    <w:p w14:paraId="15DF0F2F">
      <w:pPr>
        <w:adjustRightInd w:val="0"/>
        <w:snapToGrid w:val="0"/>
        <w:spacing w:line="288" w:lineRule="auto"/>
        <w:ind w:firstLine="396" w:firstLineChars="200"/>
        <w:jc w:val="left"/>
        <w:rPr>
          <w:rFonts w:hint="eastAsia" w:ascii="宋体" w:hAnsi="宋体" w:eastAsia="宋体" w:cs="Times New Roman"/>
          <w:spacing w:val="-6"/>
          <w:szCs w:val="21"/>
        </w:rPr>
      </w:pPr>
      <w:r>
        <w:rPr>
          <w:rFonts w:ascii="宋体" w:hAnsi="宋体" w:eastAsia="宋体" w:cs="Times New Roman"/>
          <w:spacing w:val="-6"/>
          <w:szCs w:val="21"/>
        </w:rPr>
        <w:t>附：授权代表社保缴纳证明（</w:t>
      </w:r>
      <w:r>
        <w:rPr>
          <w:rFonts w:hint="eastAsia" w:ascii="宋体" w:hAnsi="宋体" w:eastAsia="宋体" w:cs="Times New Roman"/>
          <w:spacing w:val="-6"/>
          <w:szCs w:val="21"/>
        </w:rPr>
        <w:t>2025年1月（含）</w:t>
      </w:r>
      <w:r>
        <w:rPr>
          <w:rFonts w:ascii="宋体" w:hAnsi="宋体" w:eastAsia="宋体" w:cs="Times New Roman"/>
          <w:spacing w:val="-6"/>
          <w:szCs w:val="21"/>
        </w:rPr>
        <w:t>以后任意一月）</w:t>
      </w:r>
    </w:p>
    <w:p w14:paraId="15DF0F30">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w:t>
      </w:r>
      <w:r>
        <w:rPr>
          <w:rFonts w:hint="eastAsia" w:ascii="宋体" w:hAnsi="宋体" w:eastAsia="宋体" w:cs="Times New Roman"/>
          <w:spacing w:val="-6"/>
          <w:szCs w:val="21"/>
        </w:rPr>
        <w:t>）投标人同类合同一览表</w:t>
      </w:r>
    </w:p>
    <w:p w14:paraId="15DF0F31">
      <w:pPr>
        <w:adjustRightInd w:val="0"/>
        <w:snapToGrid w:val="0"/>
        <w:spacing w:line="288" w:lineRule="auto"/>
        <w:ind w:firstLine="396" w:firstLineChars="200"/>
        <w:jc w:val="left"/>
        <w:rPr>
          <w:rFonts w:hint="eastAsia" w:ascii="宋体" w:hAnsi="宋体" w:eastAsia="宋体" w:cs="宋体"/>
          <w:spacing w:val="-6"/>
          <w:szCs w:val="21"/>
        </w:rPr>
      </w:pPr>
      <w:r>
        <w:rPr>
          <w:rFonts w:hint="eastAsia" w:ascii="宋体" w:hAnsi="宋体" w:eastAsia="宋体" w:cs="宋体"/>
          <w:spacing w:val="-6"/>
          <w:szCs w:val="21"/>
        </w:rPr>
        <w:t>（</w:t>
      </w:r>
      <w:r>
        <w:rPr>
          <w:rFonts w:ascii="宋体" w:hAnsi="宋体" w:eastAsia="宋体" w:cs="宋体"/>
          <w:spacing w:val="-6"/>
          <w:szCs w:val="21"/>
        </w:rPr>
        <w:t>4</w:t>
      </w:r>
      <w:r>
        <w:rPr>
          <w:rFonts w:hint="eastAsia" w:ascii="宋体" w:hAnsi="宋体" w:eastAsia="宋体" w:cs="宋体"/>
          <w:spacing w:val="-6"/>
          <w:szCs w:val="21"/>
        </w:rPr>
        <w:t>）采购需求偏离表</w:t>
      </w:r>
    </w:p>
    <w:p w14:paraId="15DF0F32">
      <w:pPr>
        <w:adjustRightInd w:val="0"/>
        <w:snapToGrid w:val="0"/>
        <w:spacing w:line="288" w:lineRule="auto"/>
        <w:ind w:firstLine="396" w:firstLineChars="200"/>
        <w:jc w:val="left"/>
        <w:rPr>
          <w:rFonts w:hint="eastAsia" w:ascii="宋体" w:hAnsi="宋体" w:eastAsia="宋体" w:cs="宋体"/>
          <w:spacing w:val="-6"/>
          <w:szCs w:val="21"/>
        </w:rPr>
      </w:pPr>
      <w:r>
        <w:rPr>
          <w:rFonts w:hint="eastAsia" w:ascii="宋体" w:hAnsi="宋体" w:eastAsia="宋体" w:cs="宋体"/>
          <w:spacing w:val="-6"/>
          <w:szCs w:val="21"/>
        </w:rPr>
        <w:t>（</w:t>
      </w:r>
      <w:r>
        <w:rPr>
          <w:rFonts w:ascii="宋体" w:hAnsi="宋体" w:eastAsia="宋体" w:cs="宋体"/>
          <w:spacing w:val="-6"/>
          <w:szCs w:val="21"/>
        </w:rPr>
        <w:t>5</w:t>
      </w:r>
      <w:r>
        <w:rPr>
          <w:rFonts w:hint="eastAsia" w:ascii="宋体" w:hAnsi="宋体" w:eastAsia="宋体" w:cs="宋体"/>
          <w:spacing w:val="-6"/>
          <w:szCs w:val="21"/>
        </w:rPr>
        <w:t>）</w:t>
      </w:r>
      <w:r>
        <w:rPr>
          <w:rFonts w:hint="eastAsia" w:ascii="宋体" w:hAnsi="宋体" w:eastAsia="宋体" w:cs="宋体"/>
          <w:szCs w:val="21"/>
        </w:rPr>
        <w:t>标的配置清单</w:t>
      </w:r>
    </w:p>
    <w:p w14:paraId="15DF0F33">
      <w:pPr>
        <w:adjustRightInd w:val="0"/>
        <w:snapToGrid w:val="0"/>
        <w:spacing w:line="288" w:lineRule="auto"/>
        <w:ind w:firstLine="396" w:firstLineChars="200"/>
        <w:jc w:val="left"/>
        <w:rPr>
          <w:rFonts w:hint="eastAsia" w:ascii="宋体" w:hAnsi="宋体" w:eastAsia="宋体" w:cs="宋体"/>
          <w:spacing w:val="-6"/>
          <w:szCs w:val="21"/>
        </w:rPr>
      </w:pPr>
      <w:r>
        <w:rPr>
          <w:rFonts w:hint="eastAsia" w:ascii="宋体" w:hAnsi="宋体" w:eastAsia="宋体" w:cs="宋体"/>
          <w:spacing w:val="-6"/>
          <w:szCs w:val="21"/>
        </w:rPr>
        <w:t>（</w:t>
      </w:r>
      <w:r>
        <w:rPr>
          <w:rFonts w:ascii="宋体" w:hAnsi="宋体" w:eastAsia="宋体" w:cs="宋体"/>
          <w:spacing w:val="-6"/>
          <w:szCs w:val="21"/>
        </w:rPr>
        <w:t>6</w:t>
      </w:r>
      <w:r>
        <w:rPr>
          <w:rFonts w:hint="eastAsia" w:ascii="宋体" w:hAnsi="宋体" w:eastAsia="宋体" w:cs="宋体"/>
          <w:spacing w:val="-6"/>
          <w:szCs w:val="21"/>
        </w:rPr>
        <w:t>）技术方案</w:t>
      </w:r>
    </w:p>
    <w:p w14:paraId="15DF0F34">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7</w:t>
      </w:r>
      <w:r>
        <w:rPr>
          <w:rFonts w:hint="eastAsia" w:ascii="宋体" w:hAnsi="宋体" w:eastAsia="宋体" w:cs="Times New Roman"/>
          <w:spacing w:val="-6"/>
          <w:szCs w:val="21"/>
        </w:rPr>
        <w:t>）节能、环保产品证明材料</w:t>
      </w:r>
    </w:p>
    <w:p w14:paraId="15DF0F35">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（8）科技创新相关证明材料</w:t>
      </w:r>
    </w:p>
    <w:p w14:paraId="15DF0F36">
      <w:pPr>
        <w:adjustRightInd w:val="0"/>
        <w:snapToGrid w:val="0"/>
        <w:spacing w:line="288" w:lineRule="auto"/>
        <w:ind w:firstLine="396" w:firstLineChars="200"/>
        <w:jc w:val="left"/>
        <w:rPr>
          <w:rFonts w:hint="eastAsia" w:ascii="宋体" w:hAnsi="宋体" w:eastAsia="宋体" w:cs="宋体"/>
          <w:spacing w:val="-6"/>
          <w:szCs w:val="21"/>
        </w:rPr>
      </w:pPr>
      <w:r>
        <w:rPr>
          <w:rFonts w:hint="eastAsia" w:ascii="宋体" w:hAnsi="宋体" w:eastAsia="宋体" w:cs="宋体"/>
          <w:spacing w:val="-6"/>
          <w:szCs w:val="21"/>
        </w:rPr>
        <w:t>（9</w:t>
      </w:r>
      <w:r>
        <w:rPr>
          <w:rFonts w:ascii="宋体" w:hAnsi="宋体" w:eastAsia="宋体" w:cs="宋体"/>
          <w:spacing w:val="-6"/>
          <w:szCs w:val="21"/>
        </w:rPr>
        <w:t>）投标人需要说明的其他文件和材料。</w:t>
      </w:r>
    </w:p>
    <w:p w14:paraId="15DF0F37">
      <w:pPr>
        <w:adjustRightInd w:val="0"/>
        <w:snapToGrid w:val="0"/>
        <w:spacing w:line="288" w:lineRule="auto"/>
        <w:jc w:val="left"/>
        <w:rPr>
          <w:rFonts w:hint="eastAsia" w:ascii="宋体" w:hAnsi="宋体" w:eastAsia="宋体" w:cs="Times New Roman"/>
          <w:b/>
          <w:spacing w:val="-6"/>
          <w:szCs w:val="21"/>
        </w:rPr>
      </w:pPr>
    </w:p>
    <w:p w14:paraId="15DF0F38">
      <w:pPr>
        <w:adjustRightInd w:val="0"/>
        <w:snapToGrid w:val="0"/>
        <w:spacing w:line="288" w:lineRule="auto"/>
        <w:ind w:firstLine="398" w:firstLineChars="200"/>
        <w:jc w:val="left"/>
        <w:rPr>
          <w:rFonts w:hint="eastAsia" w:ascii="宋体" w:hAnsi="宋体" w:eastAsia="宋体" w:cs="Times New Roman"/>
          <w:b/>
          <w:spacing w:val="-6"/>
          <w:szCs w:val="21"/>
        </w:rPr>
      </w:pPr>
      <w:r>
        <w:rPr>
          <w:rFonts w:ascii="宋体" w:hAnsi="宋体" w:eastAsia="宋体" w:cs="Times New Roman"/>
          <w:b/>
          <w:spacing w:val="-6"/>
          <w:szCs w:val="21"/>
        </w:rPr>
        <w:t>3.</w:t>
      </w:r>
      <w:r>
        <w:rPr>
          <w:rFonts w:hint="eastAsia" w:ascii="宋体" w:hAnsi="宋体" w:eastAsia="宋体" w:cs="Times New Roman"/>
          <w:b/>
          <w:spacing w:val="-6"/>
          <w:szCs w:val="21"/>
        </w:rPr>
        <w:t>报价文件</w:t>
      </w:r>
      <w:r>
        <w:rPr>
          <w:rFonts w:hint="eastAsia" w:ascii="宋体" w:hAnsi="宋体" w:eastAsia="宋体" w:cs="Times New Roman"/>
          <w:b/>
          <w:bCs/>
          <w:spacing w:val="-6"/>
          <w:szCs w:val="21"/>
        </w:rPr>
        <w:t>（单独上传）</w:t>
      </w:r>
    </w:p>
    <w:p w14:paraId="15DF0F39">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（1）开标一览表</w:t>
      </w:r>
    </w:p>
    <w:p w14:paraId="15DF0F3A">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w:t>
      </w:r>
      <w:r>
        <w:rPr>
          <w:rFonts w:hint="eastAsia" w:ascii="宋体" w:hAnsi="宋体" w:eastAsia="宋体" w:cs="Times New Roman"/>
          <w:spacing w:val="-6"/>
          <w:szCs w:val="21"/>
        </w:rPr>
        <w:t>）中小企业声明函</w:t>
      </w:r>
      <w:bookmarkStart w:id="70" w:name="_Hlk81815656"/>
      <w:r>
        <w:rPr>
          <w:rFonts w:hint="eastAsia" w:ascii="宋体" w:hAnsi="宋体" w:eastAsia="宋体" w:cs="Times New Roman"/>
          <w:spacing w:val="-6"/>
          <w:szCs w:val="21"/>
        </w:rPr>
        <w:t>（若属于中小企业）</w:t>
      </w:r>
      <w:bookmarkEnd w:id="70"/>
    </w:p>
    <w:p w14:paraId="15DF0F3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w:t>
      </w:r>
      <w:r>
        <w:rPr>
          <w:rFonts w:hint="eastAsia" w:ascii="宋体" w:hAnsi="宋体" w:eastAsia="宋体" w:cs="Times New Roman"/>
          <w:spacing w:val="-6"/>
          <w:szCs w:val="21"/>
        </w:rPr>
        <w:t>）属于监狱企业的证明文件</w:t>
      </w:r>
      <w:bookmarkStart w:id="71" w:name="_Hlk81815359"/>
      <w:r>
        <w:rPr>
          <w:rFonts w:hint="eastAsia" w:ascii="宋体" w:hAnsi="宋体" w:eastAsia="宋体" w:cs="Times New Roman"/>
          <w:spacing w:val="-6"/>
          <w:szCs w:val="21"/>
        </w:rPr>
        <w:t>（若属于监狱企业）</w:t>
      </w:r>
      <w:bookmarkEnd w:id="71"/>
    </w:p>
    <w:p w14:paraId="15DF0F3C">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4</w:t>
      </w:r>
      <w:r>
        <w:rPr>
          <w:rFonts w:hint="eastAsia" w:ascii="宋体" w:hAnsi="宋体" w:eastAsia="宋体" w:cs="Times New Roman"/>
          <w:spacing w:val="-6"/>
          <w:szCs w:val="21"/>
        </w:rPr>
        <w:t>）</w:t>
      </w:r>
      <w:bookmarkStart w:id="72" w:name="OLE_LINK14"/>
      <w:bookmarkStart w:id="73" w:name="OLE_LINK13"/>
      <w:r>
        <w:rPr>
          <w:rFonts w:hint="eastAsia" w:ascii="宋体" w:hAnsi="宋体" w:eastAsia="宋体" w:cs="Times New Roman"/>
          <w:spacing w:val="-6"/>
          <w:szCs w:val="21"/>
        </w:rPr>
        <w:t>残疾人福利性单位声明函</w:t>
      </w:r>
      <w:bookmarkEnd w:id="72"/>
      <w:bookmarkEnd w:id="73"/>
      <w:bookmarkStart w:id="74" w:name="_Hlk81815372"/>
      <w:r>
        <w:rPr>
          <w:rFonts w:hint="eastAsia" w:ascii="宋体" w:hAnsi="宋体" w:eastAsia="宋体" w:cs="Times New Roman"/>
          <w:spacing w:val="-6"/>
          <w:szCs w:val="21"/>
        </w:rPr>
        <w:t>（若属于残疾人福利性单位）</w:t>
      </w:r>
      <w:bookmarkEnd w:id="74"/>
    </w:p>
    <w:p w14:paraId="15DF0F3D">
      <w:pPr>
        <w:widowControl/>
        <w:adjustRightInd w:val="0"/>
        <w:snapToGrid w:val="0"/>
        <w:spacing w:line="288" w:lineRule="auto"/>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15DF0F3E">
      <w:pPr>
        <w:tabs>
          <w:tab w:val="center" w:pos="4706"/>
        </w:tabs>
        <w:adjustRightInd w:val="0"/>
        <w:snapToGrid w:val="0"/>
        <w:spacing w:line="288" w:lineRule="auto"/>
        <w:jc w:val="center"/>
        <w:outlineLvl w:val="2"/>
        <w:rPr>
          <w:rFonts w:hint="eastAsia" w:ascii="宋体" w:hAnsi="宋体" w:eastAsia="宋体" w:cs="Times New Roman"/>
          <w:b/>
          <w:spacing w:val="-6"/>
          <w:szCs w:val="21"/>
        </w:rPr>
      </w:pPr>
      <w:r>
        <w:rPr>
          <w:rFonts w:hint="eastAsia" w:ascii="宋体" w:hAnsi="宋体" w:eastAsia="宋体" w:cs="Times New Roman"/>
          <w:b/>
          <w:spacing w:val="-6"/>
          <w:szCs w:val="21"/>
        </w:rPr>
        <w:t>评分索引表</w:t>
      </w:r>
    </w:p>
    <w:tbl>
      <w:tblPr>
        <w:tblStyle w:val="23"/>
        <w:tblW w:w="94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2091"/>
        <w:gridCol w:w="709"/>
        <w:gridCol w:w="3040"/>
        <w:gridCol w:w="967"/>
        <w:gridCol w:w="1053"/>
        <w:gridCol w:w="882"/>
      </w:tblGrid>
      <w:tr w14:paraId="15DF0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15DF0F3F">
            <w:pPr>
              <w:adjustRightInd w:val="0"/>
              <w:snapToGrid w:val="0"/>
              <w:spacing w:line="288" w:lineRule="auto"/>
              <w:jc w:val="center"/>
              <w:rPr>
                <w:rFonts w:hint="eastAsia" w:ascii="宋体" w:hAnsi="宋体" w:eastAsia="宋体" w:cs="Times New Roman"/>
                <w:b/>
                <w:spacing w:val="-6"/>
                <w:szCs w:val="21"/>
              </w:rPr>
            </w:pPr>
            <w:r>
              <w:rPr>
                <w:rFonts w:hint="eastAsia" w:ascii="宋体" w:hAnsi="宋体" w:eastAsia="宋体" w:cs="Times New Roman"/>
                <w:b/>
                <w:spacing w:val="-6"/>
                <w:szCs w:val="21"/>
              </w:rPr>
              <w:t>序号</w:t>
            </w:r>
          </w:p>
        </w:tc>
        <w:tc>
          <w:tcPr>
            <w:tcW w:w="2091" w:type="dxa"/>
            <w:vAlign w:val="center"/>
          </w:tcPr>
          <w:p w14:paraId="15DF0F40">
            <w:pPr>
              <w:adjustRightInd w:val="0"/>
              <w:snapToGrid w:val="0"/>
              <w:spacing w:line="288" w:lineRule="auto"/>
              <w:jc w:val="center"/>
              <w:rPr>
                <w:rFonts w:hint="eastAsia" w:ascii="宋体" w:hAnsi="宋体" w:eastAsia="宋体" w:cs="Times New Roman"/>
                <w:b/>
                <w:spacing w:val="-6"/>
                <w:szCs w:val="21"/>
              </w:rPr>
            </w:pPr>
            <w:r>
              <w:rPr>
                <w:rFonts w:hint="eastAsia" w:ascii="宋体" w:hAnsi="宋体" w:eastAsia="宋体" w:cs="Times New Roman"/>
                <w:b/>
                <w:spacing w:val="-6"/>
                <w:szCs w:val="21"/>
              </w:rPr>
              <w:t>评审因素</w:t>
            </w:r>
          </w:p>
        </w:tc>
        <w:tc>
          <w:tcPr>
            <w:tcW w:w="709" w:type="dxa"/>
            <w:vAlign w:val="center"/>
          </w:tcPr>
          <w:p w14:paraId="15DF0F41">
            <w:pPr>
              <w:adjustRightInd w:val="0"/>
              <w:snapToGrid w:val="0"/>
              <w:spacing w:line="288" w:lineRule="auto"/>
              <w:jc w:val="center"/>
              <w:rPr>
                <w:rFonts w:hint="eastAsia" w:ascii="宋体" w:hAnsi="宋体" w:eastAsia="宋体" w:cs="Times New Roman"/>
                <w:b/>
                <w:spacing w:val="-6"/>
                <w:szCs w:val="21"/>
              </w:rPr>
            </w:pPr>
            <w:r>
              <w:rPr>
                <w:rFonts w:hint="eastAsia" w:ascii="宋体" w:hAnsi="宋体" w:eastAsia="宋体" w:cs="Times New Roman"/>
                <w:b/>
                <w:spacing w:val="-6"/>
                <w:szCs w:val="21"/>
              </w:rPr>
              <w:t>分值</w:t>
            </w:r>
          </w:p>
        </w:tc>
        <w:tc>
          <w:tcPr>
            <w:tcW w:w="3040" w:type="dxa"/>
            <w:vAlign w:val="center"/>
          </w:tcPr>
          <w:p w14:paraId="15DF0F42">
            <w:pPr>
              <w:tabs>
                <w:tab w:val="left" w:pos="1418"/>
              </w:tabs>
              <w:adjustRightInd w:val="0"/>
              <w:snapToGrid w:val="0"/>
              <w:spacing w:line="288" w:lineRule="auto"/>
              <w:ind w:firstLine="398"/>
              <w:jc w:val="center"/>
              <w:rPr>
                <w:rFonts w:hint="eastAsia" w:ascii="宋体" w:hAnsi="宋体" w:eastAsia="宋体" w:cs="Times New Roman"/>
                <w:b/>
                <w:spacing w:val="-6"/>
                <w:kern w:val="0"/>
                <w:szCs w:val="21"/>
              </w:rPr>
            </w:pPr>
            <w:r>
              <w:rPr>
                <w:rFonts w:ascii="宋体" w:hAnsi="宋体" w:eastAsia="宋体" w:cs="Times New Roman"/>
                <w:b/>
                <w:spacing w:val="-6"/>
                <w:kern w:val="0"/>
                <w:szCs w:val="21"/>
              </w:rPr>
              <w:t>评分标准</w:t>
            </w:r>
          </w:p>
        </w:tc>
        <w:tc>
          <w:tcPr>
            <w:tcW w:w="967" w:type="dxa"/>
            <w:vAlign w:val="center"/>
          </w:tcPr>
          <w:p w14:paraId="15DF0F43">
            <w:pPr>
              <w:tabs>
                <w:tab w:val="left" w:pos="1418"/>
              </w:tabs>
              <w:adjustRightInd w:val="0"/>
              <w:snapToGrid w:val="0"/>
              <w:spacing w:line="288" w:lineRule="auto"/>
              <w:jc w:val="center"/>
              <w:rPr>
                <w:rFonts w:hint="eastAsia" w:ascii="宋体" w:hAnsi="宋体" w:eastAsia="宋体" w:cs="Times New Roman"/>
                <w:b/>
                <w:spacing w:val="-6"/>
                <w:kern w:val="0"/>
                <w:szCs w:val="21"/>
              </w:rPr>
            </w:pPr>
            <w:r>
              <w:rPr>
                <w:rFonts w:ascii="宋体" w:hAnsi="宋体" w:eastAsia="宋体" w:cs="Times New Roman"/>
                <w:b/>
                <w:spacing w:val="-6"/>
                <w:kern w:val="0"/>
                <w:szCs w:val="21"/>
              </w:rPr>
              <w:t>自评分</w:t>
            </w:r>
          </w:p>
        </w:tc>
        <w:tc>
          <w:tcPr>
            <w:tcW w:w="1053" w:type="dxa"/>
            <w:vAlign w:val="center"/>
          </w:tcPr>
          <w:p w14:paraId="15DF0F44">
            <w:pPr>
              <w:tabs>
                <w:tab w:val="left" w:pos="1418"/>
              </w:tabs>
              <w:adjustRightInd w:val="0"/>
              <w:snapToGrid w:val="0"/>
              <w:spacing w:line="288" w:lineRule="auto"/>
              <w:jc w:val="center"/>
              <w:rPr>
                <w:rFonts w:hint="eastAsia" w:ascii="宋体" w:hAnsi="宋体" w:eastAsia="宋体" w:cs="Times New Roman"/>
                <w:b/>
                <w:spacing w:val="-6"/>
                <w:kern w:val="0"/>
                <w:szCs w:val="21"/>
              </w:rPr>
            </w:pPr>
            <w:r>
              <w:rPr>
                <w:rFonts w:ascii="宋体" w:hAnsi="宋体" w:eastAsia="宋体" w:cs="Times New Roman"/>
                <w:b/>
                <w:spacing w:val="-6"/>
                <w:kern w:val="0"/>
                <w:szCs w:val="21"/>
              </w:rPr>
              <w:t>自评依据</w:t>
            </w:r>
          </w:p>
        </w:tc>
        <w:tc>
          <w:tcPr>
            <w:tcW w:w="882" w:type="dxa"/>
            <w:vAlign w:val="center"/>
          </w:tcPr>
          <w:p w14:paraId="15DF0F45">
            <w:pPr>
              <w:tabs>
                <w:tab w:val="left" w:pos="1418"/>
              </w:tabs>
              <w:adjustRightInd w:val="0"/>
              <w:snapToGrid w:val="0"/>
              <w:spacing w:line="288" w:lineRule="auto"/>
              <w:jc w:val="center"/>
              <w:rPr>
                <w:rFonts w:hint="eastAsia" w:ascii="宋体" w:hAnsi="宋体" w:eastAsia="宋体" w:cs="Times New Roman"/>
                <w:b/>
                <w:spacing w:val="-6"/>
                <w:kern w:val="0"/>
                <w:szCs w:val="21"/>
              </w:rPr>
            </w:pPr>
            <w:r>
              <w:rPr>
                <w:rFonts w:ascii="宋体" w:hAnsi="宋体" w:eastAsia="宋体" w:cs="Times New Roman"/>
                <w:b/>
                <w:spacing w:val="-6"/>
                <w:kern w:val="0"/>
                <w:szCs w:val="21"/>
              </w:rPr>
              <w:t>页码</w:t>
            </w:r>
          </w:p>
        </w:tc>
      </w:tr>
      <w:tr w14:paraId="15DF0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15DF0F47">
            <w:pPr>
              <w:tabs>
                <w:tab w:val="left" w:pos="1418"/>
              </w:tabs>
              <w:adjustRightInd w:val="0"/>
              <w:snapToGrid w:val="0"/>
              <w:spacing w:line="288" w:lineRule="auto"/>
              <w:jc w:val="center"/>
              <w:rPr>
                <w:rFonts w:hint="eastAsia" w:ascii="宋体" w:hAnsi="宋体" w:eastAsia="宋体" w:cs="Times New Roman"/>
                <w:b/>
                <w:spacing w:val="-6"/>
                <w:kern w:val="0"/>
                <w:szCs w:val="21"/>
              </w:rPr>
            </w:pPr>
            <w:r>
              <w:rPr>
                <w:rFonts w:ascii="宋体" w:hAnsi="宋体" w:eastAsia="宋体" w:cs="Times New Roman"/>
                <w:b/>
                <w:spacing w:val="-6"/>
                <w:kern w:val="0"/>
                <w:szCs w:val="21"/>
              </w:rPr>
              <w:t>商务分</w:t>
            </w:r>
          </w:p>
        </w:tc>
      </w:tr>
      <w:tr w14:paraId="15DF0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15DF0F49">
            <w:pPr>
              <w:adjustRightInd w:val="0"/>
              <w:snapToGrid w:val="0"/>
              <w:spacing w:line="288" w:lineRule="auto"/>
              <w:jc w:val="center"/>
              <w:rPr>
                <w:rFonts w:hint="eastAsia" w:ascii="宋体" w:hAnsi="宋体" w:eastAsia="宋体" w:cs="Times New Roman"/>
                <w:spacing w:val="-6"/>
                <w:szCs w:val="21"/>
              </w:rPr>
            </w:pPr>
          </w:p>
        </w:tc>
        <w:tc>
          <w:tcPr>
            <w:tcW w:w="2091" w:type="dxa"/>
            <w:vAlign w:val="center"/>
          </w:tcPr>
          <w:p w14:paraId="15DF0F4A">
            <w:pPr>
              <w:adjustRightInd w:val="0"/>
              <w:snapToGrid w:val="0"/>
              <w:spacing w:line="288" w:lineRule="auto"/>
              <w:jc w:val="center"/>
              <w:rPr>
                <w:rFonts w:hint="eastAsia" w:ascii="宋体" w:hAnsi="宋体" w:eastAsia="宋体" w:cs="Times New Roman"/>
                <w:spacing w:val="-6"/>
                <w:szCs w:val="21"/>
              </w:rPr>
            </w:pPr>
          </w:p>
        </w:tc>
        <w:tc>
          <w:tcPr>
            <w:tcW w:w="709" w:type="dxa"/>
            <w:vAlign w:val="center"/>
          </w:tcPr>
          <w:p w14:paraId="15DF0F4B">
            <w:pPr>
              <w:adjustRightInd w:val="0"/>
              <w:snapToGrid w:val="0"/>
              <w:spacing w:line="288" w:lineRule="auto"/>
              <w:jc w:val="center"/>
              <w:rPr>
                <w:rFonts w:hint="eastAsia" w:ascii="宋体" w:hAnsi="宋体" w:eastAsia="宋体" w:cs="Times New Roman"/>
                <w:spacing w:val="-6"/>
                <w:szCs w:val="21"/>
              </w:rPr>
            </w:pPr>
          </w:p>
        </w:tc>
        <w:tc>
          <w:tcPr>
            <w:tcW w:w="3040" w:type="dxa"/>
            <w:vAlign w:val="center"/>
          </w:tcPr>
          <w:p w14:paraId="15DF0F4C">
            <w:pPr>
              <w:adjustRightInd w:val="0"/>
              <w:snapToGrid w:val="0"/>
              <w:spacing w:line="288" w:lineRule="auto"/>
              <w:rPr>
                <w:rFonts w:hint="eastAsia" w:ascii="宋体" w:hAnsi="宋体" w:eastAsia="宋体" w:cs="Times New Roman"/>
                <w:spacing w:val="-6"/>
                <w:szCs w:val="21"/>
              </w:rPr>
            </w:pPr>
          </w:p>
        </w:tc>
        <w:tc>
          <w:tcPr>
            <w:tcW w:w="967" w:type="dxa"/>
            <w:vAlign w:val="center"/>
          </w:tcPr>
          <w:p w14:paraId="15DF0F4D">
            <w:pPr>
              <w:adjustRightInd w:val="0"/>
              <w:snapToGrid w:val="0"/>
              <w:spacing w:line="288" w:lineRule="auto"/>
              <w:jc w:val="center"/>
              <w:rPr>
                <w:rFonts w:hint="eastAsia" w:ascii="宋体" w:hAnsi="宋体" w:eastAsia="宋体" w:cs="Times New Roman"/>
                <w:spacing w:val="-6"/>
                <w:szCs w:val="21"/>
              </w:rPr>
            </w:pPr>
          </w:p>
        </w:tc>
        <w:tc>
          <w:tcPr>
            <w:tcW w:w="1053" w:type="dxa"/>
            <w:vAlign w:val="center"/>
          </w:tcPr>
          <w:p w14:paraId="15DF0F4E">
            <w:pPr>
              <w:adjustRightInd w:val="0"/>
              <w:snapToGrid w:val="0"/>
              <w:spacing w:line="288" w:lineRule="auto"/>
              <w:jc w:val="center"/>
              <w:rPr>
                <w:rFonts w:hint="eastAsia" w:ascii="宋体" w:hAnsi="宋体" w:eastAsia="宋体" w:cs="Times New Roman"/>
                <w:spacing w:val="-6"/>
                <w:szCs w:val="21"/>
              </w:rPr>
            </w:pPr>
          </w:p>
        </w:tc>
        <w:tc>
          <w:tcPr>
            <w:tcW w:w="882" w:type="dxa"/>
          </w:tcPr>
          <w:p w14:paraId="15DF0F4F">
            <w:pPr>
              <w:adjustRightInd w:val="0"/>
              <w:snapToGrid w:val="0"/>
              <w:spacing w:line="288" w:lineRule="auto"/>
              <w:jc w:val="center"/>
              <w:rPr>
                <w:rFonts w:hint="eastAsia" w:ascii="宋体" w:hAnsi="宋体" w:eastAsia="宋体" w:cs="Times New Roman"/>
                <w:spacing w:val="-6"/>
                <w:szCs w:val="21"/>
              </w:rPr>
            </w:pPr>
          </w:p>
        </w:tc>
      </w:tr>
      <w:tr w14:paraId="15DF0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15DF0F51">
            <w:pPr>
              <w:adjustRightInd w:val="0"/>
              <w:snapToGrid w:val="0"/>
              <w:spacing w:line="288" w:lineRule="auto"/>
              <w:jc w:val="center"/>
              <w:rPr>
                <w:rFonts w:hint="eastAsia" w:ascii="宋体" w:hAnsi="宋体" w:eastAsia="宋体" w:cs="Times New Roman"/>
                <w:spacing w:val="-6"/>
                <w:szCs w:val="21"/>
              </w:rPr>
            </w:pPr>
          </w:p>
        </w:tc>
        <w:tc>
          <w:tcPr>
            <w:tcW w:w="2091" w:type="dxa"/>
            <w:vAlign w:val="center"/>
          </w:tcPr>
          <w:p w14:paraId="15DF0F52">
            <w:pPr>
              <w:adjustRightInd w:val="0"/>
              <w:snapToGrid w:val="0"/>
              <w:spacing w:line="288" w:lineRule="auto"/>
              <w:jc w:val="center"/>
              <w:rPr>
                <w:rFonts w:hint="eastAsia" w:ascii="宋体" w:hAnsi="宋体" w:eastAsia="宋体" w:cs="Times New Roman"/>
                <w:spacing w:val="-6"/>
                <w:szCs w:val="21"/>
              </w:rPr>
            </w:pPr>
          </w:p>
        </w:tc>
        <w:tc>
          <w:tcPr>
            <w:tcW w:w="709" w:type="dxa"/>
            <w:vAlign w:val="center"/>
          </w:tcPr>
          <w:p w14:paraId="15DF0F53">
            <w:pPr>
              <w:adjustRightInd w:val="0"/>
              <w:snapToGrid w:val="0"/>
              <w:spacing w:line="288" w:lineRule="auto"/>
              <w:jc w:val="center"/>
              <w:rPr>
                <w:rFonts w:hint="eastAsia" w:ascii="宋体" w:hAnsi="宋体" w:eastAsia="宋体" w:cs="Times New Roman"/>
                <w:spacing w:val="-6"/>
                <w:szCs w:val="21"/>
              </w:rPr>
            </w:pPr>
          </w:p>
        </w:tc>
        <w:tc>
          <w:tcPr>
            <w:tcW w:w="3040" w:type="dxa"/>
            <w:vAlign w:val="center"/>
          </w:tcPr>
          <w:p w14:paraId="15DF0F54">
            <w:pPr>
              <w:adjustRightInd w:val="0"/>
              <w:snapToGrid w:val="0"/>
              <w:spacing w:line="288" w:lineRule="auto"/>
              <w:rPr>
                <w:rFonts w:hint="eastAsia" w:ascii="宋体" w:hAnsi="宋体" w:eastAsia="宋体" w:cs="Times New Roman"/>
                <w:spacing w:val="-6"/>
                <w:szCs w:val="21"/>
              </w:rPr>
            </w:pPr>
          </w:p>
        </w:tc>
        <w:tc>
          <w:tcPr>
            <w:tcW w:w="967" w:type="dxa"/>
            <w:vAlign w:val="center"/>
          </w:tcPr>
          <w:p w14:paraId="15DF0F55">
            <w:pPr>
              <w:adjustRightInd w:val="0"/>
              <w:snapToGrid w:val="0"/>
              <w:spacing w:line="288" w:lineRule="auto"/>
              <w:jc w:val="center"/>
              <w:rPr>
                <w:rFonts w:hint="eastAsia" w:ascii="宋体" w:hAnsi="宋体" w:eastAsia="宋体" w:cs="Times New Roman"/>
                <w:spacing w:val="-6"/>
                <w:szCs w:val="21"/>
              </w:rPr>
            </w:pPr>
          </w:p>
        </w:tc>
        <w:tc>
          <w:tcPr>
            <w:tcW w:w="1053" w:type="dxa"/>
            <w:vAlign w:val="center"/>
          </w:tcPr>
          <w:p w14:paraId="15DF0F56">
            <w:pPr>
              <w:adjustRightInd w:val="0"/>
              <w:snapToGrid w:val="0"/>
              <w:spacing w:line="288" w:lineRule="auto"/>
              <w:jc w:val="center"/>
              <w:rPr>
                <w:rFonts w:hint="eastAsia" w:ascii="宋体" w:hAnsi="宋体" w:eastAsia="宋体" w:cs="Times New Roman"/>
                <w:spacing w:val="-6"/>
                <w:szCs w:val="21"/>
              </w:rPr>
            </w:pPr>
          </w:p>
        </w:tc>
        <w:tc>
          <w:tcPr>
            <w:tcW w:w="882" w:type="dxa"/>
          </w:tcPr>
          <w:p w14:paraId="15DF0F57">
            <w:pPr>
              <w:adjustRightInd w:val="0"/>
              <w:snapToGrid w:val="0"/>
              <w:spacing w:line="288" w:lineRule="auto"/>
              <w:jc w:val="center"/>
              <w:rPr>
                <w:rFonts w:hint="eastAsia" w:ascii="宋体" w:hAnsi="宋体" w:eastAsia="宋体" w:cs="Times New Roman"/>
                <w:spacing w:val="-6"/>
                <w:szCs w:val="21"/>
              </w:rPr>
            </w:pPr>
          </w:p>
        </w:tc>
      </w:tr>
      <w:tr w14:paraId="15DF0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15DF0F59">
            <w:pPr>
              <w:adjustRightInd w:val="0"/>
              <w:snapToGrid w:val="0"/>
              <w:spacing w:line="288" w:lineRule="auto"/>
              <w:jc w:val="center"/>
              <w:rPr>
                <w:rFonts w:hint="eastAsia" w:ascii="宋体" w:hAnsi="宋体" w:eastAsia="宋体" w:cs="Times New Roman"/>
                <w:kern w:val="0"/>
                <w:szCs w:val="21"/>
              </w:rPr>
            </w:pPr>
          </w:p>
        </w:tc>
        <w:tc>
          <w:tcPr>
            <w:tcW w:w="2091" w:type="dxa"/>
            <w:vAlign w:val="center"/>
          </w:tcPr>
          <w:p w14:paraId="15DF0F5A">
            <w:pPr>
              <w:adjustRightInd w:val="0"/>
              <w:snapToGrid w:val="0"/>
              <w:spacing w:line="288" w:lineRule="auto"/>
              <w:jc w:val="center"/>
              <w:rPr>
                <w:rFonts w:hint="eastAsia" w:ascii="宋体" w:hAnsi="宋体" w:eastAsia="宋体" w:cs="Times New Roman"/>
                <w:kern w:val="0"/>
                <w:szCs w:val="21"/>
              </w:rPr>
            </w:pPr>
          </w:p>
        </w:tc>
        <w:tc>
          <w:tcPr>
            <w:tcW w:w="709" w:type="dxa"/>
            <w:vAlign w:val="center"/>
          </w:tcPr>
          <w:p w14:paraId="15DF0F5B">
            <w:pPr>
              <w:adjustRightInd w:val="0"/>
              <w:snapToGrid w:val="0"/>
              <w:spacing w:line="288" w:lineRule="auto"/>
              <w:jc w:val="center"/>
              <w:rPr>
                <w:rFonts w:hint="eastAsia" w:ascii="宋体" w:hAnsi="宋体" w:eastAsia="宋体" w:cs="Times New Roman"/>
                <w:kern w:val="0"/>
                <w:szCs w:val="21"/>
              </w:rPr>
            </w:pPr>
          </w:p>
        </w:tc>
        <w:tc>
          <w:tcPr>
            <w:tcW w:w="3040" w:type="dxa"/>
            <w:vAlign w:val="center"/>
          </w:tcPr>
          <w:p w14:paraId="15DF0F5C">
            <w:pPr>
              <w:adjustRightInd w:val="0"/>
              <w:snapToGrid w:val="0"/>
              <w:spacing w:line="288" w:lineRule="auto"/>
              <w:rPr>
                <w:rFonts w:hint="eastAsia" w:ascii="宋体" w:hAnsi="宋体" w:eastAsia="宋体" w:cs="Times New Roman"/>
                <w:kern w:val="0"/>
                <w:szCs w:val="21"/>
              </w:rPr>
            </w:pPr>
          </w:p>
        </w:tc>
        <w:tc>
          <w:tcPr>
            <w:tcW w:w="967" w:type="dxa"/>
            <w:vAlign w:val="center"/>
          </w:tcPr>
          <w:p w14:paraId="15DF0F5D">
            <w:pPr>
              <w:adjustRightInd w:val="0"/>
              <w:snapToGrid w:val="0"/>
              <w:spacing w:line="288" w:lineRule="auto"/>
              <w:jc w:val="center"/>
              <w:rPr>
                <w:rFonts w:hint="eastAsia" w:ascii="宋体" w:hAnsi="宋体" w:eastAsia="宋体" w:cs="Times New Roman"/>
                <w:szCs w:val="21"/>
              </w:rPr>
            </w:pPr>
          </w:p>
        </w:tc>
        <w:tc>
          <w:tcPr>
            <w:tcW w:w="1053" w:type="dxa"/>
            <w:vAlign w:val="center"/>
          </w:tcPr>
          <w:p w14:paraId="15DF0F5E">
            <w:pPr>
              <w:adjustRightInd w:val="0"/>
              <w:snapToGrid w:val="0"/>
              <w:spacing w:line="288" w:lineRule="auto"/>
              <w:jc w:val="center"/>
              <w:rPr>
                <w:rFonts w:hint="eastAsia" w:ascii="宋体" w:hAnsi="宋体" w:eastAsia="宋体" w:cs="Times New Roman"/>
                <w:szCs w:val="21"/>
              </w:rPr>
            </w:pPr>
          </w:p>
        </w:tc>
        <w:tc>
          <w:tcPr>
            <w:tcW w:w="882" w:type="dxa"/>
          </w:tcPr>
          <w:p w14:paraId="15DF0F5F">
            <w:pPr>
              <w:adjustRightInd w:val="0"/>
              <w:snapToGrid w:val="0"/>
              <w:spacing w:line="288" w:lineRule="auto"/>
              <w:jc w:val="center"/>
              <w:rPr>
                <w:rFonts w:hint="eastAsia" w:ascii="宋体" w:hAnsi="宋体" w:eastAsia="宋体" w:cs="Times New Roman"/>
                <w:szCs w:val="21"/>
              </w:rPr>
            </w:pPr>
          </w:p>
        </w:tc>
      </w:tr>
      <w:tr w14:paraId="15DF0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15DF0F61">
            <w:pPr>
              <w:adjustRightInd w:val="0"/>
              <w:snapToGrid w:val="0"/>
              <w:spacing w:line="288" w:lineRule="auto"/>
              <w:jc w:val="center"/>
              <w:rPr>
                <w:rFonts w:hint="eastAsia" w:ascii="宋体" w:hAnsi="宋体" w:eastAsia="宋体" w:cs="Times New Roman"/>
                <w:spacing w:val="-6"/>
                <w:szCs w:val="21"/>
              </w:rPr>
            </w:pPr>
          </w:p>
        </w:tc>
        <w:tc>
          <w:tcPr>
            <w:tcW w:w="2091" w:type="dxa"/>
            <w:vAlign w:val="center"/>
          </w:tcPr>
          <w:p w14:paraId="15DF0F62">
            <w:pPr>
              <w:adjustRightInd w:val="0"/>
              <w:snapToGrid w:val="0"/>
              <w:spacing w:line="288" w:lineRule="auto"/>
              <w:jc w:val="center"/>
              <w:rPr>
                <w:rFonts w:hint="eastAsia" w:ascii="宋体" w:hAnsi="宋体" w:eastAsia="宋体" w:cs="Times New Roman"/>
                <w:spacing w:val="-6"/>
                <w:szCs w:val="21"/>
              </w:rPr>
            </w:pPr>
          </w:p>
        </w:tc>
        <w:tc>
          <w:tcPr>
            <w:tcW w:w="709" w:type="dxa"/>
            <w:vAlign w:val="center"/>
          </w:tcPr>
          <w:p w14:paraId="15DF0F63">
            <w:pPr>
              <w:adjustRightInd w:val="0"/>
              <w:snapToGrid w:val="0"/>
              <w:spacing w:line="288" w:lineRule="auto"/>
              <w:jc w:val="center"/>
              <w:rPr>
                <w:rFonts w:hint="eastAsia" w:ascii="宋体" w:hAnsi="宋体" w:eastAsia="宋体" w:cs="Times New Roman"/>
                <w:spacing w:val="-6"/>
                <w:szCs w:val="21"/>
              </w:rPr>
            </w:pPr>
          </w:p>
        </w:tc>
        <w:tc>
          <w:tcPr>
            <w:tcW w:w="3040" w:type="dxa"/>
            <w:vAlign w:val="center"/>
          </w:tcPr>
          <w:p w14:paraId="15DF0F64">
            <w:pPr>
              <w:adjustRightInd w:val="0"/>
              <w:snapToGrid w:val="0"/>
              <w:spacing w:line="288" w:lineRule="auto"/>
              <w:rPr>
                <w:rFonts w:hint="eastAsia" w:ascii="宋体" w:hAnsi="宋体" w:eastAsia="宋体" w:cs="Times New Roman"/>
                <w:spacing w:val="-6"/>
                <w:szCs w:val="21"/>
              </w:rPr>
            </w:pPr>
          </w:p>
        </w:tc>
        <w:tc>
          <w:tcPr>
            <w:tcW w:w="967" w:type="dxa"/>
            <w:vAlign w:val="center"/>
          </w:tcPr>
          <w:p w14:paraId="15DF0F65">
            <w:pPr>
              <w:adjustRightInd w:val="0"/>
              <w:snapToGrid w:val="0"/>
              <w:spacing w:line="288" w:lineRule="auto"/>
              <w:jc w:val="center"/>
              <w:rPr>
                <w:rFonts w:hint="eastAsia" w:ascii="宋体" w:hAnsi="宋体" w:eastAsia="宋体" w:cs="Times New Roman"/>
                <w:spacing w:val="-6"/>
                <w:szCs w:val="21"/>
              </w:rPr>
            </w:pPr>
          </w:p>
        </w:tc>
        <w:tc>
          <w:tcPr>
            <w:tcW w:w="1053" w:type="dxa"/>
            <w:vAlign w:val="center"/>
          </w:tcPr>
          <w:p w14:paraId="15DF0F66">
            <w:pPr>
              <w:adjustRightInd w:val="0"/>
              <w:snapToGrid w:val="0"/>
              <w:spacing w:line="288" w:lineRule="auto"/>
              <w:jc w:val="center"/>
              <w:rPr>
                <w:rFonts w:hint="eastAsia" w:ascii="宋体" w:hAnsi="宋体" w:eastAsia="宋体" w:cs="Times New Roman"/>
                <w:spacing w:val="-6"/>
                <w:szCs w:val="21"/>
              </w:rPr>
            </w:pPr>
          </w:p>
        </w:tc>
        <w:tc>
          <w:tcPr>
            <w:tcW w:w="882" w:type="dxa"/>
          </w:tcPr>
          <w:p w14:paraId="15DF0F67">
            <w:pPr>
              <w:adjustRightInd w:val="0"/>
              <w:snapToGrid w:val="0"/>
              <w:spacing w:line="288" w:lineRule="auto"/>
              <w:jc w:val="center"/>
              <w:rPr>
                <w:rFonts w:hint="eastAsia" w:ascii="宋体" w:hAnsi="宋体" w:eastAsia="宋体" w:cs="Times New Roman"/>
                <w:spacing w:val="-6"/>
                <w:szCs w:val="21"/>
              </w:rPr>
            </w:pPr>
          </w:p>
        </w:tc>
      </w:tr>
      <w:tr w14:paraId="15DF0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15DF0F69">
            <w:pPr>
              <w:adjustRightInd w:val="0"/>
              <w:snapToGrid w:val="0"/>
              <w:spacing w:line="288" w:lineRule="auto"/>
              <w:jc w:val="center"/>
              <w:rPr>
                <w:rFonts w:hint="eastAsia" w:ascii="宋体" w:hAnsi="宋体" w:eastAsia="宋体" w:cs="Times New Roman"/>
                <w:spacing w:val="-6"/>
                <w:szCs w:val="21"/>
              </w:rPr>
            </w:pPr>
          </w:p>
        </w:tc>
        <w:tc>
          <w:tcPr>
            <w:tcW w:w="2091" w:type="dxa"/>
            <w:vAlign w:val="center"/>
          </w:tcPr>
          <w:p w14:paraId="15DF0F6A">
            <w:pPr>
              <w:adjustRightInd w:val="0"/>
              <w:snapToGrid w:val="0"/>
              <w:spacing w:line="288" w:lineRule="auto"/>
              <w:jc w:val="center"/>
              <w:rPr>
                <w:rFonts w:hint="eastAsia" w:ascii="宋体" w:hAnsi="宋体" w:eastAsia="宋体" w:cs="Times New Roman"/>
                <w:spacing w:val="-6"/>
                <w:szCs w:val="21"/>
              </w:rPr>
            </w:pPr>
          </w:p>
        </w:tc>
        <w:tc>
          <w:tcPr>
            <w:tcW w:w="709" w:type="dxa"/>
            <w:vAlign w:val="center"/>
          </w:tcPr>
          <w:p w14:paraId="15DF0F6B">
            <w:pPr>
              <w:adjustRightInd w:val="0"/>
              <w:snapToGrid w:val="0"/>
              <w:spacing w:line="288" w:lineRule="auto"/>
              <w:jc w:val="center"/>
              <w:rPr>
                <w:rFonts w:hint="eastAsia" w:ascii="宋体" w:hAnsi="宋体" w:eastAsia="宋体" w:cs="Times New Roman"/>
                <w:spacing w:val="-6"/>
                <w:szCs w:val="21"/>
              </w:rPr>
            </w:pPr>
          </w:p>
        </w:tc>
        <w:tc>
          <w:tcPr>
            <w:tcW w:w="3040" w:type="dxa"/>
            <w:vAlign w:val="center"/>
          </w:tcPr>
          <w:p w14:paraId="15DF0F6C">
            <w:pPr>
              <w:adjustRightInd w:val="0"/>
              <w:snapToGrid w:val="0"/>
              <w:spacing w:line="288" w:lineRule="auto"/>
              <w:rPr>
                <w:rFonts w:hint="eastAsia" w:ascii="宋体" w:hAnsi="宋体" w:eastAsia="宋体" w:cs="Times New Roman"/>
                <w:spacing w:val="-6"/>
                <w:szCs w:val="21"/>
              </w:rPr>
            </w:pPr>
          </w:p>
        </w:tc>
        <w:tc>
          <w:tcPr>
            <w:tcW w:w="967" w:type="dxa"/>
            <w:vAlign w:val="center"/>
          </w:tcPr>
          <w:p w14:paraId="15DF0F6D">
            <w:pPr>
              <w:adjustRightInd w:val="0"/>
              <w:snapToGrid w:val="0"/>
              <w:spacing w:line="288" w:lineRule="auto"/>
              <w:jc w:val="center"/>
              <w:rPr>
                <w:rFonts w:hint="eastAsia" w:ascii="宋体" w:hAnsi="宋体" w:eastAsia="宋体" w:cs="Times New Roman"/>
                <w:spacing w:val="-6"/>
                <w:szCs w:val="21"/>
              </w:rPr>
            </w:pPr>
          </w:p>
        </w:tc>
        <w:tc>
          <w:tcPr>
            <w:tcW w:w="1053" w:type="dxa"/>
            <w:vAlign w:val="center"/>
          </w:tcPr>
          <w:p w14:paraId="15DF0F6E">
            <w:pPr>
              <w:adjustRightInd w:val="0"/>
              <w:snapToGrid w:val="0"/>
              <w:spacing w:line="288" w:lineRule="auto"/>
              <w:jc w:val="center"/>
              <w:rPr>
                <w:rFonts w:hint="eastAsia" w:ascii="宋体" w:hAnsi="宋体" w:eastAsia="宋体" w:cs="Times New Roman"/>
                <w:spacing w:val="-6"/>
                <w:szCs w:val="21"/>
              </w:rPr>
            </w:pPr>
          </w:p>
        </w:tc>
        <w:tc>
          <w:tcPr>
            <w:tcW w:w="882" w:type="dxa"/>
          </w:tcPr>
          <w:p w14:paraId="15DF0F6F">
            <w:pPr>
              <w:adjustRightInd w:val="0"/>
              <w:snapToGrid w:val="0"/>
              <w:spacing w:line="288" w:lineRule="auto"/>
              <w:jc w:val="center"/>
              <w:rPr>
                <w:rFonts w:hint="eastAsia" w:ascii="宋体" w:hAnsi="宋体" w:eastAsia="宋体" w:cs="Times New Roman"/>
                <w:spacing w:val="-6"/>
                <w:szCs w:val="21"/>
              </w:rPr>
            </w:pPr>
          </w:p>
        </w:tc>
      </w:tr>
      <w:tr w14:paraId="15DF0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15DF0F71">
            <w:pPr>
              <w:adjustRightInd w:val="0"/>
              <w:snapToGrid w:val="0"/>
              <w:spacing w:line="288" w:lineRule="auto"/>
              <w:jc w:val="center"/>
              <w:rPr>
                <w:rFonts w:hint="eastAsia" w:ascii="宋体" w:hAnsi="宋体" w:eastAsia="宋体" w:cs="Times New Roman"/>
                <w:spacing w:val="-6"/>
                <w:szCs w:val="21"/>
              </w:rPr>
            </w:pPr>
          </w:p>
        </w:tc>
        <w:tc>
          <w:tcPr>
            <w:tcW w:w="2091" w:type="dxa"/>
            <w:vAlign w:val="center"/>
          </w:tcPr>
          <w:p w14:paraId="15DF0F72">
            <w:pPr>
              <w:adjustRightInd w:val="0"/>
              <w:snapToGrid w:val="0"/>
              <w:spacing w:line="288" w:lineRule="auto"/>
              <w:jc w:val="center"/>
              <w:rPr>
                <w:rFonts w:hint="eastAsia" w:ascii="宋体" w:hAnsi="宋体" w:eastAsia="宋体" w:cs="Times New Roman"/>
                <w:spacing w:val="-6"/>
                <w:szCs w:val="21"/>
              </w:rPr>
            </w:pPr>
          </w:p>
        </w:tc>
        <w:tc>
          <w:tcPr>
            <w:tcW w:w="709" w:type="dxa"/>
            <w:vAlign w:val="center"/>
          </w:tcPr>
          <w:p w14:paraId="15DF0F73">
            <w:pPr>
              <w:adjustRightInd w:val="0"/>
              <w:snapToGrid w:val="0"/>
              <w:spacing w:line="288" w:lineRule="auto"/>
              <w:jc w:val="center"/>
              <w:rPr>
                <w:rFonts w:hint="eastAsia" w:ascii="宋体" w:hAnsi="宋体" w:eastAsia="宋体" w:cs="Times New Roman"/>
                <w:spacing w:val="-6"/>
                <w:szCs w:val="21"/>
              </w:rPr>
            </w:pPr>
          </w:p>
        </w:tc>
        <w:tc>
          <w:tcPr>
            <w:tcW w:w="3040" w:type="dxa"/>
            <w:vAlign w:val="center"/>
          </w:tcPr>
          <w:p w14:paraId="15DF0F74">
            <w:pPr>
              <w:adjustRightInd w:val="0"/>
              <w:snapToGrid w:val="0"/>
              <w:spacing w:line="288" w:lineRule="auto"/>
              <w:rPr>
                <w:rFonts w:hint="eastAsia" w:ascii="宋体" w:hAnsi="宋体" w:eastAsia="宋体" w:cs="Times New Roman"/>
                <w:spacing w:val="-6"/>
                <w:szCs w:val="21"/>
              </w:rPr>
            </w:pPr>
          </w:p>
        </w:tc>
        <w:tc>
          <w:tcPr>
            <w:tcW w:w="967" w:type="dxa"/>
            <w:vAlign w:val="center"/>
          </w:tcPr>
          <w:p w14:paraId="15DF0F75">
            <w:pPr>
              <w:adjustRightInd w:val="0"/>
              <w:snapToGrid w:val="0"/>
              <w:spacing w:line="288" w:lineRule="auto"/>
              <w:jc w:val="center"/>
              <w:rPr>
                <w:rFonts w:hint="eastAsia" w:ascii="宋体" w:hAnsi="宋体" w:eastAsia="宋体" w:cs="Times New Roman"/>
                <w:spacing w:val="-6"/>
                <w:szCs w:val="21"/>
              </w:rPr>
            </w:pPr>
          </w:p>
        </w:tc>
        <w:tc>
          <w:tcPr>
            <w:tcW w:w="1053" w:type="dxa"/>
            <w:vAlign w:val="center"/>
          </w:tcPr>
          <w:p w14:paraId="15DF0F76">
            <w:pPr>
              <w:adjustRightInd w:val="0"/>
              <w:snapToGrid w:val="0"/>
              <w:spacing w:line="288" w:lineRule="auto"/>
              <w:jc w:val="center"/>
              <w:rPr>
                <w:rFonts w:hint="eastAsia" w:ascii="宋体" w:hAnsi="宋体" w:eastAsia="宋体" w:cs="Times New Roman"/>
                <w:spacing w:val="-6"/>
                <w:szCs w:val="21"/>
              </w:rPr>
            </w:pPr>
          </w:p>
        </w:tc>
        <w:tc>
          <w:tcPr>
            <w:tcW w:w="882" w:type="dxa"/>
          </w:tcPr>
          <w:p w14:paraId="15DF0F77">
            <w:pPr>
              <w:adjustRightInd w:val="0"/>
              <w:snapToGrid w:val="0"/>
              <w:spacing w:line="288" w:lineRule="auto"/>
              <w:jc w:val="center"/>
              <w:rPr>
                <w:rFonts w:hint="eastAsia" w:ascii="宋体" w:hAnsi="宋体" w:eastAsia="宋体" w:cs="Times New Roman"/>
                <w:spacing w:val="-6"/>
                <w:szCs w:val="21"/>
              </w:rPr>
            </w:pPr>
          </w:p>
        </w:tc>
      </w:tr>
      <w:tr w14:paraId="15DF0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15DF0F79">
            <w:pPr>
              <w:adjustRightInd w:val="0"/>
              <w:snapToGrid w:val="0"/>
              <w:spacing w:line="288" w:lineRule="auto"/>
              <w:jc w:val="center"/>
              <w:rPr>
                <w:rFonts w:hint="eastAsia" w:ascii="宋体" w:hAnsi="宋体" w:eastAsia="宋体" w:cs="Times New Roman"/>
                <w:b/>
                <w:spacing w:val="-6"/>
                <w:szCs w:val="21"/>
              </w:rPr>
            </w:pPr>
            <w:r>
              <w:rPr>
                <w:rFonts w:hint="eastAsia" w:ascii="宋体" w:hAnsi="宋体" w:eastAsia="宋体" w:cs="Times New Roman"/>
                <w:b/>
                <w:spacing w:val="-6"/>
                <w:szCs w:val="21"/>
              </w:rPr>
              <w:t>技术</w:t>
            </w:r>
            <w:r>
              <w:rPr>
                <w:rFonts w:ascii="宋体" w:hAnsi="宋体" w:eastAsia="宋体" w:cs="Times New Roman"/>
                <w:b/>
                <w:spacing w:val="-6"/>
                <w:szCs w:val="21"/>
              </w:rPr>
              <w:t>分</w:t>
            </w:r>
          </w:p>
        </w:tc>
      </w:tr>
      <w:tr w14:paraId="15DF0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15DF0F7B">
            <w:pPr>
              <w:adjustRightInd w:val="0"/>
              <w:snapToGrid w:val="0"/>
              <w:spacing w:line="288" w:lineRule="auto"/>
              <w:jc w:val="center"/>
              <w:rPr>
                <w:rFonts w:hint="eastAsia" w:ascii="宋体" w:hAnsi="宋体" w:eastAsia="宋体" w:cs="Times New Roman"/>
                <w:spacing w:val="-6"/>
                <w:szCs w:val="21"/>
              </w:rPr>
            </w:pPr>
          </w:p>
        </w:tc>
        <w:tc>
          <w:tcPr>
            <w:tcW w:w="2091" w:type="dxa"/>
            <w:vAlign w:val="center"/>
          </w:tcPr>
          <w:p w14:paraId="15DF0F7C">
            <w:pPr>
              <w:adjustRightInd w:val="0"/>
              <w:snapToGrid w:val="0"/>
              <w:spacing w:line="288" w:lineRule="auto"/>
              <w:jc w:val="center"/>
              <w:rPr>
                <w:rFonts w:hint="eastAsia" w:ascii="宋体" w:hAnsi="宋体" w:eastAsia="宋体" w:cs="Times New Roman"/>
                <w:spacing w:val="-6"/>
                <w:szCs w:val="21"/>
              </w:rPr>
            </w:pPr>
          </w:p>
        </w:tc>
        <w:tc>
          <w:tcPr>
            <w:tcW w:w="709" w:type="dxa"/>
            <w:vAlign w:val="center"/>
          </w:tcPr>
          <w:p w14:paraId="15DF0F7D">
            <w:pPr>
              <w:adjustRightInd w:val="0"/>
              <w:snapToGrid w:val="0"/>
              <w:spacing w:line="288" w:lineRule="auto"/>
              <w:jc w:val="center"/>
              <w:rPr>
                <w:rFonts w:hint="eastAsia" w:ascii="宋体" w:hAnsi="宋体" w:eastAsia="宋体" w:cs="Times New Roman"/>
                <w:spacing w:val="-6"/>
                <w:szCs w:val="21"/>
              </w:rPr>
            </w:pPr>
          </w:p>
        </w:tc>
        <w:tc>
          <w:tcPr>
            <w:tcW w:w="3040" w:type="dxa"/>
            <w:vAlign w:val="center"/>
          </w:tcPr>
          <w:p w14:paraId="15DF0F7E">
            <w:pPr>
              <w:adjustRightInd w:val="0"/>
              <w:snapToGrid w:val="0"/>
              <w:spacing w:line="288" w:lineRule="auto"/>
              <w:rPr>
                <w:rFonts w:hint="eastAsia" w:ascii="宋体" w:hAnsi="宋体" w:eastAsia="宋体" w:cs="Times New Roman"/>
                <w:spacing w:val="-6"/>
                <w:szCs w:val="21"/>
              </w:rPr>
            </w:pPr>
          </w:p>
        </w:tc>
        <w:tc>
          <w:tcPr>
            <w:tcW w:w="967" w:type="dxa"/>
            <w:vAlign w:val="center"/>
          </w:tcPr>
          <w:p w14:paraId="15DF0F7F">
            <w:pPr>
              <w:adjustRightInd w:val="0"/>
              <w:snapToGrid w:val="0"/>
              <w:spacing w:line="288" w:lineRule="auto"/>
              <w:jc w:val="center"/>
              <w:rPr>
                <w:rFonts w:hint="eastAsia" w:ascii="宋体" w:hAnsi="宋体" w:eastAsia="宋体" w:cs="Times New Roman"/>
                <w:spacing w:val="-6"/>
                <w:szCs w:val="21"/>
              </w:rPr>
            </w:pPr>
          </w:p>
        </w:tc>
        <w:tc>
          <w:tcPr>
            <w:tcW w:w="1053" w:type="dxa"/>
            <w:vAlign w:val="center"/>
          </w:tcPr>
          <w:p w14:paraId="15DF0F80">
            <w:pPr>
              <w:adjustRightInd w:val="0"/>
              <w:snapToGrid w:val="0"/>
              <w:spacing w:line="288" w:lineRule="auto"/>
              <w:jc w:val="center"/>
              <w:rPr>
                <w:rFonts w:hint="eastAsia" w:ascii="宋体" w:hAnsi="宋体" w:eastAsia="宋体" w:cs="Times New Roman"/>
                <w:spacing w:val="-6"/>
                <w:szCs w:val="21"/>
              </w:rPr>
            </w:pPr>
          </w:p>
        </w:tc>
        <w:tc>
          <w:tcPr>
            <w:tcW w:w="882" w:type="dxa"/>
          </w:tcPr>
          <w:p w14:paraId="15DF0F81">
            <w:pPr>
              <w:adjustRightInd w:val="0"/>
              <w:snapToGrid w:val="0"/>
              <w:spacing w:line="288" w:lineRule="auto"/>
              <w:jc w:val="center"/>
              <w:rPr>
                <w:rFonts w:hint="eastAsia" w:ascii="宋体" w:hAnsi="宋体" w:eastAsia="宋体" w:cs="Times New Roman"/>
                <w:spacing w:val="-6"/>
                <w:szCs w:val="21"/>
              </w:rPr>
            </w:pPr>
          </w:p>
        </w:tc>
      </w:tr>
      <w:tr w14:paraId="15DF0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15DF0F83">
            <w:pPr>
              <w:adjustRightInd w:val="0"/>
              <w:snapToGrid w:val="0"/>
              <w:spacing w:line="288" w:lineRule="auto"/>
              <w:jc w:val="center"/>
              <w:rPr>
                <w:rFonts w:hint="eastAsia" w:ascii="宋体" w:hAnsi="宋体" w:eastAsia="宋体" w:cs="Times New Roman"/>
                <w:spacing w:val="-6"/>
                <w:szCs w:val="21"/>
              </w:rPr>
            </w:pPr>
          </w:p>
        </w:tc>
        <w:tc>
          <w:tcPr>
            <w:tcW w:w="2091" w:type="dxa"/>
            <w:vAlign w:val="center"/>
          </w:tcPr>
          <w:p w14:paraId="15DF0F84">
            <w:pPr>
              <w:adjustRightInd w:val="0"/>
              <w:snapToGrid w:val="0"/>
              <w:spacing w:line="288" w:lineRule="auto"/>
              <w:jc w:val="center"/>
              <w:rPr>
                <w:rFonts w:hint="eastAsia" w:ascii="宋体" w:hAnsi="宋体" w:eastAsia="宋体" w:cs="Times New Roman"/>
                <w:spacing w:val="-6"/>
                <w:szCs w:val="21"/>
              </w:rPr>
            </w:pPr>
          </w:p>
        </w:tc>
        <w:tc>
          <w:tcPr>
            <w:tcW w:w="709" w:type="dxa"/>
            <w:vAlign w:val="center"/>
          </w:tcPr>
          <w:p w14:paraId="15DF0F85">
            <w:pPr>
              <w:adjustRightInd w:val="0"/>
              <w:snapToGrid w:val="0"/>
              <w:spacing w:line="288" w:lineRule="auto"/>
              <w:jc w:val="center"/>
              <w:rPr>
                <w:rFonts w:hint="eastAsia" w:ascii="宋体" w:hAnsi="宋体" w:eastAsia="宋体" w:cs="Times New Roman"/>
                <w:spacing w:val="-6"/>
                <w:szCs w:val="21"/>
              </w:rPr>
            </w:pPr>
          </w:p>
        </w:tc>
        <w:tc>
          <w:tcPr>
            <w:tcW w:w="3040" w:type="dxa"/>
            <w:vAlign w:val="center"/>
          </w:tcPr>
          <w:p w14:paraId="15DF0F86">
            <w:pPr>
              <w:adjustRightInd w:val="0"/>
              <w:snapToGrid w:val="0"/>
              <w:spacing w:line="288" w:lineRule="auto"/>
              <w:rPr>
                <w:rFonts w:hint="eastAsia" w:ascii="宋体" w:hAnsi="宋体" w:eastAsia="宋体" w:cs="Times New Roman"/>
                <w:spacing w:val="-6"/>
                <w:szCs w:val="21"/>
              </w:rPr>
            </w:pPr>
          </w:p>
        </w:tc>
        <w:tc>
          <w:tcPr>
            <w:tcW w:w="967" w:type="dxa"/>
            <w:vAlign w:val="center"/>
          </w:tcPr>
          <w:p w14:paraId="15DF0F87">
            <w:pPr>
              <w:adjustRightInd w:val="0"/>
              <w:snapToGrid w:val="0"/>
              <w:spacing w:line="288" w:lineRule="auto"/>
              <w:jc w:val="center"/>
              <w:rPr>
                <w:rFonts w:hint="eastAsia" w:ascii="宋体" w:hAnsi="宋体" w:eastAsia="宋体" w:cs="Times New Roman"/>
                <w:spacing w:val="-6"/>
                <w:szCs w:val="21"/>
              </w:rPr>
            </w:pPr>
          </w:p>
        </w:tc>
        <w:tc>
          <w:tcPr>
            <w:tcW w:w="1053" w:type="dxa"/>
            <w:vAlign w:val="center"/>
          </w:tcPr>
          <w:p w14:paraId="15DF0F88">
            <w:pPr>
              <w:adjustRightInd w:val="0"/>
              <w:snapToGrid w:val="0"/>
              <w:spacing w:line="288" w:lineRule="auto"/>
              <w:jc w:val="center"/>
              <w:rPr>
                <w:rFonts w:hint="eastAsia" w:ascii="宋体" w:hAnsi="宋体" w:eastAsia="宋体" w:cs="Times New Roman"/>
                <w:spacing w:val="-6"/>
                <w:szCs w:val="21"/>
              </w:rPr>
            </w:pPr>
          </w:p>
        </w:tc>
        <w:tc>
          <w:tcPr>
            <w:tcW w:w="882" w:type="dxa"/>
          </w:tcPr>
          <w:p w14:paraId="15DF0F89">
            <w:pPr>
              <w:adjustRightInd w:val="0"/>
              <w:snapToGrid w:val="0"/>
              <w:spacing w:line="288" w:lineRule="auto"/>
              <w:jc w:val="center"/>
              <w:rPr>
                <w:rFonts w:hint="eastAsia" w:ascii="宋体" w:hAnsi="宋体" w:eastAsia="宋体" w:cs="Times New Roman"/>
                <w:spacing w:val="-6"/>
                <w:szCs w:val="21"/>
              </w:rPr>
            </w:pPr>
          </w:p>
        </w:tc>
      </w:tr>
      <w:tr w14:paraId="15DF0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15DF0F8B">
            <w:pPr>
              <w:adjustRightInd w:val="0"/>
              <w:snapToGrid w:val="0"/>
              <w:spacing w:line="288" w:lineRule="auto"/>
              <w:jc w:val="center"/>
              <w:rPr>
                <w:rFonts w:hint="eastAsia" w:ascii="宋体" w:hAnsi="宋体" w:eastAsia="宋体" w:cs="Times New Roman"/>
                <w:spacing w:val="-6"/>
                <w:szCs w:val="21"/>
              </w:rPr>
            </w:pPr>
          </w:p>
        </w:tc>
        <w:tc>
          <w:tcPr>
            <w:tcW w:w="2091" w:type="dxa"/>
            <w:vAlign w:val="center"/>
          </w:tcPr>
          <w:p w14:paraId="15DF0F8C">
            <w:pPr>
              <w:adjustRightInd w:val="0"/>
              <w:snapToGrid w:val="0"/>
              <w:spacing w:line="288" w:lineRule="auto"/>
              <w:jc w:val="center"/>
              <w:rPr>
                <w:rFonts w:hint="eastAsia" w:ascii="宋体" w:hAnsi="宋体" w:eastAsia="宋体" w:cs="Times New Roman"/>
                <w:spacing w:val="-6"/>
                <w:szCs w:val="21"/>
              </w:rPr>
            </w:pPr>
          </w:p>
        </w:tc>
        <w:tc>
          <w:tcPr>
            <w:tcW w:w="709" w:type="dxa"/>
            <w:vAlign w:val="center"/>
          </w:tcPr>
          <w:p w14:paraId="15DF0F8D">
            <w:pPr>
              <w:adjustRightInd w:val="0"/>
              <w:snapToGrid w:val="0"/>
              <w:spacing w:line="288" w:lineRule="auto"/>
              <w:jc w:val="center"/>
              <w:rPr>
                <w:rFonts w:hint="eastAsia" w:ascii="宋体" w:hAnsi="宋体" w:eastAsia="宋体" w:cs="Times New Roman"/>
                <w:spacing w:val="-6"/>
                <w:szCs w:val="21"/>
              </w:rPr>
            </w:pPr>
          </w:p>
        </w:tc>
        <w:tc>
          <w:tcPr>
            <w:tcW w:w="3040" w:type="dxa"/>
            <w:vAlign w:val="center"/>
          </w:tcPr>
          <w:p w14:paraId="15DF0F8E">
            <w:pPr>
              <w:adjustRightInd w:val="0"/>
              <w:snapToGrid w:val="0"/>
              <w:spacing w:line="288" w:lineRule="auto"/>
              <w:rPr>
                <w:rFonts w:hint="eastAsia" w:ascii="宋体" w:hAnsi="宋体" w:eastAsia="宋体" w:cs="Times New Roman"/>
                <w:spacing w:val="-6"/>
                <w:szCs w:val="21"/>
              </w:rPr>
            </w:pPr>
          </w:p>
        </w:tc>
        <w:tc>
          <w:tcPr>
            <w:tcW w:w="967" w:type="dxa"/>
            <w:vAlign w:val="center"/>
          </w:tcPr>
          <w:p w14:paraId="15DF0F8F">
            <w:pPr>
              <w:adjustRightInd w:val="0"/>
              <w:snapToGrid w:val="0"/>
              <w:spacing w:line="288" w:lineRule="auto"/>
              <w:jc w:val="center"/>
              <w:rPr>
                <w:rFonts w:hint="eastAsia" w:ascii="宋体" w:hAnsi="宋体" w:eastAsia="宋体" w:cs="Times New Roman"/>
                <w:spacing w:val="-6"/>
                <w:szCs w:val="21"/>
              </w:rPr>
            </w:pPr>
          </w:p>
        </w:tc>
        <w:tc>
          <w:tcPr>
            <w:tcW w:w="1053" w:type="dxa"/>
            <w:vAlign w:val="center"/>
          </w:tcPr>
          <w:p w14:paraId="15DF0F90">
            <w:pPr>
              <w:adjustRightInd w:val="0"/>
              <w:snapToGrid w:val="0"/>
              <w:spacing w:line="288" w:lineRule="auto"/>
              <w:jc w:val="center"/>
              <w:rPr>
                <w:rFonts w:hint="eastAsia" w:ascii="宋体" w:hAnsi="宋体" w:eastAsia="宋体" w:cs="Times New Roman"/>
                <w:spacing w:val="-6"/>
                <w:szCs w:val="21"/>
              </w:rPr>
            </w:pPr>
          </w:p>
        </w:tc>
        <w:tc>
          <w:tcPr>
            <w:tcW w:w="882" w:type="dxa"/>
          </w:tcPr>
          <w:p w14:paraId="15DF0F91">
            <w:pPr>
              <w:adjustRightInd w:val="0"/>
              <w:snapToGrid w:val="0"/>
              <w:spacing w:line="288" w:lineRule="auto"/>
              <w:jc w:val="center"/>
              <w:rPr>
                <w:rFonts w:hint="eastAsia" w:ascii="宋体" w:hAnsi="宋体" w:eastAsia="宋体" w:cs="Times New Roman"/>
                <w:spacing w:val="-6"/>
                <w:szCs w:val="21"/>
              </w:rPr>
            </w:pPr>
          </w:p>
        </w:tc>
      </w:tr>
      <w:tr w14:paraId="15DF0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15DF0F93">
            <w:pPr>
              <w:adjustRightInd w:val="0"/>
              <w:snapToGrid w:val="0"/>
              <w:spacing w:line="288" w:lineRule="auto"/>
              <w:jc w:val="center"/>
              <w:rPr>
                <w:rFonts w:hint="eastAsia" w:ascii="宋体" w:hAnsi="宋体" w:eastAsia="宋体" w:cs="Times New Roman"/>
                <w:spacing w:val="-6"/>
                <w:szCs w:val="21"/>
              </w:rPr>
            </w:pPr>
          </w:p>
        </w:tc>
        <w:tc>
          <w:tcPr>
            <w:tcW w:w="2091" w:type="dxa"/>
            <w:vAlign w:val="center"/>
          </w:tcPr>
          <w:p w14:paraId="15DF0F94">
            <w:pPr>
              <w:adjustRightInd w:val="0"/>
              <w:snapToGrid w:val="0"/>
              <w:spacing w:line="288" w:lineRule="auto"/>
              <w:jc w:val="center"/>
              <w:rPr>
                <w:rFonts w:hint="eastAsia" w:ascii="宋体" w:hAnsi="宋体" w:eastAsia="宋体" w:cs="Times New Roman"/>
                <w:spacing w:val="-6"/>
                <w:szCs w:val="21"/>
              </w:rPr>
            </w:pPr>
          </w:p>
        </w:tc>
        <w:tc>
          <w:tcPr>
            <w:tcW w:w="709" w:type="dxa"/>
            <w:vAlign w:val="center"/>
          </w:tcPr>
          <w:p w14:paraId="15DF0F95">
            <w:pPr>
              <w:adjustRightInd w:val="0"/>
              <w:snapToGrid w:val="0"/>
              <w:spacing w:line="288" w:lineRule="auto"/>
              <w:jc w:val="center"/>
              <w:rPr>
                <w:rFonts w:hint="eastAsia" w:ascii="宋体" w:hAnsi="宋体" w:eastAsia="宋体" w:cs="Times New Roman"/>
                <w:spacing w:val="-6"/>
                <w:szCs w:val="21"/>
              </w:rPr>
            </w:pPr>
          </w:p>
        </w:tc>
        <w:tc>
          <w:tcPr>
            <w:tcW w:w="3040" w:type="dxa"/>
            <w:vAlign w:val="center"/>
          </w:tcPr>
          <w:p w14:paraId="15DF0F96">
            <w:pPr>
              <w:adjustRightInd w:val="0"/>
              <w:snapToGrid w:val="0"/>
              <w:spacing w:line="288" w:lineRule="auto"/>
              <w:rPr>
                <w:rFonts w:hint="eastAsia" w:ascii="宋体" w:hAnsi="宋体" w:eastAsia="宋体" w:cs="Times New Roman"/>
                <w:spacing w:val="-6"/>
                <w:szCs w:val="21"/>
              </w:rPr>
            </w:pPr>
          </w:p>
        </w:tc>
        <w:tc>
          <w:tcPr>
            <w:tcW w:w="967" w:type="dxa"/>
            <w:vAlign w:val="center"/>
          </w:tcPr>
          <w:p w14:paraId="15DF0F97">
            <w:pPr>
              <w:adjustRightInd w:val="0"/>
              <w:snapToGrid w:val="0"/>
              <w:spacing w:line="288" w:lineRule="auto"/>
              <w:jc w:val="center"/>
              <w:rPr>
                <w:rFonts w:hint="eastAsia" w:ascii="宋体" w:hAnsi="宋体" w:eastAsia="宋体" w:cs="Times New Roman"/>
                <w:spacing w:val="-6"/>
                <w:szCs w:val="21"/>
              </w:rPr>
            </w:pPr>
          </w:p>
        </w:tc>
        <w:tc>
          <w:tcPr>
            <w:tcW w:w="1053" w:type="dxa"/>
            <w:vAlign w:val="center"/>
          </w:tcPr>
          <w:p w14:paraId="15DF0F98">
            <w:pPr>
              <w:adjustRightInd w:val="0"/>
              <w:snapToGrid w:val="0"/>
              <w:spacing w:line="288" w:lineRule="auto"/>
              <w:jc w:val="center"/>
              <w:rPr>
                <w:rFonts w:hint="eastAsia" w:ascii="宋体" w:hAnsi="宋体" w:eastAsia="宋体" w:cs="Times New Roman"/>
                <w:spacing w:val="-6"/>
                <w:szCs w:val="21"/>
              </w:rPr>
            </w:pPr>
          </w:p>
        </w:tc>
        <w:tc>
          <w:tcPr>
            <w:tcW w:w="882" w:type="dxa"/>
          </w:tcPr>
          <w:p w14:paraId="15DF0F99">
            <w:pPr>
              <w:adjustRightInd w:val="0"/>
              <w:snapToGrid w:val="0"/>
              <w:spacing w:line="288" w:lineRule="auto"/>
              <w:jc w:val="center"/>
              <w:rPr>
                <w:rFonts w:hint="eastAsia" w:ascii="宋体" w:hAnsi="宋体" w:eastAsia="宋体" w:cs="Times New Roman"/>
                <w:spacing w:val="-6"/>
                <w:szCs w:val="21"/>
              </w:rPr>
            </w:pPr>
          </w:p>
        </w:tc>
      </w:tr>
      <w:tr w14:paraId="15DF0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15DF0F9B">
            <w:pPr>
              <w:adjustRightInd w:val="0"/>
              <w:snapToGrid w:val="0"/>
              <w:spacing w:line="288" w:lineRule="auto"/>
              <w:jc w:val="center"/>
              <w:rPr>
                <w:rFonts w:hint="eastAsia" w:ascii="宋体" w:hAnsi="宋体" w:eastAsia="宋体" w:cs="Times New Roman"/>
                <w:spacing w:val="-6"/>
                <w:szCs w:val="21"/>
              </w:rPr>
            </w:pPr>
          </w:p>
        </w:tc>
        <w:tc>
          <w:tcPr>
            <w:tcW w:w="2091" w:type="dxa"/>
            <w:vAlign w:val="center"/>
          </w:tcPr>
          <w:p w14:paraId="15DF0F9C">
            <w:pPr>
              <w:adjustRightInd w:val="0"/>
              <w:snapToGrid w:val="0"/>
              <w:spacing w:line="288" w:lineRule="auto"/>
              <w:jc w:val="center"/>
              <w:rPr>
                <w:rFonts w:hint="eastAsia" w:ascii="宋体" w:hAnsi="宋体" w:eastAsia="宋体" w:cs="Times New Roman"/>
                <w:spacing w:val="-6"/>
                <w:szCs w:val="21"/>
              </w:rPr>
            </w:pPr>
          </w:p>
        </w:tc>
        <w:tc>
          <w:tcPr>
            <w:tcW w:w="709" w:type="dxa"/>
            <w:vAlign w:val="center"/>
          </w:tcPr>
          <w:p w14:paraId="15DF0F9D">
            <w:pPr>
              <w:adjustRightInd w:val="0"/>
              <w:snapToGrid w:val="0"/>
              <w:spacing w:line="288" w:lineRule="auto"/>
              <w:jc w:val="center"/>
              <w:rPr>
                <w:rFonts w:hint="eastAsia" w:ascii="宋体" w:hAnsi="宋体" w:eastAsia="宋体" w:cs="Times New Roman"/>
                <w:spacing w:val="-6"/>
                <w:szCs w:val="21"/>
              </w:rPr>
            </w:pPr>
          </w:p>
        </w:tc>
        <w:tc>
          <w:tcPr>
            <w:tcW w:w="3040" w:type="dxa"/>
            <w:vAlign w:val="center"/>
          </w:tcPr>
          <w:p w14:paraId="15DF0F9E">
            <w:pPr>
              <w:adjustRightInd w:val="0"/>
              <w:snapToGrid w:val="0"/>
              <w:spacing w:line="288" w:lineRule="auto"/>
              <w:rPr>
                <w:rFonts w:hint="eastAsia" w:ascii="宋体" w:hAnsi="宋体" w:eastAsia="宋体" w:cs="Times New Roman"/>
                <w:spacing w:val="-6"/>
                <w:szCs w:val="21"/>
              </w:rPr>
            </w:pPr>
          </w:p>
        </w:tc>
        <w:tc>
          <w:tcPr>
            <w:tcW w:w="967" w:type="dxa"/>
            <w:vAlign w:val="center"/>
          </w:tcPr>
          <w:p w14:paraId="15DF0F9F">
            <w:pPr>
              <w:adjustRightInd w:val="0"/>
              <w:snapToGrid w:val="0"/>
              <w:spacing w:line="288" w:lineRule="auto"/>
              <w:jc w:val="center"/>
              <w:rPr>
                <w:rFonts w:hint="eastAsia" w:ascii="宋体" w:hAnsi="宋体" w:eastAsia="宋体" w:cs="Times New Roman"/>
                <w:spacing w:val="-6"/>
                <w:szCs w:val="21"/>
              </w:rPr>
            </w:pPr>
          </w:p>
        </w:tc>
        <w:tc>
          <w:tcPr>
            <w:tcW w:w="1053" w:type="dxa"/>
            <w:vAlign w:val="center"/>
          </w:tcPr>
          <w:p w14:paraId="15DF0FA0">
            <w:pPr>
              <w:adjustRightInd w:val="0"/>
              <w:snapToGrid w:val="0"/>
              <w:spacing w:line="288" w:lineRule="auto"/>
              <w:jc w:val="center"/>
              <w:rPr>
                <w:rFonts w:hint="eastAsia" w:ascii="宋体" w:hAnsi="宋体" w:eastAsia="宋体" w:cs="Times New Roman"/>
                <w:spacing w:val="-6"/>
                <w:szCs w:val="21"/>
              </w:rPr>
            </w:pPr>
          </w:p>
        </w:tc>
        <w:tc>
          <w:tcPr>
            <w:tcW w:w="882" w:type="dxa"/>
          </w:tcPr>
          <w:p w14:paraId="15DF0FA1">
            <w:pPr>
              <w:adjustRightInd w:val="0"/>
              <w:snapToGrid w:val="0"/>
              <w:spacing w:line="288" w:lineRule="auto"/>
              <w:jc w:val="center"/>
              <w:rPr>
                <w:rFonts w:hint="eastAsia" w:ascii="宋体" w:hAnsi="宋体" w:eastAsia="宋体" w:cs="Times New Roman"/>
                <w:spacing w:val="-6"/>
                <w:szCs w:val="21"/>
              </w:rPr>
            </w:pPr>
          </w:p>
        </w:tc>
      </w:tr>
    </w:tbl>
    <w:p w14:paraId="15DF0FA3">
      <w:pPr>
        <w:adjustRightInd w:val="0"/>
        <w:snapToGrid w:val="0"/>
        <w:spacing w:line="288" w:lineRule="auto"/>
        <w:rPr>
          <w:rFonts w:hint="eastAsia" w:ascii="宋体" w:hAnsi="宋体" w:eastAsia="宋体" w:cs="Times New Roman"/>
          <w:spacing w:val="-6"/>
          <w:szCs w:val="21"/>
        </w:rPr>
      </w:pPr>
    </w:p>
    <w:p w14:paraId="15DF0FA4">
      <w:pPr>
        <w:widowControl/>
        <w:jc w:val="left"/>
        <w:rPr>
          <w:rFonts w:hint="eastAsia" w:ascii="宋体" w:hAnsi="宋体" w:eastAsia="宋体" w:cs="Times New Roman"/>
          <w:spacing w:val="-6"/>
          <w:szCs w:val="21"/>
        </w:rPr>
      </w:pPr>
      <w:r>
        <w:rPr>
          <w:rFonts w:hint="eastAsia" w:ascii="宋体" w:hAnsi="宋体" w:eastAsia="宋体" w:cs="Times New Roman"/>
          <w:spacing w:val="-6"/>
          <w:szCs w:val="21"/>
        </w:rPr>
        <w:t>备注：本表仅为方便评标委员会评审使用，不作为判别投标文件是否有效的依据。</w:t>
      </w:r>
    </w:p>
    <w:p w14:paraId="15DF0FA5">
      <w:pPr>
        <w:widowControl/>
        <w:jc w:val="left"/>
        <w:rPr>
          <w:rFonts w:hint="eastAsia" w:ascii="宋体" w:hAnsi="宋体" w:eastAsia="宋体" w:cs="宋体"/>
          <w:b/>
          <w:spacing w:val="-6"/>
          <w:szCs w:val="21"/>
        </w:rPr>
      </w:pPr>
      <w:r>
        <w:rPr>
          <w:rFonts w:ascii="宋体" w:hAnsi="宋体" w:eastAsia="宋体" w:cs="宋体"/>
          <w:b/>
          <w:spacing w:val="-6"/>
          <w:szCs w:val="21"/>
        </w:rPr>
        <w:br w:type="page"/>
      </w:r>
    </w:p>
    <w:p w14:paraId="15DF0FA6">
      <w:pPr>
        <w:adjustRightInd w:val="0"/>
        <w:snapToGrid w:val="0"/>
        <w:spacing w:line="288" w:lineRule="auto"/>
        <w:jc w:val="center"/>
        <w:outlineLvl w:val="1"/>
        <w:rPr>
          <w:rFonts w:hint="eastAsia" w:ascii="宋体" w:hAnsi="宋体" w:eastAsia="宋体" w:cs="Times New Roman"/>
          <w:b/>
          <w:spacing w:val="-6"/>
          <w:sz w:val="84"/>
          <w:szCs w:val="84"/>
        </w:rPr>
      </w:pPr>
      <w:r>
        <w:rPr>
          <w:rFonts w:hint="eastAsia" w:ascii="宋体" w:hAnsi="宋体" w:eastAsia="宋体" w:cs="Times New Roman"/>
          <w:b/>
          <w:spacing w:val="-6"/>
          <w:sz w:val="84"/>
          <w:szCs w:val="84"/>
        </w:rPr>
        <w:t>资格文件</w:t>
      </w:r>
    </w:p>
    <w:p w14:paraId="15DF0FA7">
      <w:pPr>
        <w:adjustRightInd w:val="0"/>
        <w:snapToGrid w:val="0"/>
        <w:spacing w:line="288" w:lineRule="auto"/>
        <w:jc w:val="center"/>
        <w:rPr>
          <w:rFonts w:hint="eastAsia" w:ascii="宋体" w:hAnsi="宋体" w:eastAsia="宋体" w:cs="宋体"/>
          <w:b/>
          <w:bCs/>
          <w:sz w:val="24"/>
          <w:szCs w:val="24"/>
        </w:rPr>
      </w:pPr>
    </w:p>
    <w:p w14:paraId="15DF0FA8">
      <w:pPr>
        <w:adjustRightInd w:val="0"/>
        <w:snapToGrid w:val="0"/>
        <w:spacing w:line="288" w:lineRule="auto"/>
        <w:jc w:val="center"/>
        <w:rPr>
          <w:rFonts w:hint="eastAsia" w:ascii="宋体" w:hAnsi="宋体" w:eastAsia="宋体" w:cs="宋体"/>
          <w:b/>
          <w:bCs/>
          <w:sz w:val="24"/>
          <w:szCs w:val="24"/>
        </w:rPr>
      </w:pPr>
    </w:p>
    <w:p w14:paraId="15DF0FA9">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资格审查要求的资格证明材料（均需加盖公章）</w:t>
      </w:r>
    </w:p>
    <w:p w14:paraId="15DF0FAA">
      <w:pPr>
        <w:widowControl/>
        <w:adjustRightInd w:val="0"/>
        <w:snapToGrid w:val="0"/>
        <w:spacing w:line="288" w:lineRule="auto"/>
        <w:jc w:val="left"/>
        <w:rPr>
          <w:rFonts w:hint="eastAsia" w:ascii="宋体" w:hAnsi="宋体" w:eastAsia="宋体" w:cs="宋体"/>
          <w:b/>
          <w:spacing w:val="-6"/>
          <w:szCs w:val="21"/>
        </w:rPr>
      </w:pPr>
      <w:r>
        <w:rPr>
          <w:rFonts w:ascii="宋体" w:hAnsi="宋体" w:eastAsia="宋体" w:cs="宋体"/>
          <w:b/>
          <w:spacing w:val="-6"/>
          <w:szCs w:val="21"/>
        </w:rPr>
        <w:br w:type="page"/>
      </w:r>
    </w:p>
    <w:p w14:paraId="15DF0FAB">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1</w:t>
      </w:r>
      <w:r>
        <w:rPr>
          <w:rFonts w:hint="eastAsia" w:ascii="宋体" w:hAnsi="宋体" w:eastAsia="宋体" w:cs="宋体"/>
          <w:b/>
          <w:spacing w:val="-6"/>
          <w:szCs w:val="21"/>
        </w:rPr>
        <w:t>）有效的法人或者其他组织的营业执照等证明文件，自然人的身份证明</w:t>
      </w:r>
      <w:r>
        <w:rPr>
          <w:rFonts w:hint="eastAsia" w:ascii="宋体" w:hAnsi="宋体" w:eastAsia="宋体" w:cs="Times New Roman"/>
          <w:b/>
          <w:spacing w:val="-6"/>
          <w:szCs w:val="21"/>
        </w:rPr>
        <w:t>（扫描件）</w:t>
      </w:r>
    </w:p>
    <w:p w14:paraId="15DF0FAC">
      <w:pPr>
        <w:adjustRightInd w:val="0"/>
        <w:snapToGrid w:val="0"/>
        <w:spacing w:line="288" w:lineRule="auto"/>
        <w:rPr>
          <w:rFonts w:hint="eastAsia" w:ascii="宋体" w:hAnsi="宋体" w:eastAsia="宋体" w:cs="Times New Roman"/>
          <w:bCs/>
          <w:spacing w:val="-6"/>
          <w:szCs w:val="21"/>
        </w:rPr>
      </w:pPr>
    </w:p>
    <w:p w14:paraId="15DF0FAD">
      <w:pPr>
        <w:adjustRightInd w:val="0"/>
        <w:snapToGrid w:val="0"/>
        <w:spacing w:line="288" w:lineRule="auto"/>
        <w:rPr>
          <w:rFonts w:hint="eastAsia" w:ascii="宋体" w:hAnsi="宋体" w:eastAsia="宋体" w:cs="Times New Roman"/>
          <w:bCs/>
          <w:spacing w:val="-6"/>
          <w:szCs w:val="21"/>
        </w:rPr>
      </w:pPr>
      <w:r>
        <w:rPr>
          <w:rFonts w:hint="eastAsia" w:ascii="宋体" w:hAnsi="宋体" w:eastAsia="宋体" w:cs="Times New Roman"/>
          <w:bCs/>
          <w:spacing w:val="-6"/>
          <w:szCs w:val="21"/>
        </w:rPr>
        <w:t>说明</w:t>
      </w:r>
      <w:r>
        <w:rPr>
          <w:rFonts w:ascii="宋体" w:hAnsi="宋体" w:eastAsia="宋体" w:cs="Times New Roman"/>
          <w:bCs/>
          <w:spacing w:val="-6"/>
          <w:szCs w:val="21"/>
        </w:rPr>
        <w:t>：</w:t>
      </w:r>
    </w:p>
    <w:p w14:paraId="15DF0FAE">
      <w:pPr>
        <w:adjustRightInd w:val="0"/>
        <w:snapToGrid w:val="0"/>
        <w:spacing w:line="288" w:lineRule="auto"/>
        <w:ind w:left="396" w:hanging="396" w:hangingChars="200"/>
        <w:rPr>
          <w:rFonts w:hint="eastAsia" w:ascii="宋体" w:hAnsi="宋体" w:eastAsia="宋体" w:cs="Times New Roman"/>
          <w:bCs/>
          <w:spacing w:val="-6"/>
          <w:szCs w:val="21"/>
        </w:rPr>
      </w:pPr>
      <w:r>
        <w:rPr>
          <w:rFonts w:hint="eastAsia" w:ascii="宋体" w:hAnsi="宋体" w:eastAsia="宋体" w:cs="Times New Roman"/>
          <w:bCs/>
          <w:spacing w:val="-6"/>
          <w:szCs w:val="21"/>
        </w:rPr>
        <w:t>1</w:t>
      </w:r>
      <w:r>
        <w:rPr>
          <w:rFonts w:ascii="宋体" w:hAnsi="宋体" w:eastAsia="宋体" w:cs="Times New Roman"/>
          <w:bCs/>
          <w:spacing w:val="-6"/>
          <w:szCs w:val="21"/>
        </w:rPr>
        <w:t>.</w:t>
      </w:r>
      <w:r>
        <w:rPr>
          <w:rFonts w:hint="eastAsia" w:ascii="宋体" w:hAnsi="宋体" w:eastAsia="宋体" w:cs="Times New Roman"/>
          <w:bCs/>
          <w:spacing w:val="-6"/>
          <w:szCs w:val="21"/>
        </w:rPr>
        <w:t>如投标人是企业（包括合伙企业），提供在工商部门注册的有效“企业法人营业执照”或“营业执照”；</w:t>
      </w:r>
    </w:p>
    <w:p w14:paraId="15DF0FAF">
      <w:pPr>
        <w:adjustRightInd w:val="0"/>
        <w:snapToGrid w:val="0"/>
        <w:spacing w:line="288" w:lineRule="auto"/>
        <w:ind w:left="396" w:hanging="396" w:hangingChars="200"/>
        <w:rPr>
          <w:rFonts w:hint="eastAsia" w:ascii="宋体" w:hAnsi="宋体" w:eastAsia="宋体" w:cs="Times New Roman"/>
          <w:bCs/>
          <w:spacing w:val="-6"/>
          <w:szCs w:val="21"/>
        </w:rPr>
      </w:pPr>
      <w:r>
        <w:rPr>
          <w:rFonts w:hint="eastAsia" w:ascii="宋体" w:hAnsi="宋体" w:eastAsia="宋体" w:cs="Times New Roman"/>
          <w:bCs/>
          <w:spacing w:val="-6"/>
          <w:szCs w:val="21"/>
        </w:rPr>
        <w:t>2</w:t>
      </w:r>
      <w:r>
        <w:rPr>
          <w:rFonts w:ascii="宋体" w:hAnsi="宋体" w:eastAsia="宋体" w:cs="Times New Roman"/>
          <w:bCs/>
          <w:spacing w:val="-6"/>
          <w:szCs w:val="21"/>
        </w:rPr>
        <w:t>.</w:t>
      </w:r>
      <w:r>
        <w:rPr>
          <w:rFonts w:hint="eastAsia" w:ascii="宋体" w:hAnsi="宋体" w:eastAsia="宋体" w:cs="Times New Roman"/>
          <w:bCs/>
          <w:spacing w:val="-6"/>
          <w:szCs w:val="21"/>
        </w:rPr>
        <w:t>如投标人是事业单位，提供有效的“事业单位法人证书”；</w:t>
      </w:r>
    </w:p>
    <w:p w14:paraId="15DF0FB0">
      <w:pPr>
        <w:adjustRightInd w:val="0"/>
        <w:snapToGrid w:val="0"/>
        <w:spacing w:line="288" w:lineRule="auto"/>
        <w:ind w:left="396" w:hanging="396" w:hangingChars="200"/>
        <w:rPr>
          <w:rFonts w:hint="eastAsia" w:ascii="宋体" w:hAnsi="宋体" w:eastAsia="宋体" w:cs="Times New Roman"/>
          <w:bCs/>
          <w:spacing w:val="-6"/>
          <w:szCs w:val="21"/>
        </w:rPr>
      </w:pPr>
      <w:r>
        <w:rPr>
          <w:rFonts w:hint="eastAsia" w:ascii="宋体" w:hAnsi="宋体" w:eastAsia="宋体" w:cs="Times New Roman"/>
          <w:bCs/>
          <w:spacing w:val="-6"/>
          <w:szCs w:val="21"/>
        </w:rPr>
        <w:t>3</w:t>
      </w:r>
      <w:r>
        <w:rPr>
          <w:rFonts w:ascii="宋体" w:hAnsi="宋体" w:eastAsia="宋体" w:cs="Times New Roman"/>
          <w:bCs/>
          <w:spacing w:val="-6"/>
          <w:szCs w:val="21"/>
        </w:rPr>
        <w:t>.</w:t>
      </w:r>
      <w:r>
        <w:rPr>
          <w:rFonts w:hint="eastAsia" w:ascii="宋体" w:hAnsi="宋体" w:eastAsia="宋体" w:cs="Times New Roman"/>
          <w:bCs/>
          <w:spacing w:val="-6"/>
          <w:szCs w:val="21"/>
        </w:rPr>
        <w:t>如投标人是非企业专业服务机构的，提供执业许可证等证明文件；</w:t>
      </w:r>
    </w:p>
    <w:p w14:paraId="15DF0FB1">
      <w:pPr>
        <w:adjustRightInd w:val="0"/>
        <w:snapToGrid w:val="0"/>
        <w:spacing w:line="288" w:lineRule="auto"/>
        <w:ind w:left="396" w:hanging="396" w:hangingChars="200"/>
        <w:rPr>
          <w:rFonts w:hint="eastAsia" w:ascii="宋体" w:hAnsi="宋体" w:eastAsia="宋体" w:cs="Times New Roman"/>
          <w:bCs/>
          <w:spacing w:val="-6"/>
          <w:szCs w:val="21"/>
        </w:rPr>
      </w:pPr>
      <w:r>
        <w:rPr>
          <w:rFonts w:hint="eastAsia" w:ascii="宋体" w:hAnsi="宋体" w:eastAsia="宋体" w:cs="Times New Roman"/>
          <w:bCs/>
          <w:spacing w:val="-6"/>
          <w:szCs w:val="21"/>
        </w:rPr>
        <w:t>4</w:t>
      </w:r>
      <w:r>
        <w:rPr>
          <w:rFonts w:ascii="宋体" w:hAnsi="宋体" w:eastAsia="宋体" w:cs="Times New Roman"/>
          <w:bCs/>
          <w:spacing w:val="-6"/>
          <w:szCs w:val="21"/>
        </w:rPr>
        <w:t>.</w:t>
      </w:r>
      <w:r>
        <w:rPr>
          <w:rFonts w:hint="eastAsia" w:ascii="宋体" w:hAnsi="宋体" w:eastAsia="宋体" w:cs="Times New Roman"/>
          <w:bCs/>
          <w:spacing w:val="-6"/>
          <w:szCs w:val="21"/>
        </w:rPr>
        <w:t>如投标人是个体工商户，提供有效的“个体工商户营业执照”；</w:t>
      </w:r>
    </w:p>
    <w:p w14:paraId="15DF0FB2">
      <w:pPr>
        <w:adjustRightInd w:val="0"/>
        <w:snapToGrid w:val="0"/>
        <w:spacing w:line="288" w:lineRule="auto"/>
        <w:ind w:left="396" w:hanging="396" w:hangingChars="200"/>
        <w:rPr>
          <w:rFonts w:hint="eastAsia" w:ascii="宋体" w:hAnsi="宋体" w:eastAsia="宋体" w:cs="Times New Roman"/>
          <w:bCs/>
          <w:spacing w:val="-6"/>
          <w:szCs w:val="21"/>
        </w:rPr>
      </w:pPr>
      <w:r>
        <w:rPr>
          <w:rFonts w:hint="eastAsia" w:ascii="宋体" w:hAnsi="宋体" w:eastAsia="宋体" w:cs="Times New Roman"/>
          <w:bCs/>
          <w:spacing w:val="-6"/>
          <w:szCs w:val="21"/>
        </w:rPr>
        <w:t>5</w:t>
      </w:r>
      <w:r>
        <w:rPr>
          <w:rFonts w:ascii="宋体" w:hAnsi="宋体" w:eastAsia="宋体" w:cs="Times New Roman"/>
          <w:bCs/>
          <w:spacing w:val="-6"/>
          <w:szCs w:val="21"/>
        </w:rPr>
        <w:t>.</w:t>
      </w:r>
      <w:r>
        <w:rPr>
          <w:rFonts w:hint="eastAsia" w:ascii="宋体" w:hAnsi="宋体" w:eastAsia="宋体" w:cs="Times New Roman"/>
          <w:bCs/>
          <w:spacing w:val="-6"/>
          <w:szCs w:val="21"/>
        </w:rPr>
        <w:t>如投标人是自然人，提供有效的自然人身份证明。</w:t>
      </w:r>
    </w:p>
    <w:p w14:paraId="15DF0FB3">
      <w:pPr>
        <w:adjustRightInd w:val="0"/>
        <w:snapToGrid w:val="0"/>
        <w:spacing w:line="288" w:lineRule="auto"/>
        <w:jc w:val="center"/>
        <w:outlineLvl w:val="2"/>
        <w:rPr>
          <w:rFonts w:hint="eastAsia" w:ascii="宋体" w:hAnsi="宋体" w:eastAsia="宋体" w:cs="宋体"/>
          <w:b/>
          <w:spacing w:val="-6"/>
          <w:szCs w:val="21"/>
        </w:rPr>
      </w:pPr>
      <w:r>
        <w:rPr>
          <w:rFonts w:ascii="宋体" w:hAnsi="宋体" w:eastAsia="宋体" w:cs="Times New Roman"/>
          <w:bCs/>
          <w:spacing w:val="-6"/>
          <w:szCs w:val="21"/>
        </w:rPr>
        <w:br w:type="page"/>
      </w:r>
      <w:r>
        <w:rPr>
          <w:rFonts w:hint="eastAsia" w:ascii="宋体" w:hAnsi="宋体" w:eastAsia="宋体" w:cs="宋体"/>
          <w:b/>
          <w:spacing w:val="-6"/>
          <w:szCs w:val="21"/>
        </w:rPr>
        <w:t>（</w:t>
      </w:r>
      <w:r>
        <w:rPr>
          <w:rFonts w:ascii="宋体" w:hAnsi="宋体" w:eastAsia="宋体" w:cs="宋体"/>
          <w:b/>
          <w:spacing w:val="-6"/>
          <w:szCs w:val="21"/>
        </w:rPr>
        <w:t>2）符合参加政府采购活动应当具备的一般条件的承诺函</w:t>
      </w:r>
    </w:p>
    <w:p w14:paraId="15DF0FB4">
      <w:pPr>
        <w:adjustRightInd w:val="0"/>
        <w:snapToGrid w:val="0"/>
        <w:spacing w:line="288" w:lineRule="auto"/>
        <w:rPr>
          <w:rFonts w:hint="eastAsia" w:ascii="宋体" w:hAnsi="宋体" w:eastAsia="宋体" w:cs="Times New Roman"/>
          <w:b/>
          <w:bCs/>
          <w:spacing w:val="-6"/>
          <w:szCs w:val="21"/>
        </w:rPr>
      </w:pPr>
    </w:p>
    <w:p w14:paraId="15DF0FB5">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致：杭州电子科技大学、浙江求是招标代理有限公司</w:t>
      </w:r>
    </w:p>
    <w:p w14:paraId="15DF0FB6">
      <w:pPr>
        <w:adjustRightInd w:val="0"/>
        <w:snapToGrid w:val="0"/>
        <w:spacing w:line="288" w:lineRule="auto"/>
        <w:ind w:firstLine="396" w:firstLineChars="200"/>
        <w:rPr>
          <w:rFonts w:hint="eastAsia" w:ascii="宋体" w:hAnsi="宋体" w:eastAsia="宋体" w:cs="Times New Roman"/>
          <w:spacing w:val="-6"/>
          <w:szCs w:val="21"/>
        </w:rPr>
      </w:pPr>
    </w:p>
    <w:p w14:paraId="15DF0FB7">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我方</w:t>
      </w:r>
      <w:r>
        <w:rPr>
          <w:rFonts w:hint="eastAsia" w:ascii="宋体" w:hAnsi="宋体" w:eastAsia="宋体" w:cs="Times New Roman"/>
          <w:spacing w:val="-6"/>
          <w:szCs w:val="21"/>
          <w:u w:val="single"/>
        </w:rPr>
        <w:t xml:space="preserve">（投标人名称） </w:t>
      </w:r>
      <w:r>
        <w:rPr>
          <w:rFonts w:ascii="宋体" w:hAnsi="宋体" w:eastAsia="宋体" w:cs="Times New Roman"/>
          <w:spacing w:val="-6"/>
          <w:szCs w:val="21"/>
          <w:u w:val="single"/>
        </w:rPr>
        <w:t xml:space="preserve">     </w:t>
      </w:r>
      <w:r>
        <w:rPr>
          <w:rFonts w:hint="eastAsia" w:ascii="宋体" w:hAnsi="宋体" w:eastAsia="宋体" w:cs="Times New Roman"/>
          <w:spacing w:val="-6"/>
          <w:szCs w:val="21"/>
          <w:u w:val="single"/>
        </w:rPr>
        <w:t xml:space="preserve"> </w:t>
      </w:r>
      <w:r>
        <w:rPr>
          <w:rFonts w:ascii="宋体" w:hAnsi="宋体" w:eastAsia="宋体" w:cs="Times New Roman"/>
          <w:spacing w:val="-6"/>
          <w:szCs w:val="21"/>
          <w:u w:val="single"/>
        </w:rPr>
        <w:t xml:space="preserve"> </w:t>
      </w:r>
      <w:r>
        <w:rPr>
          <w:rFonts w:hint="eastAsia" w:ascii="宋体" w:hAnsi="宋体" w:eastAsia="宋体" w:cs="Times New Roman"/>
          <w:spacing w:val="-6"/>
          <w:szCs w:val="21"/>
        </w:rPr>
        <w:t>参加</w:t>
      </w:r>
      <w:r>
        <w:rPr>
          <w:rFonts w:hint="eastAsia" w:ascii="宋体" w:hAnsi="宋体" w:eastAsia="宋体" w:cs="Times New Roman"/>
          <w:spacing w:val="-6"/>
          <w:szCs w:val="21"/>
          <w:u w:val="single"/>
        </w:rPr>
        <w:t xml:space="preserve">（项目名称） </w:t>
      </w:r>
      <w:r>
        <w:rPr>
          <w:rFonts w:ascii="宋体" w:hAnsi="宋体" w:eastAsia="宋体" w:cs="Times New Roman"/>
          <w:spacing w:val="-6"/>
          <w:szCs w:val="21"/>
          <w:u w:val="single"/>
        </w:rPr>
        <w:t xml:space="preserve">      </w:t>
      </w:r>
      <w:r>
        <w:rPr>
          <w:rFonts w:hint="eastAsia" w:ascii="宋体" w:hAnsi="宋体" w:eastAsia="宋体" w:cs="Times New Roman"/>
          <w:spacing w:val="-6"/>
          <w:szCs w:val="21"/>
          <w:u w:val="single"/>
        </w:rPr>
        <w:t xml:space="preserve"> </w:t>
      </w:r>
      <w:r>
        <w:rPr>
          <w:rFonts w:hint="eastAsia" w:ascii="宋体" w:hAnsi="宋体" w:eastAsia="宋体" w:cs="Times New Roman"/>
          <w:spacing w:val="-6"/>
          <w:szCs w:val="21"/>
        </w:rPr>
        <w:t>项目的采购活动并承诺如下：</w:t>
      </w:r>
    </w:p>
    <w:p w14:paraId="15DF0FB8">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一、我方满足《中华人民共和国政府采购法》第二十二条规定：</w:t>
      </w:r>
    </w:p>
    <w:p w14:paraId="15DF0FB9">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（一）具有独立承担民事责任的能力；</w:t>
      </w:r>
    </w:p>
    <w:p w14:paraId="15DF0FBA">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（二）具有良好的商业信誉和健全的财务会计制度；</w:t>
      </w:r>
    </w:p>
    <w:p w14:paraId="15DF0FBB">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（三）具有履行合同所必需的设备和专业技术能力；</w:t>
      </w:r>
    </w:p>
    <w:p w14:paraId="15DF0FBC">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（四）有依法缴纳税收和社会保障资金的良好记录；</w:t>
      </w:r>
    </w:p>
    <w:p w14:paraId="15DF0FBD">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（五）参加本项目政府采购活动前三年内，在经营活动中</w:t>
      </w:r>
      <w:r>
        <w:rPr>
          <w:rFonts w:hint="eastAsia" w:ascii="宋体" w:hAnsi="宋体" w:eastAsia="宋体" w:cs="Times New Roman"/>
          <w:b/>
          <w:spacing w:val="-6"/>
          <w:szCs w:val="21"/>
          <w:u w:val="single"/>
        </w:rPr>
        <w:t xml:space="preserve">  没有  </w:t>
      </w:r>
      <w:r>
        <w:rPr>
          <w:rFonts w:hint="eastAsia" w:ascii="宋体" w:hAnsi="宋体" w:eastAsia="宋体" w:cs="Times New Roman"/>
          <w:spacing w:val="-6"/>
          <w:szCs w:val="21"/>
        </w:rPr>
        <w:t>重大违法记录。（重大违法记录是指投标人因违法经营受到刑事处罚或者责令停产停业、吊销许可证或者执照、较大数额罚款等行政处罚）</w:t>
      </w:r>
    </w:p>
    <w:p w14:paraId="15DF0FBE">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（六）法律、行政法规规定的其他条件。</w:t>
      </w:r>
    </w:p>
    <w:p w14:paraId="15DF0FBF">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二、未被信用中国（www.creditchina.gov.cn）</w:t>
      </w:r>
      <w:r>
        <w:rPr>
          <w:rFonts w:ascii="宋体" w:hAnsi="宋体" w:eastAsia="宋体" w:cs="Times New Roman"/>
          <w:spacing w:val="-6"/>
          <w:szCs w:val="21"/>
        </w:rPr>
        <w:t>、中国政府采购网（www.ccgp.gov.cn）列入失信被执行人、重大税收违法案件当事人名单、政府采购严重违法失信行为记录名单。</w:t>
      </w:r>
    </w:p>
    <w:p w14:paraId="15DF0FC0">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三、不存在以下情况：</w:t>
      </w:r>
    </w:p>
    <w:p w14:paraId="15DF0FC1">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单位负责人为同一人或者存在直接控股、管理关系的不同供应商参加同一合同项下的政府采购活动的；</w:t>
      </w:r>
    </w:p>
    <w:p w14:paraId="15DF0FC2">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2、</w:t>
      </w:r>
      <w:r>
        <w:rPr>
          <w:rFonts w:ascii="宋体" w:hAnsi="宋体" w:eastAsia="宋体" w:cs="Times New Roman"/>
          <w:spacing w:val="-6"/>
          <w:szCs w:val="21"/>
        </w:rPr>
        <w:t>为采购项目提供整体设计、规范编制或者项目管理、监理、检测等服务后再参加该采购项目的其他采购活动的。</w:t>
      </w:r>
    </w:p>
    <w:p w14:paraId="15DF0FC3">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四、</w:t>
      </w:r>
      <w:r>
        <w:rPr>
          <w:rFonts w:ascii="宋体" w:hAnsi="宋体" w:eastAsia="宋体" w:cs="Times New Roman"/>
          <w:spacing w:val="-6"/>
          <w:szCs w:val="21"/>
        </w:rPr>
        <w:t>以上事项如有虚假或隐瞒，我方愿意承担一切后果和责任。</w:t>
      </w:r>
    </w:p>
    <w:p w14:paraId="15DF0FC4">
      <w:pPr>
        <w:adjustRightInd w:val="0"/>
        <w:snapToGrid w:val="0"/>
        <w:spacing w:line="288" w:lineRule="auto"/>
        <w:rPr>
          <w:rFonts w:hint="eastAsia" w:ascii="宋体" w:hAnsi="宋体" w:eastAsia="宋体" w:cs="Times New Roman"/>
          <w:szCs w:val="21"/>
        </w:rPr>
      </w:pPr>
    </w:p>
    <w:p w14:paraId="15DF0FC5">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15DF0FC6">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15DF0FC7">
      <w:pPr>
        <w:widowControl/>
        <w:adjustRightInd w:val="0"/>
        <w:snapToGrid w:val="0"/>
        <w:spacing w:line="288" w:lineRule="auto"/>
        <w:jc w:val="left"/>
        <w:rPr>
          <w:rFonts w:hint="eastAsia" w:ascii="宋体" w:hAnsi="宋体" w:eastAsia="宋体" w:cs="宋体"/>
          <w:b/>
          <w:spacing w:val="-6"/>
          <w:szCs w:val="21"/>
        </w:rPr>
      </w:pPr>
    </w:p>
    <w:p w14:paraId="15DF0FC8">
      <w:pPr>
        <w:widowControl/>
        <w:adjustRightInd w:val="0"/>
        <w:snapToGrid w:val="0"/>
        <w:spacing w:line="288" w:lineRule="auto"/>
        <w:jc w:val="left"/>
        <w:rPr>
          <w:rFonts w:hint="eastAsia" w:ascii="宋体" w:hAnsi="宋体" w:eastAsia="宋体" w:cs="宋体"/>
          <w:b/>
          <w:spacing w:val="-6"/>
          <w:szCs w:val="21"/>
        </w:rPr>
      </w:pPr>
      <w:r>
        <w:rPr>
          <w:rFonts w:ascii="宋体" w:hAnsi="宋体" w:eastAsia="宋体" w:cs="宋体"/>
          <w:b/>
          <w:spacing w:val="-6"/>
          <w:szCs w:val="21"/>
        </w:rPr>
        <w:br w:type="page"/>
      </w:r>
    </w:p>
    <w:p w14:paraId="15DF0FC9">
      <w:pPr>
        <w:adjustRightInd w:val="0"/>
        <w:snapToGrid w:val="0"/>
        <w:spacing w:line="288" w:lineRule="auto"/>
        <w:jc w:val="left"/>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3）落实政府采购政策需满足的资格要求：无</w:t>
      </w:r>
    </w:p>
    <w:p w14:paraId="15DF0FCA">
      <w:pPr>
        <w:adjustRightInd w:val="0"/>
        <w:snapToGrid w:val="0"/>
        <w:spacing w:line="288" w:lineRule="auto"/>
        <w:jc w:val="left"/>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4</w:t>
      </w:r>
      <w:r>
        <w:rPr>
          <w:rFonts w:hint="eastAsia" w:ascii="宋体" w:hAnsi="宋体" w:eastAsia="宋体" w:cs="宋体"/>
          <w:b/>
          <w:spacing w:val="-6"/>
          <w:szCs w:val="21"/>
        </w:rPr>
        <w:t>）本项目的特定资格要求证明材料：无</w:t>
      </w:r>
    </w:p>
    <w:p w14:paraId="15DF0FCB">
      <w:pPr>
        <w:adjustRightInd w:val="0"/>
        <w:snapToGrid w:val="0"/>
        <w:spacing w:line="288" w:lineRule="auto"/>
        <w:rPr>
          <w:rFonts w:hint="eastAsia" w:ascii="宋体" w:hAnsi="宋体" w:eastAsia="宋体" w:cs="Times New Roman"/>
          <w:b/>
          <w:spacing w:val="-6"/>
          <w:szCs w:val="21"/>
        </w:rPr>
      </w:pPr>
      <w:r>
        <w:rPr>
          <w:rFonts w:ascii="宋体" w:hAnsi="宋体" w:eastAsia="宋体" w:cs="Times New Roman"/>
          <w:b/>
          <w:spacing w:val="-6"/>
          <w:szCs w:val="21"/>
        </w:rPr>
        <w:br w:type="page"/>
      </w:r>
    </w:p>
    <w:p w14:paraId="15DF0FCC">
      <w:pPr>
        <w:overflowPunct w:val="0"/>
        <w:adjustRightInd w:val="0"/>
        <w:snapToGrid w:val="0"/>
        <w:spacing w:line="288" w:lineRule="auto"/>
        <w:jc w:val="center"/>
        <w:outlineLvl w:val="1"/>
        <w:rPr>
          <w:rFonts w:hint="eastAsia" w:ascii="宋体" w:hAnsi="宋体" w:eastAsia="宋体" w:cs="Times New Roman"/>
          <w:bCs/>
          <w:spacing w:val="-6"/>
          <w:sz w:val="84"/>
          <w:szCs w:val="84"/>
        </w:rPr>
      </w:pPr>
      <w:r>
        <w:rPr>
          <w:rFonts w:hint="eastAsia" w:ascii="宋体" w:hAnsi="宋体" w:eastAsia="宋体" w:cs="Times New Roman"/>
          <w:b/>
          <w:spacing w:val="-6"/>
          <w:sz w:val="84"/>
          <w:szCs w:val="84"/>
        </w:rPr>
        <w:t>商务和技术文件</w:t>
      </w:r>
    </w:p>
    <w:p w14:paraId="15DF0FCD">
      <w:pPr>
        <w:widowControl/>
        <w:adjustRightInd w:val="0"/>
        <w:snapToGrid w:val="0"/>
        <w:spacing w:line="288" w:lineRule="auto"/>
        <w:jc w:val="left"/>
        <w:rPr>
          <w:rFonts w:hint="eastAsia" w:ascii="宋体" w:hAnsi="宋体" w:eastAsia="宋体" w:cs="宋体"/>
          <w:b/>
          <w:spacing w:val="-6"/>
          <w:szCs w:val="21"/>
        </w:rPr>
      </w:pPr>
      <w:r>
        <w:rPr>
          <w:rFonts w:ascii="宋体" w:hAnsi="宋体" w:eastAsia="宋体" w:cs="宋体"/>
          <w:b/>
          <w:spacing w:val="-6"/>
          <w:szCs w:val="21"/>
        </w:rPr>
        <w:br w:type="page"/>
      </w:r>
    </w:p>
    <w:p w14:paraId="15DF0FCE">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（1）投标函</w:t>
      </w:r>
    </w:p>
    <w:p w14:paraId="15DF0FCF">
      <w:pPr>
        <w:adjustRightInd w:val="0"/>
        <w:snapToGrid w:val="0"/>
        <w:spacing w:line="288" w:lineRule="auto"/>
        <w:rPr>
          <w:rFonts w:hint="eastAsia" w:ascii="宋体" w:hAnsi="宋体" w:eastAsia="宋体" w:cs="Times New Roman"/>
          <w:spacing w:val="-6"/>
          <w:szCs w:val="21"/>
        </w:rPr>
      </w:pPr>
    </w:p>
    <w:p w14:paraId="15DF0FD0">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致：杭州电子科技大学、浙江求是招标代理有限公司</w:t>
      </w:r>
    </w:p>
    <w:p w14:paraId="15DF0FD1">
      <w:pPr>
        <w:adjustRightInd w:val="0"/>
        <w:snapToGrid w:val="0"/>
        <w:spacing w:line="288" w:lineRule="auto"/>
        <w:ind w:firstLine="396" w:firstLineChars="200"/>
        <w:rPr>
          <w:rFonts w:hint="eastAsia" w:ascii="宋体" w:hAnsi="宋体" w:eastAsia="宋体" w:cs="Times New Roman"/>
          <w:spacing w:val="-6"/>
          <w:szCs w:val="21"/>
        </w:rPr>
      </w:pPr>
    </w:p>
    <w:p w14:paraId="15DF0FD2">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我方参加</w:t>
      </w:r>
      <w:r>
        <w:rPr>
          <w:rFonts w:hint="eastAsia" w:ascii="宋体" w:hAnsi="宋体" w:eastAsia="宋体" w:cs="Times New Roman"/>
          <w:bCs/>
          <w:spacing w:val="-6"/>
          <w:szCs w:val="21"/>
          <w:u w:val="single"/>
        </w:rPr>
        <w:t>杭州电子科技大学裸眼立体物理实验平台</w:t>
      </w:r>
      <w:r>
        <w:rPr>
          <w:rFonts w:hint="eastAsia" w:ascii="宋体" w:hAnsi="宋体" w:eastAsia="宋体" w:cs="Times New Roman"/>
          <w:spacing w:val="-6"/>
          <w:szCs w:val="21"/>
          <w:u w:val="single"/>
        </w:rPr>
        <w:t>（项目编号</w:t>
      </w:r>
      <w:r>
        <w:rPr>
          <w:rFonts w:hint="eastAsia" w:ascii="宋体" w:hAnsi="宋体" w:eastAsia="宋体" w:cs="Times New Roman"/>
          <w:bCs/>
          <w:spacing w:val="-6"/>
          <w:szCs w:val="21"/>
          <w:u w:val="single"/>
        </w:rPr>
        <w:t>：</w:t>
      </w:r>
      <w:r>
        <w:rPr>
          <w:rFonts w:hint="eastAsia" w:ascii="宋体" w:hAnsi="宋体" w:eastAsia="宋体" w:cs="Times New Roman"/>
          <w:bCs/>
          <w:spacing w:val="-6"/>
          <w:szCs w:val="21"/>
          <w:u w:val="single"/>
          <w:lang w:eastAsia="zh-CN"/>
        </w:rPr>
        <w:t>QSZBB250272ZHGK</w:t>
      </w:r>
      <w:r>
        <w:rPr>
          <w:rFonts w:hint="eastAsia" w:ascii="宋体" w:hAnsi="宋体" w:eastAsia="宋体" w:cs="Times New Roman"/>
          <w:spacing w:val="-6"/>
          <w:szCs w:val="21"/>
          <w:u w:val="single"/>
        </w:rPr>
        <w:t>）</w:t>
      </w:r>
      <w:r>
        <w:rPr>
          <w:rFonts w:hint="eastAsia" w:ascii="宋体" w:hAnsi="宋体" w:eastAsia="宋体" w:cs="Times New Roman"/>
          <w:spacing w:val="-6"/>
          <w:szCs w:val="21"/>
        </w:rPr>
        <w:t>项目，为此，我方提交电子加密投标文件一份、以介质（U盘）存储的数据电文形式的</w:t>
      </w:r>
      <w:r>
        <w:rPr>
          <w:rFonts w:hint="eastAsia" w:ascii="宋体" w:hAnsi="宋体" w:eastAsia="宋体" w:cs="Times New Roman"/>
          <w:spacing w:val="-6"/>
          <w:szCs w:val="21"/>
          <w:u w:val="single"/>
        </w:rPr>
        <w:t xml:space="preserve">备份投标文件 </w:t>
      </w:r>
      <w:r>
        <w:rPr>
          <w:rFonts w:ascii="宋体" w:hAnsi="宋体" w:eastAsia="宋体" w:cs="Times New Roman"/>
          <w:spacing w:val="-6"/>
          <w:szCs w:val="21"/>
          <w:u w:val="single"/>
        </w:rPr>
        <w:t xml:space="preserve">   </w:t>
      </w:r>
      <w:r>
        <w:rPr>
          <w:rFonts w:hint="eastAsia" w:ascii="宋体" w:hAnsi="宋体" w:eastAsia="宋体" w:cs="Times New Roman"/>
          <w:spacing w:val="-6"/>
          <w:szCs w:val="21"/>
          <w:u w:val="single"/>
        </w:rPr>
        <w:t>份</w:t>
      </w:r>
      <w:r>
        <w:rPr>
          <w:rFonts w:hint="eastAsia" w:ascii="宋体" w:hAnsi="宋体" w:eastAsia="宋体" w:cs="Times New Roman"/>
          <w:spacing w:val="-6"/>
          <w:szCs w:val="21"/>
        </w:rPr>
        <w:t>。宣布同意如下：</w:t>
      </w:r>
    </w:p>
    <w:p w14:paraId="15DF0FD3">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w:t>
      </w:r>
      <w:r>
        <w:rPr>
          <w:rFonts w:hint="eastAsia" w:ascii="宋体" w:hAnsi="宋体" w:eastAsia="宋体" w:cs="Times New Roman"/>
          <w:spacing w:val="-6"/>
          <w:szCs w:val="21"/>
        </w:rPr>
        <w:t>我方已详细审查全部“招标文件”，包括修改文件（如有）以及全部参考资料和有关附件，已经了解我方对于招标文件、招标过程、中标结果有依法进行询问、质疑、投诉的权利及相关渠道和要求。</w:t>
      </w:r>
    </w:p>
    <w:p w14:paraId="15DF0FD4">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2</w:t>
      </w:r>
      <w:r>
        <w:rPr>
          <w:rFonts w:ascii="宋体" w:hAnsi="宋体" w:eastAsia="宋体" w:cs="Times New Roman"/>
          <w:spacing w:val="-6"/>
          <w:szCs w:val="21"/>
        </w:rPr>
        <w:t>.</w:t>
      </w:r>
      <w:r>
        <w:rPr>
          <w:rFonts w:hint="eastAsia" w:ascii="宋体" w:hAnsi="宋体" w:eastAsia="宋体" w:cs="Times New Roman"/>
          <w:spacing w:val="-6"/>
          <w:szCs w:val="21"/>
        </w:rPr>
        <w:t>我方在投标之前已经与贵方进行了充分的沟通，完全理解并接受招标文件的各项规定和要求，对招标文件的合理性、合法性不再有异议。</w:t>
      </w:r>
    </w:p>
    <w:p w14:paraId="15DF0FD5">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3</w:t>
      </w:r>
      <w:r>
        <w:rPr>
          <w:rFonts w:ascii="宋体" w:hAnsi="宋体" w:eastAsia="宋体" w:cs="Times New Roman"/>
          <w:spacing w:val="-6"/>
          <w:szCs w:val="21"/>
        </w:rPr>
        <w:t>.</w:t>
      </w:r>
      <w:r>
        <w:rPr>
          <w:rFonts w:hint="eastAsia" w:ascii="宋体" w:hAnsi="宋体" w:eastAsia="宋体" w:cs="Times New Roman"/>
          <w:spacing w:val="-6"/>
          <w:szCs w:val="21"/>
        </w:rPr>
        <w:t>投标有效期自提交投标文件的截止之日起</w:t>
      </w:r>
      <w:r>
        <w:rPr>
          <w:rFonts w:hint="eastAsia" w:ascii="宋体" w:hAnsi="宋体" w:eastAsia="宋体" w:cs="Times New Roman"/>
          <w:bCs/>
          <w:spacing w:val="-6"/>
          <w:szCs w:val="21"/>
          <w:u w:val="single"/>
        </w:rPr>
        <w:t xml:space="preserve"> 90</w:t>
      </w:r>
      <w:r>
        <w:rPr>
          <w:rFonts w:ascii="宋体" w:hAnsi="宋体" w:eastAsia="宋体" w:cs="Times New Roman"/>
          <w:bCs/>
          <w:spacing w:val="-6"/>
          <w:szCs w:val="21"/>
          <w:u w:val="single"/>
        </w:rPr>
        <w:t xml:space="preserve"> </w:t>
      </w:r>
      <w:r>
        <w:rPr>
          <w:rFonts w:hint="eastAsia" w:ascii="宋体" w:hAnsi="宋体" w:eastAsia="宋体" w:cs="Times New Roman"/>
          <w:spacing w:val="-6"/>
          <w:szCs w:val="21"/>
        </w:rPr>
        <w:t>天。</w:t>
      </w:r>
    </w:p>
    <w:p w14:paraId="15DF0FD6">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4</w:t>
      </w:r>
      <w:r>
        <w:rPr>
          <w:rFonts w:ascii="宋体" w:hAnsi="宋体" w:eastAsia="宋体" w:cs="Times New Roman"/>
          <w:spacing w:val="-6"/>
          <w:szCs w:val="21"/>
        </w:rPr>
        <w:t>.</w:t>
      </w:r>
      <w:r>
        <w:rPr>
          <w:rFonts w:hint="eastAsia" w:ascii="宋体" w:hAnsi="宋体" w:eastAsia="宋体" w:cs="Times New Roman"/>
          <w:spacing w:val="-6"/>
          <w:szCs w:val="21"/>
        </w:rPr>
        <w:t>如中标，本投标文件至本项目合同履行完毕止均保持有效，我方将按“招标文件”及政府采购法律、法规的规定履行合同责任和义务。关于代理服务费，我方承诺按照招标文件的规定履行并承担相应的责任。</w:t>
      </w:r>
    </w:p>
    <w:p w14:paraId="15DF0FD7">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5</w:t>
      </w:r>
      <w:r>
        <w:rPr>
          <w:rFonts w:ascii="宋体" w:hAnsi="宋体" w:eastAsia="宋体" w:cs="Times New Roman"/>
          <w:spacing w:val="-6"/>
          <w:szCs w:val="21"/>
        </w:rPr>
        <w:t>.</w:t>
      </w:r>
      <w:r>
        <w:rPr>
          <w:rFonts w:hint="eastAsia" w:ascii="宋体" w:hAnsi="宋体" w:eastAsia="宋体" w:cs="Times New Roman"/>
          <w:spacing w:val="-6"/>
          <w:szCs w:val="21"/>
        </w:rPr>
        <w:t>我方同意按照贵方要求提供与投标有关的一切数据或资料。</w:t>
      </w:r>
    </w:p>
    <w:p w14:paraId="15DF0FD8">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6</w:t>
      </w:r>
      <w:r>
        <w:rPr>
          <w:rFonts w:ascii="宋体" w:hAnsi="宋体" w:eastAsia="宋体" w:cs="Times New Roman"/>
          <w:spacing w:val="-6"/>
          <w:szCs w:val="21"/>
        </w:rPr>
        <w:t>.</w:t>
      </w:r>
      <w:r>
        <w:rPr>
          <w:rFonts w:hint="eastAsia" w:ascii="宋体" w:hAnsi="宋体" w:eastAsia="宋体" w:cs="Times New Roman"/>
          <w:spacing w:val="-6"/>
          <w:szCs w:val="21"/>
        </w:rPr>
        <w:t>与本投标有关的一切正式往来信函联系：</w:t>
      </w:r>
    </w:p>
    <w:tbl>
      <w:tblPr>
        <w:tblStyle w:val="24"/>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14:paraId="15DF0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15DF0FD9">
            <w:pPr>
              <w:adjustRightInd w:val="0"/>
              <w:snapToGrid w:val="0"/>
              <w:spacing w:line="288" w:lineRule="auto"/>
              <w:rPr>
                <w:rFonts w:hint="eastAsia" w:ascii="宋体" w:hAnsi="宋体" w:eastAsia="宋体" w:cs="Times New Roman"/>
                <w:spacing w:val="-6"/>
                <w:szCs w:val="21"/>
              </w:rPr>
            </w:pPr>
            <w:r>
              <w:rPr>
                <w:rFonts w:hint="eastAsia" w:ascii="宋体" w:hAnsi="宋体" w:eastAsia="宋体" w:cs="Times New Roman"/>
                <w:spacing w:val="-6"/>
                <w:szCs w:val="21"/>
              </w:rPr>
              <w:t>联系人：</w:t>
            </w:r>
          </w:p>
        </w:tc>
        <w:tc>
          <w:tcPr>
            <w:tcW w:w="6808" w:type="dxa"/>
          </w:tcPr>
          <w:p w14:paraId="15DF0FDA">
            <w:pPr>
              <w:adjustRightInd w:val="0"/>
              <w:snapToGrid w:val="0"/>
              <w:spacing w:line="288" w:lineRule="auto"/>
              <w:rPr>
                <w:rFonts w:hint="eastAsia" w:ascii="宋体" w:hAnsi="宋体" w:eastAsia="宋体" w:cs="Times New Roman"/>
                <w:spacing w:val="-6"/>
                <w:szCs w:val="21"/>
              </w:rPr>
            </w:pPr>
          </w:p>
        </w:tc>
      </w:tr>
      <w:tr w14:paraId="15DF0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15DF0FDC">
            <w:pPr>
              <w:adjustRightInd w:val="0"/>
              <w:snapToGrid w:val="0"/>
              <w:spacing w:line="288" w:lineRule="auto"/>
              <w:rPr>
                <w:rFonts w:hint="eastAsia" w:ascii="宋体" w:hAnsi="宋体" w:eastAsia="宋体" w:cs="Times New Roman"/>
                <w:spacing w:val="-6"/>
                <w:szCs w:val="21"/>
              </w:rPr>
            </w:pPr>
            <w:r>
              <w:rPr>
                <w:rFonts w:hint="eastAsia" w:ascii="宋体" w:hAnsi="宋体" w:eastAsia="宋体" w:cs="Times New Roman"/>
                <w:spacing w:val="-6"/>
                <w:szCs w:val="21"/>
              </w:rPr>
              <w:t>职务：</w:t>
            </w:r>
          </w:p>
        </w:tc>
        <w:tc>
          <w:tcPr>
            <w:tcW w:w="6808" w:type="dxa"/>
          </w:tcPr>
          <w:p w14:paraId="15DF0FDD">
            <w:pPr>
              <w:adjustRightInd w:val="0"/>
              <w:snapToGrid w:val="0"/>
              <w:spacing w:line="288" w:lineRule="auto"/>
              <w:rPr>
                <w:rFonts w:hint="eastAsia" w:ascii="宋体" w:hAnsi="宋体" w:eastAsia="宋体" w:cs="Times New Roman"/>
                <w:spacing w:val="-6"/>
                <w:szCs w:val="21"/>
              </w:rPr>
            </w:pPr>
          </w:p>
        </w:tc>
      </w:tr>
      <w:tr w14:paraId="15DF0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15DF0FDF">
            <w:pPr>
              <w:adjustRightInd w:val="0"/>
              <w:snapToGrid w:val="0"/>
              <w:spacing w:line="288" w:lineRule="auto"/>
              <w:rPr>
                <w:rFonts w:hint="eastAsia" w:ascii="宋体" w:hAnsi="宋体" w:eastAsia="宋体" w:cs="Times New Roman"/>
                <w:spacing w:val="-6"/>
                <w:szCs w:val="21"/>
              </w:rPr>
            </w:pPr>
            <w:r>
              <w:rPr>
                <w:rFonts w:hint="eastAsia" w:ascii="宋体" w:hAnsi="宋体" w:eastAsia="宋体" w:cs="Times New Roman"/>
                <w:spacing w:val="-6"/>
                <w:szCs w:val="21"/>
              </w:rPr>
              <w:t>手机：</w:t>
            </w:r>
          </w:p>
        </w:tc>
        <w:tc>
          <w:tcPr>
            <w:tcW w:w="6808" w:type="dxa"/>
          </w:tcPr>
          <w:p w14:paraId="15DF0FE0">
            <w:pPr>
              <w:adjustRightInd w:val="0"/>
              <w:snapToGrid w:val="0"/>
              <w:spacing w:line="288" w:lineRule="auto"/>
              <w:rPr>
                <w:rFonts w:hint="eastAsia" w:ascii="宋体" w:hAnsi="宋体" w:eastAsia="宋体" w:cs="Times New Roman"/>
                <w:spacing w:val="-6"/>
                <w:szCs w:val="21"/>
              </w:rPr>
            </w:pPr>
          </w:p>
        </w:tc>
      </w:tr>
      <w:tr w14:paraId="15DF0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15DF0FE2">
            <w:pPr>
              <w:adjustRightInd w:val="0"/>
              <w:snapToGrid w:val="0"/>
              <w:spacing w:line="288" w:lineRule="auto"/>
              <w:rPr>
                <w:rFonts w:hint="eastAsia" w:ascii="宋体" w:hAnsi="宋体" w:eastAsia="宋体" w:cs="Times New Roman"/>
                <w:spacing w:val="-6"/>
                <w:szCs w:val="21"/>
              </w:rPr>
            </w:pPr>
            <w:r>
              <w:rPr>
                <w:rFonts w:hint="eastAsia" w:ascii="宋体" w:hAnsi="宋体" w:eastAsia="宋体" w:cs="Times New Roman"/>
                <w:spacing w:val="-6"/>
                <w:szCs w:val="21"/>
              </w:rPr>
              <w:t>电子邮箱：</w:t>
            </w:r>
          </w:p>
        </w:tc>
        <w:tc>
          <w:tcPr>
            <w:tcW w:w="6808" w:type="dxa"/>
          </w:tcPr>
          <w:p w14:paraId="15DF0FE3">
            <w:pPr>
              <w:adjustRightInd w:val="0"/>
              <w:snapToGrid w:val="0"/>
              <w:spacing w:line="288" w:lineRule="auto"/>
              <w:rPr>
                <w:rFonts w:hint="eastAsia" w:ascii="宋体" w:hAnsi="宋体" w:eastAsia="宋体" w:cs="Times New Roman"/>
                <w:spacing w:val="-6"/>
                <w:szCs w:val="21"/>
              </w:rPr>
            </w:pPr>
          </w:p>
        </w:tc>
      </w:tr>
      <w:tr w14:paraId="15DF0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15DF0FE5">
            <w:pPr>
              <w:adjustRightInd w:val="0"/>
              <w:snapToGrid w:val="0"/>
              <w:spacing w:line="288" w:lineRule="auto"/>
              <w:rPr>
                <w:rFonts w:hint="eastAsia" w:ascii="宋体" w:hAnsi="宋体" w:eastAsia="宋体" w:cs="Times New Roman"/>
                <w:spacing w:val="-6"/>
                <w:szCs w:val="21"/>
              </w:rPr>
            </w:pPr>
            <w:r>
              <w:rPr>
                <w:rFonts w:hint="eastAsia" w:ascii="宋体" w:hAnsi="宋体" w:eastAsia="宋体" w:cs="Times New Roman"/>
                <w:spacing w:val="-6"/>
                <w:szCs w:val="21"/>
              </w:rPr>
              <w:t>地址：</w:t>
            </w:r>
          </w:p>
        </w:tc>
        <w:tc>
          <w:tcPr>
            <w:tcW w:w="6808" w:type="dxa"/>
          </w:tcPr>
          <w:p w14:paraId="15DF0FE6">
            <w:pPr>
              <w:adjustRightInd w:val="0"/>
              <w:snapToGrid w:val="0"/>
              <w:spacing w:line="288" w:lineRule="auto"/>
              <w:rPr>
                <w:rFonts w:hint="eastAsia" w:ascii="宋体" w:hAnsi="宋体" w:eastAsia="宋体" w:cs="Times New Roman"/>
                <w:spacing w:val="-6"/>
                <w:szCs w:val="21"/>
              </w:rPr>
            </w:pPr>
          </w:p>
        </w:tc>
      </w:tr>
      <w:tr w14:paraId="15DF0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15DF0FE8">
            <w:pPr>
              <w:adjustRightInd w:val="0"/>
              <w:snapToGrid w:val="0"/>
              <w:spacing w:line="288" w:lineRule="auto"/>
              <w:rPr>
                <w:rFonts w:hint="eastAsia" w:ascii="宋体" w:hAnsi="宋体" w:eastAsia="宋体" w:cs="Times New Roman"/>
                <w:spacing w:val="-6"/>
                <w:szCs w:val="21"/>
              </w:rPr>
            </w:pPr>
            <w:r>
              <w:rPr>
                <w:rFonts w:hint="eastAsia" w:ascii="宋体" w:hAnsi="宋体" w:eastAsia="宋体" w:cs="Times New Roman"/>
                <w:spacing w:val="-6"/>
                <w:szCs w:val="21"/>
              </w:rPr>
              <w:t>开户银行：</w:t>
            </w:r>
          </w:p>
        </w:tc>
        <w:tc>
          <w:tcPr>
            <w:tcW w:w="6808" w:type="dxa"/>
          </w:tcPr>
          <w:p w14:paraId="15DF0FE9">
            <w:pPr>
              <w:adjustRightInd w:val="0"/>
              <w:snapToGrid w:val="0"/>
              <w:spacing w:line="288" w:lineRule="auto"/>
              <w:rPr>
                <w:rFonts w:hint="eastAsia" w:ascii="宋体" w:hAnsi="宋体" w:eastAsia="宋体" w:cs="Times New Roman"/>
                <w:spacing w:val="-6"/>
                <w:szCs w:val="21"/>
              </w:rPr>
            </w:pPr>
          </w:p>
        </w:tc>
      </w:tr>
      <w:tr w14:paraId="15DF0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15DF0FEB">
            <w:pPr>
              <w:adjustRightInd w:val="0"/>
              <w:snapToGrid w:val="0"/>
              <w:spacing w:line="288" w:lineRule="auto"/>
              <w:rPr>
                <w:rFonts w:hint="eastAsia" w:ascii="宋体" w:hAnsi="宋体" w:eastAsia="宋体" w:cs="Times New Roman"/>
                <w:spacing w:val="-6"/>
                <w:szCs w:val="21"/>
              </w:rPr>
            </w:pPr>
            <w:r>
              <w:rPr>
                <w:rFonts w:hint="eastAsia" w:ascii="宋体" w:hAnsi="宋体" w:eastAsia="宋体" w:cs="Times New Roman"/>
                <w:spacing w:val="-6"/>
                <w:szCs w:val="21"/>
              </w:rPr>
              <w:t>银行账号：</w:t>
            </w:r>
          </w:p>
        </w:tc>
        <w:tc>
          <w:tcPr>
            <w:tcW w:w="6808" w:type="dxa"/>
          </w:tcPr>
          <w:p w14:paraId="15DF0FEC">
            <w:pPr>
              <w:adjustRightInd w:val="0"/>
              <w:snapToGrid w:val="0"/>
              <w:spacing w:line="288" w:lineRule="auto"/>
              <w:rPr>
                <w:rFonts w:hint="eastAsia" w:ascii="宋体" w:hAnsi="宋体" w:eastAsia="宋体" w:cs="Times New Roman"/>
                <w:spacing w:val="-6"/>
                <w:szCs w:val="21"/>
              </w:rPr>
            </w:pPr>
          </w:p>
        </w:tc>
      </w:tr>
    </w:tbl>
    <w:p w14:paraId="15DF0FEE">
      <w:pPr>
        <w:adjustRightInd w:val="0"/>
        <w:snapToGrid w:val="0"/>
        <w:spacing w:line="288" w:lineRule="auto"/>
        <w:rPr>
          <w:rFonts w:hint="eastAsia" w:ascii="宋体" w:hAnsi="宋体" w:eastAsia="宋体" w:cs="Times New Roman"/>
          <w:spacing w:val="-6"/>
          <w:szCs w:val="21"/>
        </w:rPr>
      </w:pPr>
    </w:p>
    <w:p w14:paraId="15DF0FEF">
      <w:pPr>
        <w:adjustRightInd w:val="0"/>
        <w:snapToGrid w:val="0"/>
        <w:spacing w:line="288" w:lineRule="auto"/>
        <w:rPr>
          <w:rFonts w:hint="eastAsia" w:ascii="宋体" w:hAnsi="宋体" w:eastAsia="宋体" w:cs="Times New Roman"/>
          <w:spacing w:val="-6"/>
          <w:szCs w:val="21"/>
        </w:rPr>
      </w:pPr>
    </w:p>
    <w:p w14:paraId="15DF0FF0">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15DF0FF1">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15DF0FF2">
      <w:pPr>
        <w:widowControl/>
        <w:adjustRightInd w:val="0"/>
        <w:snapToGrid w:val="0"/>
        <w:spacing w:line="288" w:lineRule="auto"/>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15DF0FF3">
      <w:pPr>
        <w:adjustRightInd w:val="0"/>
        <w:snapToGrid w:val="0"/>
        <w:spacing w:line="288" w:lineRule="auto"/>
        <w:ind w:firstLine="498" w:firstLineChars="236"/>
        <w:jc w:val="center"/>
        <w:outlineLvl w:val="2"/>
        <w:rPr>
          <w:rFonts w:hint="eastAsia" w:ascii="宋体" w:hAnsi="宋体" w:eastAsia="宋体" w:cs="Times New Roman"/>
          <w:b/>
          <w:bCs/>
          <w:szCs w:val="21"/>
        </w:rPr>
      </w:pPr>
      <w:r>
        <w:rPr>
          <w:rFonts w:hint="eastAsia" w:ascii="宋体" w:hAnsi="宋体" w:eastAsia="宋体" w:cs="Times New Roman"/>
          <w:b/>
          <w:bCs/>
          <w:szCs w:val="21"/>
        </w:rPr>
        <w:t>（</w:t>
      </w:r>
      <w:r>
        <w:rPr>
          <w:rFonts w:ascii="宋体" w:hAnsi="宋体" w:eastAsia="宋体" w:cs="Times New Roman"/>
          <w:b/>
          <w:bCs/>
          <w:szCs w:val="21"/>
        </w:rPr>
        <w:t>2</w:t>
      </w:r>
      <w:r>
        <w:rPr>
          <w:rFonts w:hint="eastAsia" w:ascii="宋体" w:hAnsi="宋体" w:eastAsia="宋体" w:cs="Times New Roman"/>
          <w:b/>
          <w:bCs/>
          <w:szCs w:val="21"/>
        </w:rPr>
        <w:t>）授权委托书</w:t>
      </w:r>
    </w:p>
    <w:p w14:paraId="15DF0FF4">
      <w:pPr>
        <w:adjustRightInd w:val="0"/>
        <w:snapToGrid w:val="0"/>
        <w:spacing w:line="288" w:lineRule="auto"/>
        <w:rPr>
          <w:rFonts w:hint="eastAsia" w:ascii="宋体" w:hAnsi="宋体" w:eastAsia="宋体" w:cs="Times New Roman"/>
          <w:b/>
          <w:bCs/>
          <w:spacing w:val="-6"/>
          <w:szCs w:val="21"/>
        </w:rPr>
      </w:pPr>
    </w:p>
    <w:p w14:paraId="15DF0FF5">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致：杭州电子科技大学、浙江求是招标代理有限公司</w:t>
      </w:r>
    </w:p>
    <w:p w14:paraId="15DF0FF6">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现授权委托：</w:t>
      </w:r>
      <w:r>
        <w:rPr>
          <w:rFonts w:ascii="宋体" w:hAnsi="宋体" w:eastAsia="宋体" w:cs="Times New Roman"/>
          <w:spacing w:val="-6"/>
          <w:szCs w:val="21"/>
          <w:u w:val="single"/>
        </w:rPr>
        <w:t xml:space="preserve">            </w:t>
      </w:r>
      <w:r>
        <w:rPr>
          <w:rFonts w:hint="eastAsia" w:ascii="宋体" w:hAnsi="宋体" w:eastAsia="宋体" w:cs="Times New Roman"/>
          <w:spacing w:val="-6"/>
          <w:szCs w:val="21"/>
        </w:rPr>
        <w:t>（授权代表姓名）（身份证号码：</w:t>
      </w:r>
      <w:r>
        <w:rPr>
          <w:rFonts w:ascii="宋体" w:hAnsi="宋体" w:eastAsia="宋体" w:cs="Times New Roman"/>
          <w:spacing w:val="-6"/>
          <w:szCs w:val="21"/>
          <w:u w:val="single"/>
        </w:rPr>
        <w:t xml:space="preserve">            </w:t>
      </w:r>
      <w:r>
        <w:rPr>
          <w:rFonts w:hint="eastAsia" w:ascii="宋体" w:hAnsi="宋体" w:eastAsia="宋体" w:cs="Times New Roman"/>
          <w:spacing w:val="-6"/>
          <w:szCs w:val="21"/>
        </w:rPr>
        <w:t>，手机：</w:t>
      </w:r>
      <w:r>
        <w:rPr>
          <w:rFonts w:ascii="宋体" w:hAnsi="宋体" w:eastAsia="宋体" w:cs="Times New Roman"/>
          <w:spacing w:val="-6"/>
          <w:szCs w:val="21"/>
          <w:u w:val="single"/>
        </w:rPr>
        <w:t xml:space="preserve">            </w:t>
      </w:r>
      <w:r>
        <w:rPr>
          <w:rFonts w:hint="eastAsia" w:ascii="宋体" w:hAnsi="宋体" w:eastAsia="宋体" w:cs="Times New Roman"/>
          <w:spacing w:val="-6"/>
          <w:szCs w:val="21"/>
        </w:rPr>
        <w:t>）以我方的名义参加</w:t>
      </w:r>
      <w:r>
        <w:rPr>
          <w:rFonts w:hint="eastAsia" w:ascii="宋体" w:hAnsi="宋体" w:eastAsia="宋体" w:cs="Times New Roman"/>
          <w:bCs/>
          <w:spacing w:val="-6"/>
          <w:szCs w:val="21"/>
        </w:rPr>
        <w:t>杭州电子科技大学裸眼立体物理实验平台项目（项目编号：</w:t>
      </w:r>
      <w:r>
        <w:rPr>
          <w:rFonts w:hint="eastAsia" w:ascii="宋体" w:hAnsi="宋体" w:eastAsia="宋体" w:cs="Times New Roman"/>
          <w:bCs/>
          <w:spacing w:val="-6"/>
          <w:szCs w:val="21"/>
          <w:lang w:eastAsia="zh-CN"/>
        </w:rPr>
        <w:t>QSZBB250272ZHGK</w:t>
      </w:r>
      <w:r>
        <w:rPr>
          <w:rFonts w:hint="eastAsia" w:ascii="宋体" w:hAnsi="宋体" w:eastAsia="宋体" w:cs="Times New Roman"/>
          <w:bCs/>
          <w:spacing w:val="-6"/>
          <w:szCs w:val="21"/>
        </w:rPr>
        <w:t>）</w:t>
      </w:r>
      <w:r>
        <w:rPr>
          <w:rFonts w:hint="eastAsia" w:ascii="宋体" w:hAnsi="宋体" w:eastAsia="宋体" w:cs="Times New Roman"/>
          <w:spacing w:val="-6"/>
          <w:szCs w:val="21"/>
        </w:rPr>
        <w:t>的投标活动，并代表我方全权办理针对上述项目的投标、开标、评标、签约等具体事务和签署相关文件。</w:t>
      </w:r>
    </w:p>
    <w:p w14:paraId="15DF0FF7">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我方对被授权人的签名负全部责任。</w:t>
      </w:r>
    </w:p>
    <w:p w14:paraId="15DF0FF8">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在撤销授权的书面通知以前，本授权书一直有效。被授权人在授权书有效期内签署的所有文件不因授权的撤销而失效。</w:t>
      </w:r>
    </w:p>
    <w:p w14:paraId="15DF0FF9">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被授权人无转委托权，特此告知。</w:t>
      </w:r>
    </w:p>
    <w:p w14:paraId="15DF0FFA">
      <w:pPr>
        <w:adjustRightInd w:val="0"/>
        <w:snapToGrid w:val="0"/>
        <w:spacing w:line="288" w:lineRule="auto"/>
        <w:ind w:firstLine="368" w:firstLineChars="186"/>
        <w:rPr>
          <w:rFonts w:hint="eastAsia" w:ascii="宋体" w:hAnsi="宋体" w:eastAsia="宋体" w:cs="Times New Roman"/>
          <w:spacing w:val="-6"/>
          <w:szCs w:val="21"/>
          <w:u w:val="single"/>
        </w:rPr>
      </w:pPr>
      <w:r>
        <w:rPr>
          <w:rFonts w:hint="eastAsia" w:ascii="宋体" w:hAnsi="宋体" w:eastAsia="宋体" w:cs="Times New Roman"/>
          <w:spacing w:val="-6"/>
          <w:szCs w:val="21"/>
          <w:u w:val="single"/>
        </w:rPr>
        <w:t>▲提供授权代表社保缴纳证明（2025年1月（含）以后任意一月）。</w:t>
      </w:r>
    </w:p>
    <w:p w14:paraId="15DF0FFB">
      <w:pPr>
        <w:adjustRightInd w:val="0"/>
        <w:snapToGrid w:val="0"/>
        <w:spacing w:line="288" w:lineRule="auto"/>
        <w:rPr>
          <w:rFonts w:hint="eastAsia" w:ascii="宋体" w:hAnsi="宋体" w:eastAsia="宋体" w:cs="Times New Roman"/>
          <w:spacing w:val="-6"/>
          <w:szCs w:val="21"/>
        </w:rPr>
      </w:pPr>
    </w:p>
    <w:p w14:paraId="15DF0FFC">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15DF0FFD">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15DF0FFE">
      <w:pPr>
        <w:adjustRightInd w:val="0"/>
        <w:snapToGrid w:val="0"/>
        <w:spacing w:line="288" w:lineRule="auto"/>
        <w:rPr>
          <w:rFonts w:hint="eastAsia" w:ascii="宋体" w:hAnsi="宋体" w:eastAsia="宋体" w:cs="Times New Roman"/>
          <w:szCs w:val="21"/>
        </w:rPr>
      </w:pPr>
    </w:p>
    <w:p w14:paraId="15DF0FFF">
      <w:pPr>
        <w:adjustRightInd w:val="0"/>
        <w:snapToGrid w:val="0"/>
        <w:spacing w:line="288" w:lineRule="auto"/>
        <w:rPr>
          <w:rFonts w:hint="eastAsia" w:ascii="宋体" w:hAnsi="宋体" w:eastAsia="宋体" w:cs="Times New Roman"/>
          <w:szCs w:val="21"/>
        </w:rPr>
      </w:pPr>
      <w:r>
        <w:rPr>
          <w:rFonts w:hint="eastAsia" w:ascii="宋体" w:hAnsi="宋体" w:eastAsia="宋体" w:cs="Times New Roman"/>
          <w:szCs w:val="21"/>
        </w:rPr>
        <w:t>注：</w:t>
      </w:r>
    </w:p>
    <w:p w14:paraId="15DF1000">
      <w:pPr>
        <w:adjustRightInd w:val="0"/>
        <w:snapToGrid w:val="0"/>
        <w:spacing w:line="288" w:lineRule="auto"/>
        <w:rPr>
          <w:rFonts w:hint="eastAsia" w:ascii="宋体" w:hAnsi="宋体" w:eastAsia="宋体" w:cs="Times New Roman"/>
          <w:szCs w:val="21"/>
        </w:rPr>
      </w:pPr>
      <w:r>
        <w:rPr>
          <w:rFonts w:hint="eastAsia" w:ascii="宋体" w:hAnsi="宋体" w:eastAsia="宋体" w:cs="Times New Roman"/>
          <w:szCs w:val="21"/>
        </w:rPr>
        <w:t>1、投标人委派不在本单位缴纳社保的人员作为授权代表的，应当在投标文件中，说明具体原因、授权代表缴纳社保的单位，并附列该授权代表缴纳社保清单。</w:t>
      </w:r>
    </w:p>
    <w:p w14:paraId="15DF1001">
      <w:pPr>
        <w:adjustRightInd w:val="0"/>
        <w:snapToGrid w:val="0"/>
        <w:spacing w:line="288" w:lineRule="auto"/>
        <w:rPr>
          <w:rFonts w:hint="eastAsia" w:ascii="宋体" w:hAnsi="宋体" w:eastAsia="宋体" w:cs="Times New Roman"/>
          <w:szCs w:val="21"/>
        </w:rPr>
      </w:pPr>
      <w:r>
        <w:rPr>
          <w:rFonts w:hint="eastAsia" w:ascii="宋体" w:hAnsi="宋体" w:eastAsia="宋体" w:cs="Times New Roman"/>
          <w:szCs w:val="21"/>
        </w:rPr>
        <w:t>2、投标人是联合体的，联合体各成员均应在“授权委托书”上盖章（电子签名</w:t>
      </w:r>
      <w:r>
        <w:rPr>
          <w:rFonts w:ascii="宋体" w:hAnsi="宋体" w:eastAsia="宋体" w:cs="Times New Roman"/>
          <w:szCs w:val="21"/>
        </w:rPr>
        <w:t>/公章）</w:t>
      </w:r>
      <w:r>
        <w:rPr>
          <w:rFonts w:hint="eastAsia" w:ascii="宋体" w:hAnsi="宋体" w:eastAsia="宋体" w:cs="Times New Roman"/>
          <w:szCs w:val="21"/>
        </w:rPr>
        <w:t>。</w:t>
      </w:r>
    </w:p>
    <w:p w14:paraId="15DF1002">
      <w:pPr>
        <w:adjustRightInd w:val="0"/>
        <w:snapToGrid w:val="0"/>
        <w:spacing w:line="288" w:lineRule="auto"/>
        <w:rPr>
          <w:rFonts w:hint="eastAsia" w:ascii="宋体" w:hAnsi="宋体" w:eastAsia="宋体" w:cs="Times New Roman"/>
          <w:szCs w:val="21"/>
        </w:rPr>
      </w:pPr>
    </w:p>
    <w:p w14:paraId="15DF1003">
      <w:pPr>
        <w:adjustRightInd w:val="0"/>
        <w:snapToGrid w:val="0"/>
        <w:spacing w:line="288" w:lineRule="auto"/>
        <w:rPr>
          <w:rFonts w:hint="eastAsia" w:ascii="宋体" w:hAnsi="宋体" w:eastAsia="宋体" w:cs="Times New Roman"/>
          <w:szCs w:val="21"/>
        </w:rPr>
      </w:pPr>
    </w:p>
    <w:p w14:paraId="15DF1004">
      <w:pPr>
        <w:adjustRightInd w:val="0"/>
        <w:snapToGrid w:val="0"/>
        <w:spacing w:line="288" w:lineRule="auto"/>
        <w:jc w:val="center"/>
        <w:outlineLvl w:val="2"/>
        <w:rPr>
          <w:rFonts w:hint="eastAsia" w:ascii="宋体" w:hAnsi="宋体" w:eastAsia="宋体" w:cs="Times New Roman"/>
          <w:b/>
          <w:bCs/>
          <w:spacing w:val="-6"/>
          <w:szCs w:val="21"/>
        </w:rPr>
      </w:pPr>
      <w:r>
        <w:rPr>
          <w:rFonts w:hint="eastAsia" w:ascii="宋体" w:hAnsi="宋体" w:eastAsia="宋体" w:cs="Times New Roman"/>
          <w:b/>
          <w:bCs/>
          <w:szCs w:val="21"/>
        </w:rPr>
        <w:t>（2）法定代表人（单位负责人、自然人本人）</w:t>
      </w:r>
      <w:r>
        <w:rPr>
          <w:rFonts w:hint="eastAsia" w:ascii="宋体" w:hAnsi="宋体" w:eastAsia="宋体" w:cs="Times New Roman"/>
          <w:b/>
          <w:bCs/>
          <w:spacing w:val="-6"/>
          <w:szCs w:val="21"/>
        </w:rPr>
        <w:t>身份证明</w:t>
      </w:r>
    </w:p>
    <w:p w14:paraId="15DF1005">
      <w:pPr>
        <w:adjustRightInd w:val="0"/>
        <w:snapToGrid w:val="0"/>
        <w:spacing w:line="288" w:lineRule="auto"/>
        <w:ind w:firstLine="495" w:firstLineChars="236"/>
        <w:jc w:val="center"/>
        <w:rPr>
          <w:rFonts w:hint="eastAsia" w:ascii="宋体" w:hAnsi="宋体" w:eastAsia="宋体" w:cs="Times New Roman"/>
          <w:szCs w:val="21"/>
        </w:rPr>
      </w:pPr>
      <w:r>
        <w:rPr>
          <w:rFonts w:hint="eastAsia" w:ascii="宋体" w:hAnsi="宋体" w:eastAsia="宋体" w:cs="Times New Roman"/>
          <w:szCs w:val="21"/>
        </w:rPr>
        <w:t>（适用于：法定代表人（单位负责人、自然人本人）</w:t>
      </w:r>
      <w:r>
        <w:rPr>
          <w:rFonts w:hint="eastAsia" w:ascii="宋体" w:hAnsi="宋体" w:eastAsia="宋体" w:cs="Times New Roman"/>
          <w:spacing w:val="-6"/>
          <w:szCs w:val="21"/>
        </w:rPr>
        <w:t>代表投标人参加投标</w:t>
      </w:r>
      <w:r>
        <w:rPr>
          <w:rFonts w:hint="eastAsia" w:ascii="宋体" w:hAnsi="宋体" w:eastAsia="宋体" w:cs="Times New Roman"/>
          <w:szCs w:val="21"/>
        </w:rPr>
        <w:t>）</w:t>
      </w:r>
    </w:p>
    <w:p w14:paraId="15DF1006">
      <w:pPr>
        <w:adjustRightInd w:val="0"/>
        <w:snapToGrid w:val="0"/>
        <w:spacing w:line="288" w:lineRule="auto"/>
        <w:jc w:val="left"/>
        <w:rPr>
          <w:rFonts w:hint="eastAsia" w:ascii="宋体" w:hAnsi="宋体" w:eastAsia="宋体" w:cs="Times New Roman"/>
          <w:szCs w:val="21"/>
        </w:rPr>
      </w:pPr>
      <w:r>
        <w:rPr>
          <w:rFonts w:hint="eastAsia" w:ascii="宋体" w:hAnsi="宋体" w:eastAsia="宋体" w:cs="宋体"/>
          <w:bCs/>
          <w:szCs w:val="21"/>
        </w:rPr>
        <w:t>身份证件复印件</w:t>
      </w:r>
    </w:p>
    <w:tbl>
      <w:tblPr>
        <w:tblStyle w:val="108"/>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14:paraId="15DF1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39" w:hRule="atLeast"/>
        </w:trPr>
        <w:tc>
          <w:tcPr>
            <w:tcW w:w="4701" w:type="dxa"/>
          </w:tcPr>
          <w:p w14:paraId="15DF1007">
            <w:pPr>
              <w:adjustRightInd w:val="0"/>
              <w:snapToGrid w:val="0"/>
              <w:spacing w:line="288" w:lineRule="auto"/>
              <w:rPr>
                <w:rFonts w:hint="eastAsia" w:ascii="宋体" w:hAnsi="宋体" w:eastAsia="宋体" w:cs="宋体"/>
                <w:bCs/>
                <w:szCs w:val="21"/>
              </w:rPr>
            </w:pPr>
            <w:r>
              <w:rPr>
                <w:rFonts w:hint="eastAsia" w:ascii="宋体" w:hAnsi="宋体" w:eastAsia="宋体" w:cs="宋体"/>
                <w:bCs/>
                <w:szCs w:val="21"/>
              </w:rPr>
              <w:t>正面：</w:t>
            </w:r>
          </w:p>
        </w:tc>
        <w:tc>
          <w:tcPr>
            <w:tcW w:w="4701" w:type="dxa"/>
          </w:tcPr>
          <w:p w14:paraId="15DF1008">
            <w:pPr>
              <w:adjustRightInd w:val="0"/>
              <w:snapToGrid w:val="0"/>
              <w:spacing w:line="288" w:lineRule="auto"/>
              <w:rPr>
                <w:rFonts w:hint="eastAsia" w:ascii="宋体" w:hAnsi="宋体" w:eastAsia="宋体" w:cs="宋体"/>
                <w:bCs/>
                <w:szCs w:val="21"/>
              </w:rPr>
            </w:pPr>
            <w:r>
              <w:rPr>
                <w:rFonts w:hint="eastAsia" w:ascii="宋体" w:hAnsi="宋体" w:eastAsia="宋体" w:cs="宋体"/>
                <w:bCs/>
                <w:szCs w:val="21"/>
              </w:rPr>
              <w:t>反面：</w:t>
            </w:r>
          </w:p>
        </w:tc>
      </w:tr>
    </w:tbl>
    <w:p w14:paraId="15DF100A">
      <w:pPr>
        <w:adjustRightInd w:val="0"/>
        <w:snapToGrid w:val="0"/>
        <w:spacing w:line="288" w:lineRule="auto"/>
        <w:rPr>
          <w:rFonts w:ascii="Times New Roman" w:hAnsi="Times New Roman" w:eastAsia="宋体" w:cs="Times New Roman"/>
          <w:szCs w:val="21"/>
        </w:rPr>
      </w:pPr>
    </w:p>
    <w:p w14:paraId="15DF100B">
      <w:pPr>
        <w:widowControl/>
        <w:jc w:val="left"/>
        <w:rPr>
          <w:rFonts w:ascii="Times New Roman" w:hAnsi="Times New Roman" w:eastAsia="宋体" w:cs="Times New Roman"/>
          <w:szCs w:val="21"/>
        </w:rPr>
      </w:pPr>
      <w:r>
        <w:rPr>
          <w:rFonts w:ascii="Times New Roman" w:hAnsi="Times New Roman" w:eastAsia="宋体" w:cs="Times New Roman"/>
          <w:szCs w:val="21"/>
        </w:rPr>
        <w:br w:type="page"/>
      </w:r>
    </w:p>
    <w:p w14:paraId="15DF100C">
      <w:pPr>
        <w:adjustRightInd w:val="0"/>
        <w:snapToGrid w:val="0"/>
        <w:spacing w:line="288" w:lineRule="auto"/>
        <w:jc w:val="left"/>
        <w:outlineLvl w:val="2"/>
        <w:rPr>
          <w:rFonts w:hint="eastAsia" w:ascii="宋体" w:hAnsi="宋体" w:eastAsia="宋体" w:cs="Times New Roman"/>
          <w:b/>
          <w:bCs/>
          <w:szCs w:val="21"/>
        </w:rPr>
      </w:pPr>
      <w:r>
        <w:rPr>
          <w:rFonts w:hint="eastAsia" w:ascii="宋体" w:hAnsi="宋体" w:eastAsia="宋体" w:cs="Times New Roman"/>
          <w:b/>
          <w:bCs/>
          <w:szCs w:val="21"/>
        </w:rPr>
        <w:t>附：授权代表社保缴纳证明（2025年1月（含）以后任意一月）</w:t>
      </w:r>
    </w:p>
    <w:p w14:paraId="15DF100D">
      <w:pPr>
        <w:rPr>
          <w:rFonts w:ascii="Times New Roman" w:hAnsi="Times New Roman" w:eastAsia="宋体" w:cs="Times New Roman"/>
          <w:szCs w:val="21"/>
        </w:rPr>
      </w:pPr>
    </w:p>
    <w:p w14:paraId="15DF100E">
      <w:pPr>
        <w:adjustRightInd w:val="0"/>
        <w:snapToGrid w:val="0"/>
        <w:spacing w:line="288" w:lineRule="auto"/>
        <w:jc w:val="center"/>
        <w:rPr>
          <w:rFonts w:hint="eastAsia" w:ascii="宋体" w:hAnsi="宋体" w:eastAsia="宋体" w:cs="Times New Roman"/>
          <w:b/>
          <w:spacing w:val="-6"/>
          <w:szCs w:val="21"/>
        </w:rPr>
      </w:pPr>
      <w:r>
        <w:rPr>
          <w:rFonts w:ascii="宋体" w:hAnsi="宋体" w:eastAsia="宋体" w:cs="Times New Roman"/>
          <w:b/>
          <w:spacing w:val="-6"/>
          <w:szCs w:val="21"/>
        </w:rPr>
        <w:br w:type="page"/>
      </w:r>
    </w:p>
    <w:p w14:paraId="15DF100F">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3</w:t>
      </w:r>
      <w:r>
        <w:rPr>
          <w:rFonts w:hint="eastAsia" w:ascii="宋体" w:hAnsi="宋体" w:eastAsia="宋体" w:cs="宋体"/>
          <w:b/>
          <w:spacing w:val="-6"/>
          <w:szCs w:val="21"/>
        </w:rPr>
        <w:t>）投标人同类合同一览表</w:t>
      </w:r>
    </w:p>
    <w:tbl>
      <w:tblPr>
        <w:tblStyle w:val="23"/>
        <w:tblW w:w="962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0"/>
        <w:gridCol w:w="1133"/>
        <w:gridCol w:w="1441"/>
        <w:gridCol w:w="683"/>
        <w:gridCol w:w="1153"/>
        <w:gridCol w:w="829"/>
        <w:gridCol w:w="1556"/>
        <w:gridCol w:w="1983"/>
      </w:tblGrid>
      <w:tr w14:paraId="15DF10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15DF1010">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序号</w:t>
            </w:r>
          </w:p>
        </w:tc>
        <w:tc>
          <w:tcPr>
            <w:tcW w:w="1133" w:type="dxa"/>
            <w:tcBorders>
              <w:top w:val="single" w:color="auto" w:sz="4" w:space="0"/>
              <w:left w:val="single" w:color="auto" w:sz="4" w:space="0"/>
              <w:bottom w:val="single" w:color="auto" w:sz="4" w:space="0"/>
              <w:right w:val="single" w:color="auto" w:sz="4" w:space="0"/>
            </w:tcBorders>
            <w:vAlign w:val="center"/>
          </w:tcPr>
          <w:p w14:paraId="15DF1011">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采购人</w:t>
            </w:r>
          </w:p>
        </w:tc>
        <w:tc>
          <w:tcPr>
            <w:tcW w:w="1441" w:type="dxa"/>
            <w:tcBorders>
              <w:top w:val="single" w:color="auto" w:sz="4" w:space="0"/>
              <w:left w:val="single" w:color="auto" w:sz="4" w:space="0"/>
              <w:bottom w:val="single" w:color="auto" w:sz="4" w:space="0"/>
              <w:right w:val="single" w:color="auto" w:sz="4" w:space="0"/>
            </w:tcBorders>
            <w:vAlign w:val="center"/>
          </w:tcPr>
          <w:p w14:paraId="15DF1012">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项目名称</w:t>
            </w:r>
          </w:p>
        </w:tc>
        <w:tc>
          <w:tcPr>
            <w:tcW w:w="683" w:type="dxa"/>
            <w:tcBorders>
              <w:top w:val="single" w:color="auto" w:sz="4" w:space="0"/>
              <w:left w:val="single" w:color="auto" w:sz="4" w:space="0"/>
              <w:bottom w:val="single" w:color="auto" w:sz="4" w:space="0"/>
              <w:right w:val="single" w:color="auto" w:sz="4" w:space="0"/>
            </w:tcBorders>
            <w:vAlign w:val="center"/>
          </w:tcPr>
          <w:p w14:paraId="15DF1013">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数量</w:t>
            </w:r>
          </w:p>
        </w:tc>
        <w:tc>
          <w:tcPr>
            <w:tcW w:w="1153" w:type="dxa"/>
            <w:tcBorders>
              <w:top w:val="single" w:color="auto" w:sz="4" w:space="0"/>
              <w:left w:val="single" w:color="auto" w:sz="4" w:space="0"/>
              <w:bottom w:val="single" w:color="auto" w:sz="4" w:space="0"/>
              <w:right w:val="single" w:color="auto" w:sz="4" w:space="0"/>
            </w:tcBorders>
            <w:vAlign w:val="center"/>
          </w:tcPr>
          <w:p w14:paraId="15DF1014">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合同金额</w:t>
            </w:r>
          </w:p>
          <w:p w14:paraId="15DF1015">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（万元）</w:t>
            </w:r>
          </w:p>
        </w:tc>
        <w:tc>
          <w:tcPr>
            <w:tcW w:w="829" w:type="dxa"/>
            <w:tcBorders>
              <w:top w:val="single" w:color="auto" w:sz="4" w:space="0"/>
              <w:left w:val="single" w:color="auto" w:sz="4" w:space="0"/>
              <w:bottom w:val="single" w:color="auto" w:sz="4" w:space="0"/>
              <w:right w:val="single" w:color="auto" w:sz="4" w:space="0"/>
            </w:tcBorders>
            <w:vAlign w:val="center"/>
          </w:tcPr>
          <w:p w14:paraId="15DF1016">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附件页码</w:t>
            </w:r>
          </w:p>
        </w:tc>
        <w:tc>
          <w:tcPr>
            <w:tcW w:w="1556" w:type="dxa"/>
            <w:tcBorders>
              <w:top w:val="single" w:color="auto" w:sz="4" w:space="0"/>
              <w:left w:val="single" w:color="auto" w:sz="4" w:space="0"/>
              <w:bottom w:val="single" w:color="auto" w:sz="4" w:space="0"/>
              <w:right w:val="single" w:color="auto" w:sz="4" w:space="0"/>
            </w:tcBorders>
            <w:vAlign w:val="center"/>
          </w:tcPr>
          <w:p w14:paraId="15DF1017">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合同签订时间</w:t>
            </w:r>
          </w:p>
        </w:tc>
        <w:tc>
          <w:tcPr>
            <w:tcW w:w="1983" w:type="dxa"/>
            <w:tcBorders>
              <w:top w:val="single" w:color="auto" w:sz="4" w:space="0"/>
              <w:left w:val="single" w:color="auto" w:sz="4" w:space="0"/>
              <w:bottom w:val="single" w:color="auto" w:sz="4" w:space="0"/>
              <w:right w:val="single" w:color="auto" w:sz="4" w:space="0"/>
            </w:tcBorders>
            <w:vAlign w:val="center"/>
          </w:tcPr>
          <w:p w14:paraId="15DF1018">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采购人联系人</w:t>
            </w:r>
          </w:p>
          <w:p w14:paraId="15DF1019">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联系方式</w:t>
            </w:r>
          </w:p>
        </w:tc>
      </w:tr>
      <w:tr w14:paraId="15DF102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15DF101B">
            <w:pPr>
              <w:adjustRightInd w:val="0"/>
              <w:snapToGrid w:val="0"/>
              <w:spacing w:line="288" w:lineRule="auto"/>
              <w:rPr>
                <w:rFonts w:hint="eastAsia"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15DF101C">
            <w:pPr>
              <w:adjustRightInd w:val="0"/>
              <w:snapToGrid w:val="0"/>
              <w:spacing w:line="288" w:lineRule="auto"/>
              <w:rPr>
                <w:rFonts w:hint="eastAsia"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15DF101D">
            <w:pPr>
              <w:adjustRightInd w:val="0"/>
              <w:snapToGrid w:val="0"/>
              <w:spacing w:line="288" w:lineRule="auto"/>
              <w:rPr>
                <w:rFonts w:hint="eastAsia"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15DF101E">
            <w:pPr>
              <w:adjustRightInd w:val="0"/>
              <w:snapToGrid w:val="0"/>
              <w:spacing w:line="288" w:lineRule="auto"/>
              <w:rPr>
                <w:rFonts w:hint="eastAsia"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15DF101F">
            <w:pPr>
              <w:adjustRightInd w:val="0"/>
              <w:snapToGrid w:val="0"/>
              <w:spacing w:line="288" w:lineRule="auto"/>
              <w:rPr>
                <w:rFonts w:hint="eastAsia"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15DF1020">
            <w:pPr>
              <w:adjustRightInd w:val="0"/>
              <w:snapToGrid w:val="0"/>
              <w:spacing w:line="288" w:lineRule="auto"/>
              <w:rPr>
                <w:rFonts w:hint="eastAsia"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15DF1021">
            <w:pPr>
              <w:adjustRightInd w:val="0"/>
              <w:snapToGrid w:val="0"/>
              <w:spacing w:line="288" w:lineRule="auto"/>
              <w:rPr>
                <w:rFonts w:hint="eastAsia"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15DF1022">
            <w:pPr>
              <w:adjustRightInd w:val="0"/>
              <w:snapToGrid w:val="0"/>
              <w:spacing w:line="288" w:lineRule="auto"/>
              <w:rPr>
                <w:rFonts w:hint="eastAsia" w:ascii="宋体" w:hAnsi="宋体" w:eastAsia="宋体" w:cs="宋体"/>
                <w:b/>
                <w:bCs/>
                <w:szCs w:val="21"/>
              </w:rPr>
            </w:pPr>
          </w:p>
        </w:tc>
      </w:tr>
      <w:tr w14:paraId="15DF10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15DF1024">
            <w:pPr>
              <w:adjustRightInd w:val="0"/>
              <w:snapToGrid w:val="0"/>
              <w:spacing w:line="288" w:lineRule="auto"/>
              <w:rPr>
                <w:rFonts w:hint="eastAsia"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15DF1025">
            <w:pPr>
              <w:adjustRightInd w:val="0"/>
              <w:snapToGrid w:val="0"/>
              <w:spacing w:line="288" w:lineRule="auto"/>
              <w:rPr>
                <w:rFonts w:hint="eastAsia"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15DF1026">
            <w:pPr>
              <w:adjustRightInd w:val="0"/>
              <w:snapToGrid w:val="0"/>
              <w:spacing w:line="288" w:lineRule="auto"/>
              <w:rPr>
                <w:rFonts w:hint="eastAsia"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15DF1027">
            <w:pPr>
              <w:adjustRightInd w:val="0"/>
              <w:snapToGrid w:val="0"/>
              <w:spacing w:line="288" w:lineRule="auto"/>
              <w:rPr>
                <w:rFonts w:hint="eastAsia"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15DF1028">
            <w:pPr>
              <w:adjustRightInd w:val="0"/>
              <w:snapToGrid w:val="0"/>
              <w:spacing w:line="288" w:lineRule="auto"/>
              <w:rPr>
                <w:rFonts w:hint="eastAsia"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15DF1029">
            <w:pPr>
              <w:adjustRightInd w:val="0"/>
              <w:snapToGrid w:val="0"/>
              <w:spacing w:line="288" w:lineRule="auto"/>
              <w:rPr>
                <w:rFonts w:hint="eastAsia"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15DF102A">
            <w:pPr>
              <w:adjustRightInd w:val="0"/>
              <w:snapToGrid w:val="0"/>
              <w:spacing w:line="288" w:lineRule="auto"/>
              <w:rPr>
                <w:rFonts w:hint="eastAsia"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15DF102B">
            <w:pPr>
              <w:adjustRightInd w:val="0"/>
              <w:snapToGrid w:val="0"/>
              <w:spacing w:line="288" w:lineRule="auto"/>
              <w:rPr>
                <w:rFonts w:hint="eastAsia" w:ascii="宋体" w:hAnsi="宋体" w:eastAsia="宋体" w:cs="宋体"/>
                <w:b/>
                <w:bCs/>
                <w:szCs w:val="21"/>
              </w:rPr>
            </w:pPr>
          </w:p>
        </w:tc>
      </w:tr>
      <w:tr w14:paraId="15DF10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15DF102D">
            <w:pPr>
              <w:adjustRightInd w:val="0"/>
              <w:snapToGrid w:val="0"/>
              <w:spacing w:line="288" w:lineRule="auto"/>
              <w:rPr>
                <w:rFonts w:hint="eastAsia"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15DF102E">
            <w:pPr>
              <w:adjustRightInd w:val="0"/>
              <w:snapToGrid w:val="0"/>
              <w:spacing w:line="288" w:lineRule="auto"/>
              <w:rPr>
                <w:rFonts w:hint="eastAsia"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15DF102F">
            <w:pPr>
              <w:adjustRightInd w:val="0"/>
              <w:snapToGrid w:val="0"/>
              <w:spacing w:line="288" w:lineRule="auto"/>
              <w:rPr>
                <w:rFonts w:hint="eastAsia"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15DF1030">
            <w:pPr>
              <w:adjustRightInd w:val="0"/>
              <w:snapToGrid w:val="0"/>
              <w:spacing w:line="288" w:lineRule="auto"/>
              <w:rPr>
                <w:rFonts w:hint="eastAsia"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15DF1031">
            <w:pPr>
              <w:adjustRightInd w:val="0"/>
              <w:snapToGrid w:val="0"/>
              <w:spacing w:line="288" w:lineRule="auto"/>
              <w:rPr>
                <w:rFonts w:hint="eastAsia"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15DF1032">
            <w:pPr>
              <w:adjustRightInd w:val="0"/>
              <w:snapToGrid w:val="0"/>
              <w:spacing w:line="288" w:lineRule="auto"/>
              <w:rPr>
                <w:rFonts w:hint="eastAsia"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15DF1033">
            <w:pPr>
              <w:adjustRightInd w:val="0"/>
              <w:snapToGrid w:val="0"/>
              <w:spacing w:line="288" w:lineRule="auto"/>
              <w:rPr>
                <w:rFonts w:hint="eastAsia"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15DF1034">
            <w:pPr>
              <w:adjustRightInd w:val="0"/>
              <w:snapToGrid w:val="0"/>
              <w:spacing w:line="288" w:lineRule="auto"/>
              <w:rPr>
                <w:rFonts w:hint="eastAsia" w:ascii="宋体" w:hAnsi="宋体" w:eastAsia="宋体" w:cs="宋体"/>
                <w:b/>
                <w:bCs/>
                <w:szCs w:val="21"/>
              </w:rPr>
            </w:pPr>
          </w:p>
        </w:tc>
      </w:tr>
      <w:tr w14:paraId="15DF10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15DF1036">
            <w:pPr>
              <w:adjustRightInd w:val="0"/>
              <w:snapToGrid w:val="0"/>
              <w:spacing w:line="288" w:lineRule="auto"/>
              <w:rPr>
                <w:rFonts w:hint="eastAsia"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15DF1037">
            <w:pPr>
              <w:adjustRightInd w:val="0"/>
              <w:snapToGrid w:val="0"/>
              <w:spacing w:line="288" w:lineRule="auto"/>
              <w:rPr>
                <w:rFonts w:hint="eastAsia"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15DF1038">
            <w:pPr>
              <w:adjustRightInd w:val="0"/>
              <w:snapToGrid w:val="0"/>
              <w:spacing w:line="288" w:lineRule="auto"/>
              <w:rPr>
                <w:rFonts w:hint="eastAsia"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15DF1039">
            <w:pPr>
              <w:adjustRightInd w:val="0"/>
              <w:snapToGrid w:val="0"/>
              <w:spacing w:line="288" w:lineRule="auto"/>
              <w:rPr>
                <w:rFonts w:hint="eastAsia"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15DF103A">
            <w:pPr>
              <w:adjustRightInd w:val="0"/>
              <w:snapToGrid w:val="0"/>
              <w:spacing w:line="288" w:lineRule="auto"/>
              <w:rPr>
                <w:rFonts w:hint="eastAsia"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15DF103B">
            <w:pPr>
              <w:adjustRightInd w:val="0"/>
              <w:snapToGrid w:val="0"/>
              <w:spacing w:line="288" w:lineRule="auto"/>
              <w:rPr>
                <w:rFonts w:hint="eastAsia"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15DF103C">
            <w:pPr>
              <w:adjustRightInd w:val="0"/>
              <w:snapToGrid w:val="0"/>
              <w:spacing w:line="288" w:lineRule="auto"/>
              <w:rPr>
                <w:rFonts w:hint="eastAsia"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15DF103D">
            <w:pPr>
              <w:adjustRightInd w:val="0"/>
              <w:snapToGrid w:val="0"/>
              <w:spacing w:line="288" w:lineRule="auto"/>
              <w:rPr>
                <w:rFonts w:hint="eastAsia" w:ascii="宋体" w:hAnsi="宋体" w:eastAsia="宋体" w:cs="宋体"/>
                <w:b/>
                <w:bCs/>
                <w:szCs w:val="21"/>
              </w:rPr>
            </w:pPr>
          </w:p>
        </w:tc>
      </w:tr>
      <w:tr w14:paraId="15DF104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15DF103F">
            <w:pPr>
              <w:adjustRightInd w:val="0"/>
              <w:snapToGrid w:val="0"/>
              <w:spacing w:line="288" w:lineRule="auto"/>
              <w:rPr>
                <w:rFonts w:hint="eastAsia"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15DF1040">
            <w:pPr>
              <w:adjustRightInd w:val="0"/>
              <w:snapToGrid w:val="0"/>
              <w:spacing w:line="288" w:lineRule="auto"/>
              <w:rPr>
                <w:rFonts w:hint="eastAsia"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15DF1041">
            <w:pPr>
              <w:adjustRightInd w:val="0"/>
              <w:snapToGrid w:val="0"/>
              <w:spacing w:line="288" w:lineRule="auto"/>
              <w:rPr>
                <w:rFonts w:hint="eastAsia"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15DF1042">
            <w:pPr>
              <w:adjustRightInd w:val="0"/>
              <w:snapToGrid w:val="0"/>
              <w:spacing w:line="288" w:lineRule="auto"/>
              <w:rPr>
                <w:rFonts w:hint="eastAsia"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15DF1043">
            <w:pPr>
              <w:adjustRightInd w:val="0"/>
              <w:snapToGrid w:val="0"/>
              <w:spacing w:line="288" w:lineRule="auto"/>
              <w:rPr>
                <w:rFonts w:hint="eastAsia"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15DF1044">
            <w:pPr>
              <w:adjustRightInd w:val="0"/>
              <w:snapToGrid w:val="0"/>
              <w:spacing w:line="288" w:lineRule="auto"/>
              <w:rPr>
                <w:rFonts w:hint="eastAsia"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15DF1045">
            <w:pPr>
              <w:adjustRightInd w:val="0"/>
              <w:snapToGrid w:val="0"/>
              <w:spacing w:line="288" w:lineRule="auto"/>
              <w:rPr>
                <w:rFonts w:hint="eastAsia"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tcPr>
          <w:p w14:paraId="15DF1046">
            <w:pPr>
              <w:adjustRightInd w:val="0"/>
              <w:snapToGrid w:val="0"/>
              <w:spacing w:line="288" w:lineRule="auto"/>
              <w:rPr>
                <w:rFonts w:hint="eastAsia" w:ascii="宋体" w:hAnsi="宋体" w:eastAsia="宋体" w:cs="宋体"/>
                <w:b/>
                <w:bCs/>
                <w:szCs w:val="21"/>
              </w:rPr>
            </w:pPr>
          </w:p>
        </w:tc>
      </w:tr>
    </w:tbl>
    <w:p w14:paraId="15DF1048">
      <w:pPr>
        <w:adjustRightInd w:val="0"/>
        <w:snapToGrid w:val="0"/>
        <w:spacing w:line="288" w:lineRule="auto"/>
        <w:rPr>
          <w:rFonts w:hint="eastAsia" w:ascii="宋体" w:hAnsi="宋体" w:eastAsia="宋体" w:cs="Times New Roman"/>
          <w:szCs w:val="21"/>
        </w:rPr>
      </w:pPr>
    </w:p>
    <w:p w14:paraId="15DF1049">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说明：</w:t>
      </w:r>
    </w:p>
    <w:p w14:paraId="15DF104A">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1</w:t>
      </w:r>
      <w:r>
        <w:rPr>
          <w:rFonts w:ascii="宋体" w:hAnsi="宋体" w:eastAsia="宋体" w:cs="Times New Roman"/>
          <w:b/>
          <w:spacing w:val="-6"/>
          <w:szCs w:val="21"/>
        </w:rPr>
        <w:t>.</w:t>
      </w:r>
      <w:r>
        <w:rPr>
          <w:rFonts w:hint="eastAsia" w:ascii="宋体" w:hAnsi="宋体" w:eastAsia="宋体" w:cs="Times New Roman"/>
          <w:b/>
          <w:spacing w:val="-6"/>
          <w:szCs w:val="21"/>
        </w:rPr>
        <w:t>投标人须提供上述业绩合同扫描件；</w:t>
      </w:r>
    </w:p>
    <w:p w14:paraId="15DF104B">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2</w:t>
      </w:r>
      <w:r>
        <w:rPr>
          <w:rFonts w:ascii="宋体" w:hAnsi="宋体" w:eastAsia="宋体" w:cs="Times New Roman"/>
          <w:b/>
          <w:spacing w:val="-6"/>
          <w:szCs w:val="21"/>
        </w:rPr>
        <w:t>.</w:t>
      </w:r>
      <w:r>
        <w:rPr>
          <w:rFonts w:hint="eastAsia" w:ascii="宋体" w:hAnsi="宋体" w:eastAsia="宋体" w:cs="Times New Roman"/>
          <w:b/>
          <w:spacing w:val="-6"/>
          <w:szCs w:val="21"/>
        </w:rPr>
        <w:t>所有合同扫描件应清晰，应能体现合同签订时间、双方签名盖章等内容；</w:t>
      </w:r>
    </w:p>
    <w:p w14:paraId="15DF104C">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3</w:t>
      </w:r>
      <w:r>
        <w:rPr>
          <w:rFonts w:ascii="宋体" w:hAnsi="宋体" w:eastAsia="宋体" w:cs="Times New Roman"/>
          <w:b/>
          <w:spacing w:val="-6"/>
          <w:szCs w:val="21"/>
        </w:rPr>
        <w:t>.</w:t>
      </w:r>
      <w:r>
        <w:rPr>
          <w:rFonts w:hint="eastAsia" w:ascii="宋体" w:hAnsi="宋体" w:eastAsia="宋体" w:cs="Times New Roman"/>
          <w:b/>
          <w:spacing w:val="-6"/>
          <w:szCs w:val="21"/>
        </w:rPr>
        <w:t>投标人应在不涉及商业秘密的前提下尽可能提供详细的合同扫描件内容。</w:t>
      </w:r>
    </w:p>
    <w:p w14:paraId="15DF104D">
      <w:pPr>
        <w:adjustRightInd w:val="0"/>
        <w:snapToGrid w:val="0"/>
        <w:spacing w:line="288" w:lineRule="auto"/>
        <w:rPr>
          <w:rFonts w:hint="eastAsia" w:ascii="宋体" w:hAnsi="宋体" w:eastAsia="宋体" w:cs="Times New Roman"/>
          <w:spacing w:val="-6"/>
          <w:szCs w:val="21"/>
        </w:rPr>
      </w:pPr>
    </w:p>
    <w:p w14:paraId="15DF104E">
      <w:pPr>
        <w:adjustRightInd w:val="0"/>
        <w:snapToGrid w:val="0"/>
        <w:spacing w:line="288" w:lineRule="auto"/>
        <w:rPr>
          <w:rFonts w:hint="eastAsia" w:ascii="宋体" w:hAnsi="宋体" w:eastAsia="宋体" w:cs="Times New Roman"/>
          <w:spacing w:val="-6"/>
          <w:szCs w:val="21"/>
        </w:rPr>
      </w:pPr>
    </w:p>
    <w:p w14:paraId="15DF104F">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15DF1050">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15DF1051">
      <w:pPr>
        <w:adjustRightInd w:val="0"/>
        <w:snapToGrid w:val="0"/>
        <w:spacing w:line="288" w:lineRule="auto"/>
        <w:jc w:val="center"/>
        <w:outlineLvl w:val="2"/>
        <w:rPr>
          <w:rFonts w:hint="eastAsia" w:ascii="宋体" w:hAnsi="宋体" w:eastAsia="宋体" w:cs="Times New Roman"/>
          <w:b/>
          <w:szCs w:val="21"/>
        </w:rPr>
      </w:pPr>
      <w:r>
        <w:rPr>
          <w:rFonts w:hint="eastAsia" w:ascii="宋体" w:hAnsi="宋体" w:eastAsia="宋体" w:cs="Times New Roman"/>
          <w:spacing w:val="-6"/>
          <w:szCs w:val="21"/>
        </w:rPr>
        <w:br w:type="page"/>
      </w:r>
    </w:p>
    <w:p w14:paraId="15DF1052">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4</w:t>
      </w:r>
      <w:r>
        <w:rPr>
          <w:rFonts w:hint="eastAsia" w:ascii="宋体" w:hAnsi="宋体" w:eastAsia="宋体" w:cs="宋体"/>
          <w:b/>
          <w:spacing w:val="-6"/>
          <w:szCs w:val="21"/>
        </w:rPr>
        <w:t>）采购需求偏离表</w:t>
      </w:r>
    </w:p>
    <w:p w14:paraId="15DF1053">
      <w:pPr>
        <w:adjustRightInd w:val="0"/>
        <w:snapToGrid w:val="0"/>
        <w:spacing w:line="288" w:lineRule="auto"/>
        <w:rPr>
          <w:rFonts w:hint="eastAsia" w:ascii="宋体" w:hAnsi="宋体" w:eastAsia="宋体" w:cs="Times New Roman"/>
          <w:bCs/>
          <w:spacing w:val="-6"/>
          <w:szCs w:val="21"/>
        </w:rPr>
      </w:pPr>
      <w:r>
        <w:rPr>
          <w:rFonts w:hint="eastAsia" w:ascii="宋体" w:hAnsi="宋体" w:eastAsia="宋体" w:cs="Times New Roman"/>
          <w:bCs/>
          <w:spacing w:val="-6"/>
          <w:szCs w:val="21"/>
        </w:rPr>
        <w:t>采 购 人：杭州电子科技大学</w:t>
      </w:r>
    </w:p>
    <w:p w14:paraId="15DF1054">
      <w:pPr>
        <w:adjustRightInd w:val="0"/>
        <w:snapToGrid w:val="0"/>
        <w:spacing w:line="288" w:lineRule="auto"/>
        <w:rPr>
          <w:rFonts w:hint="eastAsia" w:ascii="宋体" w:hAnsi="宋体" w:eastAsia="宋体" w:cs="Times New Roman"/>
          <w:bCs/>
          <w:spacing w:val="-6"/>
          <w:szCs w:val="21"/>
        </w:rPr>
      </w:pPr>
      <w:r>
        <w:rPr>
          <w:rFonts w:hint="eastAsia" w:ascii="宋体" w:hAnsi="宋体" w:eastAsia="宋体" w:cs="Times New Roman"/>
          <w:bCs/>
          <w:spacing w:val="-6"/>
          <w:szCs w:val="21"/>
        </w:rPr>
        <w:t>项目名称：裸眼立体物理实验平台</w:t>
      </w:r>
    </w:p>
    <w:p w14:paraId="15DF1055">
      <w:pPr>
        <w:adjustRightInd w:val="0"/>
        <w:snapToGrid w:val="0"/>
        <w:spacing w:line="288" w:lineRule="auto"/>
        <w:rPr>
          <w:rFonts w:hint="eastAsia" w:ascii="宋体" w:hAnsi="宋体" w:eastAsia="宋体" w:cs="Times New Roman"/>
          <w:bCs/>
          <w:spacing w:val="-6"/>
          <w:szCs w:val="21"/>
          <w:lang w:eastAsia="zh-CN"/>
        </w:rPr>
      </w:pPr>
      <w:r>
        <w:rPr>
          <w:rFonts w:hint="eastAsia" w:ascii="宋体" w:hAnsi="宋体" w:eastAsia="宋体" w:cs="Times New Roman"/>
          <w:bCs/>
          <w:spacing w:val="-6"/>
          <w:szCs w:val="21"/>
        </w:rPr>
        <w:t>项目编号：</w:t>
      </w:r>
      <w:r>
        <w:rPr>
          <w:rFonts w:hint="eastAsia" w:ascii="宋体" w:hAnsi="宋体" w:eastAsia="宋体" w:cs="Times New Roman"/>
          <w:bCs/>
          <w:spacing w:val="-6"/>
          <w:szCs w:val="21"/>
          <w:lang w:eastAsia="zh-CN"/>
        </w:rPr>
        <w:t>QSZBB250272ZHGK</w:t>
      </w:r>
    </w:p>
    <w:tbl>
      <w:tblPr>
        <w:tblStyle w:val="23"/>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14:paraId="15DF1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14:paraId="15DF1056">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序号</w:t>
            </w:r>
          </w:p>
        </w:tc>
        <w:tc>
          <w:tcPr>
            <w:tcW w:w="4254" w:type="dxa"/>
            <w:tcBorders>
              <w:top w:val="single" w:color="auto" w:sz="4" w:space="0"/>
              <w:left w:val="single" w:color="auto" w:sz="4" w:space="0"/>
              <w:bottom w:val="single" w:color="auto" w:sz="4" w:space="0"/>
              <w:right w:val="single" w:color="auto" w:sz="4" w:space="0"/>
            </w:tcBorders>
            <w:vAlign w:val="center"/>
          </w:tcPr>
          <w:p w14:paraId="15DF1057">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招标文件要求</w:t>
            </w:r>
          </w:p>
        </w:tc>
        <w:tc>
          <w:tcPr>
            <w:tcW w:w="2574" w:type="dxa"/>
            <w:tcBorders>
              <w:top w:val="single" w:color="auto" w:sz="4" w:space="0"/>
              <w:left w:val="single" w:color="auto" w:sz="4" w:space="0"/>
              <w:bottom w:val="single" w:color="auto" w:sz="4" w:space="0"/>
              <w:right w:val="single" w:color="auto" w:sz="4" w:space="0"/>
            </w:tcBorders>
            <w:vAlign w:val="center"/>
          </w:tcPr>
          <w:p w14:paraId="15DF1058">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响应规格</w:t>
            </w:r>
          </w:p>
        </w:tc>
        <w:tc>
          <w:tcPr>
            <w:tcW w:w="2124" w:type="dxa"/>
            <w:tcBorders>
              <w:top w:val="single" w:color="auto" w:sz="4" w:space="0"/>
              <w:left w:val="single" w:color="auto" w:sz="4" w:space="0"/>
              <w:bottom w:val="single" w:color="auto" w:sz="4" w:space="0"/>
              <w:right w:val="single" w:color="auto" w:sz="4" w:space="0"/>
            </w:tcBorders>
            <w:vAlign w:val="center"/>
          </w:tcPr>
          <w:p w14:paraId="15DF1059">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是否偏离（提供说明）</w:t>
            </w:r>
          </w:p>
        </w:tc>
      </w:tr>
      <w:tr w14:paraId="15DF1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15DF105B">
            <w:pPr>
              <w:adjustRightInd w:val="0"/>
              <w:snapToGrid w:val="0"/>
              <w:spacing w:line="288" w:lineRule="auto"/>
              <w:rPr>
                <w:rFonts w:hint="eastAsia" w:ascii="宋体" w:hAnsi="宋体" w:eastAsia="宋体" w:cs="宋体"/>
                <w:szCs w:val="21"/>
              </w:rPr>
            </w:pPr>
            <w:r>
              <w:rPr>
                <w:rFonts w:hint="eastAsia" w:ascii="宋体" w:hAnsi="宋体" w:eastAsia="宋体" w:cs="宋体"/>
                <w:b/>
                <w:bCs/>
                <w:szCs w:val="21"/>
              </w:rPr>
              <w:t>采购资金的支付方式、时间、条件</w:t>
            </w:r>
          </w:p>
        </w:tc>
      </w:tr>
      <w:tr w14:paraId="15DF1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5DF105D">
            <w:pPr>
              <w:adjustRightInd w:val="0"/>
              <w:snapToGrid w:val="0"/>
              <w:spacing w:line="288" w:lineRule="auto"/>
              <w:jc w:val="center"/>
              <w:rPr>
                <w:rFonts w:hint="eastAsia" w:ascii="宋体" w:hAnsi="宋体" w:eastAsia="宋体" w:cs="宋体"/>
                <w:szCs w:val="21"/>
              </w:rPr>
            </w:pPr>
            <w:r>
              <w:rPr>
                <w:rFonts w:hint="eastAsia" w:ascii="宋体" w:hAnsi="宋体" w:eastAsia="宋体" w:cs="宋体"/>
                <w:szCs w:val="21"/>
              </w:rPr>
              <w:t>1</w:t>
            </w:r>
          </w:p>
        </w:tc>
        <w:tc>
          <w:tcPr>
            <w:tcW w:w="4254" w:type="dxa"/>
            <w:vAlign w:val="center"/>
          </w:tcPr>
          <w:p w14:paraId="15DF105E">
            <w:pPr>
              <w:adjustRightInd w:val="0"/>
              <w:snapToGrid w:val="0"/>
              <w:spacing w:line="288" w:lineRule="auto"/>
              <w:rPr>
                <w:rFonts w:hint="eastAsia" w:ascii="宋体" w:hAnsi="宋体" w:eastAsia="宋体" w:cs="宋体"/>
                <w:szCs w:val="21"/>
              </w:rPr>
            </w:pPr>
          </w:p>
        </w:tc>
        <w:tc>
          <w:tcPr>
            <w:tcW w:w="2574" w:type="dxa"/>
            <w:vAlign w:val="center"/>
          </w:tcPr>
          <w:p w14:paraId="15DF105F">
            <w:pPr>
              <w:adjustRightInd w:val="0"/>
              <w:snapToGrid w:val="0"/>
              <w:spacing w:line="288" w:lineRule="auto"/>
              <w:rPr>
                <w:rFonts w:hint="eastAsia" w:ascii="宋体" w:hAnsi="宋体" w:eastAsia="宋体" w:cs="宋体"/>
                <w:szCs w:val="21"/>
              </w:rPr>
            </w:pPr>
          </w:p>
        </w:tc>
        <w:tc>
          <w:tcPr>
            <w:tcW w:w="2124" w:type="dxa"/>
            <w:vAlign w:val="center"/>
          </w:tcPr>
          <w:p w14:paraId="15DF1060">
            <w:pPr>
              <w:adjustRightInd w:val="0"/>
              <w:snapToGrid w:val="0"/>
              <w:spacing w:line="288" w:lineRule="auto"/>
              <w:rPr>
                <w:rFonts w:hint="eastAsia" w:ascii="宋体" w:hAnsi="宋体" w:eastAsia="宋体" w:cs="宋体"/>
                <w:szCs w:val="21"/>
              </w:rPr>
            </w:pPr>
          </w:p>
        </w:tc>
      </w:tr>
      <w:tr w14:paraId="15DF1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5DF1062">
            <w:pPr>
              <w:adjustRightInd w:val="0"/>
              <w:snapToGrid w:val="0"/>
              <w:spacing w:line="288" w:lineRule="auto"/>
              <w:jc w:val="center"/>
              <w:rPr>
                <w:rFonts w:hint="eastAsia" w:ascii="宋体" w:hAnsi="宋体" w:eastAsia="宋体" w:cs="宋体"/>
                <w:szCs w:val="21"/>
              </w:rPr>
            </w:pPr>
            <w:r>
              <w:rPr>
                <w:rFonts w:hint="eastAsia" w:ascii="宋体" w:hAnsi="宋体" w:eastAsia="宋体" w:cs="宋体"/>
                <w:szCs w:val="21"/>
              </w:rPr>
              <w:t>2</w:t>
            </w:r>
          </w:p>
        </w:tc>
        <w:tc>
          <w:tcPr>
            <w:tcW w:w="4254" w:type="dxa"/>
            <w:vAlign w:val="center"/>
          </w:tcPr>
          <w:p w14:paraId="15DF1063">
            <w:pPr>
              <w:adjustRightInd w:val="0"/>
              <w:snapToGrid w:val="0"/>
              <w:spacing w:line="288" w:lineRule="auto"/>
              <w:rPr>
                <w:rFonts w:hint="eastAsia" w:ascii="宋体" w:hAnsi="宋体" w:eastAsia="宋体" w:cs="宋体"/>
                <w:szCs w:val="21"/>
              </w:rPr>
            </w:pPr>
          </w:p>
        </w:tc>
        <w:tc>
          <w:tcPr>
            <w:tcW w:w="2574" w:type="dxa"/>
            <w:vAlign w:val="center"/>
          </w:tcPr>
          <w:p w14:paraId="15DF1064">
            <w:pPr>
              <w:adjustRightInd w:val="0"/>
              <w:snapToGrid w:val="0"/>
              <w:spacing w:line="288" w:lineRule="auto"/>
              <w:rPr>
                <w:rFonts w:hint="eastAsia" w:ascii="宋体" w:hAnsi="宋体" w:eastAsia="宋体" w:cs="宋体"/>
                <w:szCs w:val="21"/>
              </w:rPr>
            </w:pPr>
          </w:p>
        </w:tc>
        <w:tc>
          <w:tcPr>
            <w:tcW w:w="2124" w:type="dxa"/>
            <w:vAlign w:val="center"/>
          </w:tcPr>
          <w:p w14:paraId="15DF1065">
            <w:pPr>
              <w:adjustRightInd w:val="0"/>
              <w:snapToGrid w:val="0"/>
              <w:spacing w:line="288" w:lineRule="auto"/>
              <w:rPr>
                <w:rFonts w:hint="eastAsia" w:ascii="宋体" w:hAnsi="宋体" w:eastAsia="宋体" w:cs="宋体"/>
                <w:szCs w:val="21"/>
              </w:rPr>
            </w:pPr>
          </w:p>
        </w:tc>
      </w:tr>
      <w:tr w14:paraId="15DF1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5DF1067">
            <w:pPr>
              <w:adjustRightInd w:val="0"/>
              <w:snapToGrid w:val="0"/>
              <w:spacing w:line="288" w:lineRule="auto"/>
              <w:jc w:val="center"/>
              <w:rPr>
                <w:rFonts w:hint="eastAsia" w:ascii="宋体" w:hAnsi="宋体" w:eastAsia="宋体" w:cs="宋体"/>
                <w:szCs w:val="21"/>
              </w:rPr>
            </w:pPr>
            <w:r>
              <w:rPr>
                <w:rFonts w:hint="eastAsia" w:ascii="宋体" w:hAnsi="宋体" w:eastAsia="宋体" w:cs="宋体"/>
                <w:szCs w:val="21"/>
              </w:rPr>
              <w:t>……</w:t>
            </w:r>
          </w:p>
        </w:tc>
        <w:tc>
          <w:tcPr>
            <w:tcW w:w="4254" w:type="dxa"/>
            <w:vAlign w:val="center"/>
          </w:tcPr>
          <w:p w14:paraId="15DF1068">
            <w:pPr>
              <w:adjustRightInd w:val="0"/>
              <w:snapToGrid w:val="0"/>
              <w:spacing w:line="288" w:lineRule="auto"/>
              <w:rPr>
                <w:rFonts w:hint="eastAsia" w:ascii="宋体" w:hAnsi="宋体" w:eastAsia="宋体" w:cs="宋体"/>
                <w:szCs w:val="21"/>
              </w:rPr>
            </w:pPr>
          </w:p>
        </w:tc>
        <w:tc>
          <w:tcPr>
            <w:tcW w:w="2574" w:type="dxa"/>
            <w:vAlign w:val="center"/>
          </w:tcPr>
          <w:p w14:paraId="15DF1069">
            <w:pPr>
              <w:adjustRightInd w:val="0"/>
              <w:snapToGrid w:val="0"/>
              <w:spacing w:line="288" w:lineRule="auto"/>
              <w:rPr>
                <w:rFonts w:hint="eastAsia" w:ascii="宋体" w:hAnsi="宋体" w:eastAsia="宋体" w:cs="宋体"/>
                <w:szCs w:val="21"/>
              </w:rPr>
            </w:pPr>
          </w:p>
        </w:tc>
        <w:tc>
          <w:tcPr>
            <w:tcW w:w="2124" w:type="dxa"/>
            <w:vAlign w:val="center"/>
          </w:tcPr>
          <w:p w14:paraId="15DF106A">
            <w:pPr>
              <w:adjustRightInd w:val="0"/>
              <w:snapToGrid w:val="0"/>
              <w:spacing w:line="288" w:lineRule="auto"/>
              <w:rPr>
                <w:rFonts w:hint="eastAsia" w:ascii="宋体" w:hAnsi="宋体" w:eastAsia="宋体" w:cs="宋体"/>
                <w:szCs w:val="21"/>
              </w:rPr>
            </w:pPr>
          </w:p>
        </w:tc>
      </w:tr>
      <w:tr w14:paraId="15DF1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15DF106C">
            <w:pPr>
              <w:adjustRightInd w:val="0"/>
              <w:snapToGrid w:val="0"/>
              <w:spacing w:line="288" w:lineRule="auto"/>
              <w:rPr>
                <w:rFonts w:hint="eastAsia" w:ascii="宋体" w:hAnsi="宋体" w:eastAsia="宋体" w:cs="宋体"/>
                <w:szCs w:val="21"/>
              </w:rPr>
            </w:pPr>
            <w:r>
              <w:rPr>
                <w:rFonts w:hint="eastAsia" w:ascii="宋体" w:hAnsi="宋体" w:eastAsia="宋体" w:cs="宋体"/>
                <w:b/>
                <w:bCs/>
                <w:szCs w:val="21"/>
              </w:rPr>
              <w:t>服务要求</w:t>
            </w:r>
          </w:p>
        </w:tc>
      </w:tr>
      <w:tr w14:paraId="15DF1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5DF106E">
            <w:pPr>
              <w:adjustRightInd w:val="0"/>
              <w:snapToGrid w:val="0"/>
              <w:spacing w:line="288" w:lineRule="auto"/>
              <w:jc w:val="center"/>
              <w:rPr>
                <w:rFonts w:hint="eastAsia" w:ascii="宋体" w:hAnsi="宋体" w:eastAsia="宋体" w:cs="宋体"/>
                <w:szCs w:val="21"/>
              </w:rPr>
            </w:pPr>
            <w:r>
              <w:rPr>
                <w:rFonts w:hint="eastAsia" w:ascii="宋体" w:hAnsi="宋体" w:eastAsia="宋体" w:cs="宋体"/>
                <w:szCs w:val="21"/>
              </w:rPr>
              <w:t>1</w:t>
            </w:r>
          </w:p>
        </w:tc>
        <w:tc>
          <w:tcPr>
            <w:tcW w:w="4254" w:type="dxa"/>
            <w:vAlign w:val="center"/>
          </w:tcPr>
          <w:p w14:paraId="15DF106F">
            <w:pPr>
              <w:adjustRightInd w:val="0"/>
              <w:snapToGrid w:val="0"/>
              <w:spacing w:line="288" w:lineRule="auto"/>
              <w:jc w:val="left"/>
              <w:rPr>
                <w:rFonts w:hint="eastAsia" w:ascii="宋体" w:hAnsi="宋体" w:eastAsia="宋体" w:cs="宋体"/>
                <w:szCs w:val="21"/>
              </w:rPr>
            </w:pPr>
          </w:p>
        </w:tc>
        <w:tc>
          <w:tcPr>
            <w:tcW w:w="2574" w:type="dxa"/>
            <w:vAlign w:val="center"/>
          </w:tcPr>
          <w:p w14:paraId="15DF1070">
            <w:pPr>
              <w:adjustRightInd w:val="0"/>
              <w:snapToGrid w:val="0"/>
              <w:spacing w:line="288" w:lineRule="auto"/>
              <w:jc w:val="left"/>
              <w:rPr>
                <w:rFonts w:hint="eastAsia" w:ascii="宋体" w:hAnsi="宋体" w:eastAsia="宋体" w:cs="宋体"/>
                <w:szCs w:val="21"/>
              </w:rPr>
            </w:pPr>
          </w:p>
        </w:tc>
        <w:tc>
          <w:tcPr>
            <w:tcW w:w="2124" w:type="dxa"/>
            <w:vAlign w:val="center"/>
          </w:tcPr>
          <w:p w14:paraId="15DF1071">
            <w:pPr>
              <w:adjustRightInd w:val="0"/>
              <w:snapToGrid w:val="0"/>
              <w:spacing w:line="288" w:lineRule="auto"/>
              <w:jc w:val="left"/>
              <w:rPr>
                <w:rFonts w:hint="eastAsia" w:ascii="宋体" w:hAnsi="宋体" w:eastAsia="宋体" w:cs="宋体"/>
                <w:szCs w:val="21"/>
              </w:rPr>
            </w:pPr>
          </w:p>
        </w:tc>
      </w:tr>
      <w:tr w14:paraId="15DF1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5DF1073">
            <w:pPr>
              <w:adjustRightInd w:val="0"/>
              <w:snapToGrid w:val="0"/>
              <w:spacing w:line="288" w:lineRule="auto"/>
              <w:jc w:val="center"/>
              <w:rPr>
                <w:rFonts w:hint="eastAsia" w:ascii="宋体" w:hAnsi="宋体" w:eastAsia="宋体" w:cs="宋体"/>
                <w:szCs w:val="21"/>
              </w:rPr>
            </w:pPr>
            <w:r>
              <w:rPr>
                <w:rFonts w:hint="eastAsia" w:ascii="宋体" w:hAnsi="宋体" w:eastAsia="宋体" w:cs="宋体"/>
                <w:szCs w:val="21"/>
              </w:rPr>
              <w:t>2</w:t>
            </w:r>
          </w:p>
        </w:tc>
        <w:tc>
          <w:tcPr>
            <w:tcW w:w="4254" w:type="dxa"/>
            <w:vAlign w:val="center"/>
          </w:tcPr>
          <w:p w14:paraId="15DF1074">
            <w:pPr>
              <w:adjustRightInd w:val="0"/>
              <w:snapToGrid w:val="0"/>
              <w:spacing w:line="288" w:lineRule="auto"/>
              <w:jc w:val="left"/>
              <w:rPr>
                <w:rFonts w:hint="eastAsia" w:ascii="宋体" w:hAnsi="宋体" w:eastAsia="宋体" w:cs="宋体"/>
                <w:szCs w:val="21"/>
              </w:rPr>
            </w:pPr>
          </w:p>
        </w:tc>
        <w:tc>
          <w:tcPr>
            <w:tcW w:w="2574" w:type="dxa"/>
            <w:vAlign w:val="center"/>
          </w:tcPr>
          <w:p w14:paraId="15DF1075">
            <w:pPr>
              <w:adjustRightInd w:val="0"/>
              <w:snapToGrid w:val="0"/>
              <w:spacing w:line="288" w:lineRule="auto"/>
              <w:jc w:val="left"/>
              <w:rPr>
                <w:rFonts w:hint="eastAsia" w:ascii="宋体" w:hAnsi="宋体" w:eastAsia="宋体" w:cs="宋体"/>
                <w:szCs w:val="21"/>
              </w:rPr>
            </w:pPr>
          </w:p>
        </w:tc>
        <w:tc>
          <w:tcPr>
            <w:tcW w:w="2124" w:type="dxa"/>
            <w:vAlign w:val="center"/>
          </w:tcPr>
          <w:p w14:paraId="15DF1076">
            <w:pPr>
              <w:adjustRightInd w:val="0"/>
              <w:snapToGrid w:val="0"/>
              <w:spacing w:line="288" w:lineRule="auto"/>
              <w:jc w:val="left"/>
              <w:rPr>
                <w:rFonts w:hint="eastAsia" w:ascii="宋体" w:hAnsi="宋体" w:eastAsia="宋体" w:cs="宋体"/>
                <w:szCs w:val="21"/>
              </w:rPr>
            </w:pPr>
          </w:p>
        </w:tc>
      </w:tr>
      <w:tr w14:paraId="15DF1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5DF1078">
            <w:pPr>
              <w:adjustRightInd w:val="0"/>
              <w:snapToGrid w:val="0"/>
              <w:spacing w:line="288" w:lineRule="auto"/>
              <w:jc w:val="center"/>
              <w:rPr>
                <w:rFonts w:hint="eastAsia" w:ascii="宋体" w:hAnsi="宋体" w:eastAsia="宋体" w:cs="宋体"/>
                <w:szCs w:val="21"/>
              </w:rPr>
            </w:pPr>
            <w:r>
              <w:rPr>
                <w:rFonts w:hint="eastAsia" w:ascii="宋体" w:hAnsi="宋体" w:eastAsia="宋体" w:cs="宋体"/>
                <w:szCs w:val="21"/>
              </w:rPr>
              <w:t>……</w:t>
            </w:r>
          </w:p>
        </w:tc>
        <w:tc>
          <w:tcPr>
            <w:tcW w:w="4254" w:type="dxa"/>
            <w:vAlign w:val="center"/>
          </w:tcPr>
          <w:p w14:paraId="15DF1079">
            <w:pPr>
              <w:adjustRightInd w:val="0"/>
              <w:snapToGrid w:val="0"/>
              <w:spacing w:line="288" w:lineRule="auto"/>
              <w:jc w:val="left"/>
              <w:rPr>
                <w:rFonts w:hint="eastAsia" w:ascii="宋体" w:hAnsi="宋体" w:eastAsia="宋体" w:cs="宋体"/>
                <w:szCs w:val="21"/>
              </w:rPr>
            </w:pPr>
          </w:p>
        </w:tc>
        <w:tc>
          <w:tcPr>
            <w:tcW w:w="2574" w:type="dxa"/>
            <w:vAlign w:val="center"/>
          </w:tcPr>
          <w:p w14:paraId="15DF107A">
            <w:pPr>
              <w:adjustRightInd w:val="0"/>
              <w:snapToGrid w:val="0"/>
              <w:spacing w:line="288" w:lineRule="auto"/>
              <w:jc w:val="left"/>
              <w:rPr>
                <w:rFonts w:hint="eastAsia" w:ascii="宋体" w:hAnsi="宋体" w:eastAsia="宋体" w:cs="宋体"/>
                <w:szCs w:val="21"/>
              </w:rPr>
            </w:pPr>
          </w:p>
        </w:tc>
        <w:tc>
          <w:tcPr>
            <w:tcW w:w="2124" w:type="dxa"/>
            <w:vAlign w:val="center"/>
          </w:tcPr>
          <w:p w14:paraId="15DF107B">
            <w:pPr>
              <w:adjustRightInd w:val="0"/>
              <w:snapToGrid w:val="0"/>
              <w:spacing w:line="288" w:lineRule="auto"/>
              <w:jc w:val="left"/>
              <w:rPr>
                <w:rFonts w:hint="eastAsia" w:ascii="宋体" w:hAnsi="宋体" w:eastAsia="宋体" w:cs="宋体"/>
                <w:szCs w:val="21"/>
              </w:rPr>
            </w:pPr>
          </w:p>
        </w:tc>
      </w:tr>
      <w:tr w14:paraId="15DF1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15DF107D">
            <w:pPr>
              <w:adjustRightInd w:val="0"/>
              <w:snapToGrid w:val="0"/>
              <w:spacing w:line="288" w:lineRule="auto"/>
              <w:rPr>
                <w:rFonts w:hint="eastAsia" w:ascii="宋体" w:hAnsi="宋体" w:eastAsia="宋体" w:cs="宋体"/>
                <w:b/>
                <w:bCs/>
                <w:szCs w:val="21"/>
              </w:rPr>
            </w:pPr>
            <w:r>
              <w:rPr>
                <w:rFonts w:hint="eastAsia" w:ascii="宋体" w:hAnsi="宋体" w:eastAsia="宋体" w:cs="宋体"/>
                <w:b/>
                <w:bCs/>
                <w:szCs w:val="21"/>
              </w:rPr>
              <w:t>技术要求</w:t>
            </w:r>
          </w:p>
        </w:tc>
      </w:tr>
      <w:tr w14:paraId="15DF1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5DF107F">
            <w:pPr>
              <w:adjustRightInd w:val="0"/>
              <w:snapToGrid w:val="0"/>
              <w:spacing w:line="288" w:lineRule="auto"/>
              <w:jc w:val="center"/>
              <w:rPr>
                <w:rFonts w:hint="eastAsia" w:ascii="宋体" w:hAnsi="宋体" w:eastAsia="宋体" w:cs="宋体"/>
                <w:szCs w:val="21"/>
              </w:rPr>
            </w:pPr>
            <w:r>
              <w:rPr>
                <w:rFonts w:hint="eastAsia" w:ascii="宋体" w:hAnsi="宋体" w:eastAsia="宋体" w:cs="宋体"/>
                <w:szCs w:val="21"/>
              </w:rPr>
              <w:t>1</w:t>
            </w:r>
          </w:p>
        </w:tc>
        <w:tc>
          <w:tcPr>
            <w:tcW w:w="4254" w:type="dxa"/>
            <w:vAlign w:val="center"/>
          </w:tcPr>
          <w:p w14:paraId="15DF1080">
            <w:pPr>
              <w:adjustRightInd w:val="0"/>
              <w:snapToGrid w:val="0"/>
              <w:spacing w:line="288" w:lineRule="auto"/>
              <w:rPr>
                <w:rFonts w:hint="eastAsia" w:ascii="宋体" w:hAnsi="宋体" w:eastAsia="宋体" w:cs="宋体"/>
                <w:szCs w:val="21"/>
              </w:rPr>
            </w:pPr>
          </w:p>
        </w:tc>
        <w:tc>
          <w:tcPr>
            <w:tcW w:w="2574" w:type="dxa"/>
            <w:vAlign w:val="center"/>
          </w:tcPr>
          <w:p w14:paraId="15DF1081">
            <w:pPr>
              <w:adjustRightInd w:val="0"/>
              <w:snapToGrid w:val="0"/>
              <w:spacing w:line="288" w:lineRule="auto"/>
              <w:rPr>
                <w:rFonts w:hint="eastAsia" w:ascii="宋体" w:hAnsi="宋体" w:eastAsia="宋体" w:cs="宋体"/>
                <w:szCs w:val="21"/>
              </w:rPr>
            </w:pPr>
          </w:p>
        </w:tc>
        <w:tc>
          <w:tcPr>
            <w:tcW w:w="2124" w:type="dxa"/>
            <w:vAlign w:val="center"/>
          </w:tcPr>
          <w:p w14:paraId="15DF1082">
            <w:pPr>
              <w:adjustRightInd w:val="0"/>
              <w:snapToGrid w:val="0"/>
              <w:spacing w:line="288" w:lineRule="auto"/>
              <w:rPr>
                <w:rFonts w:hint="eastAsia" w:ascii="宋体" w:hAnsi="宋体" w:eastAsia="宋体" w:cs="宋体"/>
                <w:szCs w:val="21"/>
              </w:rPr>
            </w:pPr>
          </w:p>
        </w:tc>
      </w:tr>
      <w:tr w14:paraId="15DF1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5DF1084">
            <w:pPr>
              <w:adjustRightInd w:val="0"/>
              <w:snapToGrid w:val="0"/>
              <w:spacing w:line="288" w:lineRule="auto"/>
              <w:jc w:val="center"/>
              <w:rPr>
                <w:rFonts w:hint="eastAsia" w:ascii="宋体" w:hAnsi="宋体" w:eastAsia="宋体" w:cs="宋体"/>
                <w:szCs w:val="21"/>
              </w:rPr>
            </w:pPr>
            <w:r>
              <w:rPr>
                <w:rFonts w:hint="eastAsia" w:ascii="宋体" w:hAnsi="宋体" w:eastAsia="宋体" w:cs="宋体"/>
                <w:szCs w:val="21"/>
              </w:rPr>
              <w:t>2</w:t>
            </w:r>
          </w:p>
        </w:tc>
        <w:tc>
          <w:tcPr>
            <w:tcW w:w="4254" w:type="dxa"/>
            <w:vAlign w:val="center"/>
          </w:tcPr>
          <w:p w14:paraId="15DF1085">
            <w:pPr>
              <w:adjustRightInd w:val="0"/>
              <w:snapToGrid w:val="0"/>
              <w:spacing w:line="288" w:lineRule="auto"/>
              <w:rPr>
                <w:rFonts w:hint="eastAsia" w:ascii="宋体" w:hAnsi="宋体" w:eastAsia="宋体" w:cs="宋体"/>
                <w:szCs w:val="21"/>
              </w:rPr>
            </w:pPr>
          </w:p>
        </w:tc>
        <w:tc>
          <w:tcPr>
            <w:tcW w:w="2574" w:type="dxa"/>
            <w:vAlign w:val="center"/>
          </w:tcPr>
          <w:p w14:paraId="15DF1086">
            <w:pPr>
              <w:adjustRightInd w:val="0"/>
              <w:snapToGrid w:val="0"/>
              <w:spacing w:line="288" w:lineRule="auto"/>
              <w:rPr>
                <w:rFonts w:hint="eastAsia" w:ascii="宋体" w:hAnsi="宋体" w:eastAsia="宋体" w:cs="宋体"/>
                <w:szCs w:val="21"/>
              </w:rPr>
            </w:pPr>
          </w:p>
        </w:tc>
        <w:tc>
          <w:tcPr>
            <w:tcW w:w="2124" w:type="dxa"/>
            <w:vAlign w:val="center"/>
          </w:tcPr>
          <w:p w14:paraId="15DF1087">
            <w:pPr>
              <w:adjustRightInd w:val="0"/>
              <w:snapToGrid w:val="0"/>
              <w:spacing w:line="288" w:lineRule="auto"/>
              <w:rPr>
                <w:rFonts w:hint="eastAsia" w:ascii="宋体" w:hAnsi="宋体" w:eastAsia="宋体" w:cs="宋体"/>
                <w:szCs w:val="21"/>
              </w:rPr>
            </w:pPr>
          </w:p>
        </w:tc>
      </w:tr>
      <w:tr w14:paraId="15DF1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5DF1089">
            <w:pPr>
              <w:adjustRightInd w:val="0"/>
              <w:snapToGrid w:val="0"/>
              <w:spacing w:line="288" w:lineRule="auto"/>
              <w:jc w:val="center"/>
              <w:rPr>
                <w:rFonts w:hint="eastAsia" w:ascii="宋体" w:hAnsi="宋体" w:eastAsia="宋体" w:cs="宋体"/>
                <w:szCs w:val="21"/>
              </w:rPr>
            </w:pPr>
            <w:r>
              <w:rPr>
                <w:rFonts w:hint="eastAsia" w:ascii="宋体" w:hAnsi="宋体" w:eastAsia="宋体" w:cs="宋体"/>
                <w:szCs w:val="21"/>
              </w:rPr>
              <w:t>……</w:t>
            </w:r>
          </w:p>
        </w:tc>
        <w:tc>
          <w:tcPr>
            <w:tcW w:w="4254" w:type="dxa"/>
            <w:vAlign w:val="center"/>
          </w:tcPr>
          <w:p w14:paraId="15DF108A">
            <w:pPr>
              <w:adjustRightInd w:val="0"/>
              <w:snapToGrid w:val="0"/>
              <w:spacing w:line="288" w:lineRule="auto"/>
              <w:rPr>
                <w:rFonts w:hint="eastAsia" w:ascii="宋体" w:hAnsi="宋体" w:eastAsia="宋体" w:cs="宋体"/>
                <w:szCs w:val="21"/>
              </w:rPr>
            </w:pPr>
          </w:p>
        </w:tc>
        <w:tc>
          <w:tcPr>
            <w:tcW w:w="2574" w:type="dxa"/>
            <w:vAlign w:val="center"/>
          </w:tcPr>
          <w:p w14:paraId="15DF108B">
            <w:pPr>
              <w:adjustRightInd w:val="0"/>
              <w:snapToGrid w:val="0"/>
              <w:spacing w:line="288" w:lineRule="auto"/>
              <w:rPr>
                <w:rFonts w:hint="eastAsia" w:ascii="宋体" w:hAnsi="宋体" w:eastAsia="宋体" w:cs="宋体"/>
                <w:szCs w:val="21"/>
              </w:rPr>
            </w:pPr>
          </w:p>
        </w:tc>
        <w:tc>
          <w:tcPr>
            <w:tcW w:w="2124" w:type="dxa"/>
            <w:vAlign w:val="center"/>
          </w:tcPr>
          <w:p w14:paraId="15DF108C">
            <w:pPr>
              <w:adjustRightInd w:val="0"/>
              <w:snapToGrid w:val="0"/>
              <w:spacing w:line="288" w:lineRule="auto"/>
              <w:rPr>
                <w:rFonts w:hint="eastAsia" w:ascii="宋体" w:hAnsi="宋体" w:eastAsia="宋体" w:cs="宋体"/>
                <w:szCs w:val="21"/>
              </w:rPr>
            </w:pPr>
          </w:p>
        </w:tc>
      </w:tr>
    </w:tbl>
    <w:p w14:paraId="15DF108E">
      <w:pPr>
        <w:adjustRightInd w:val="0"/>
        <w:snapToGrid w:val="0"/>
        <w:spacing w:line="288" w:lineRule="auto"/>
        <w:rPr>
          <w:rFonts w:hint="eastAsia" w:ascii="宋体" w:hAnsi="宋体" w:eastAsia="宋体" w:cs="Times New Roman"/>
          <w:b/>
          <w:bCs/>
          <w:spacing w:val="-6"/>
          <w:szCs w:val="21"/>
        </w:rPr>
      </w:pPr>
    </w:p>
    <w:p w14:paraId="15DF108F">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说明：</w:t>
      </w:r>
    </w:p>
    <w:p w14:paraId="15DF1090">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1</w:t>
      </w:r>
      <w:r>
        <w:rPr>
          <w:rFonts w:ascii="宋体" w:hAnsi="宋体" w:eastAsia="宋体" w:cs="Times New Roman"/>
          <w:b/>
          <w:bCs/>
          <w:spacing w:val="-6"/>
          <w:szCs w:val="21"/>
        </w:rPr>
        <w:t>.</w:t>
      </w:r>
      <w:r>
        <w:rPr>
          <w:rFonts w:hint="eastAsia" w:ascii="宋体" w:hAnsi="宋体" w:eastAsia="宋体" w:cs="Times New Roman"/>
          <w:b/>
          <w:bCs/>
          <w:spacing w:val="-6"/>
          <w:szCs w:val="21"/>
        </w:rPr>
        <w:t>逐项按照招标文件要求填写响应规格；</w:t>
      </w:r>
    </w:p>
    <w:p w14:paraId="15DF1091">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2</w:t>
      </w:r>
      <w:r>
        <w:rPr>
          <w:rFonts w:ascii="宋体" w:hAnsi="宋体" w:eastAsia="宋体" w:cs="Times New Roman"/>
          <w:b/>
          <w:bCs/>
          <w:spacing w:val="-6"/>
          <w:szCs w:val="21"/>
        </w:rPr>
        <w:t>.</w:t>
      </w:r>
      <w:r>
        <w:rPr>
          <w:rFonts w:hint="eastAsia" w:ascii="宋体" w:hAnsi="宋体" w:eastAsia="宋体" w:cs="Times New Roman"/>
          <w:b/>
          <w:bCs/>
          <w:spacing w:val="-6"/>
          <w:szCs w:val="21"/>
        </w:rPr>
        <w:t>偏离说明是指对招标文件要求存在不同之处的解释说明。偏离系指：正偏离（高于采购需求）、负偏离（低于采购需求）、无偏离（满足采购需求）；</w:t>
      </w:r>
    </w:p>
    <w:p w14:paraId="15DF1092">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bCs/>
          <w:spacing w:val="-6"/>
          <w:szCs w:val="21"/>
        </w:rPr>
        <w:t>3</w:t>
      </w:r>
      <w:r>
        <w:rPr>
          <w:rFonts w:ascii="宋体" w:hAnsi="宋体" w:eastAsia="宋体" w:cs="Times New Roman"/>
          <w:b/>
          <w:bCs/>
          <w:spacing w:val="-6"/>
          <w:szCs w:val="21"/>
        </w:rPr>
        <w:t>.</w:t>
      </w:r>
      <w:r>
        <w:rPr>
          <w:rFonts w:hint="eastAsia" w:ascii="宋体" w:hAnsi="宋体" w:eastAsia="宋体" w:cs="Times New Roman"/>
          <w:b/>
          <w:bCs/>
          <w:spacing w:val="-6"/>
          <w:szCs w:val="21"/>
        </w:rPr>
        <w:t>如不填写或未如实填写</w:t>
      </w:r>
      <w:r>
        <w:rPr>
          <w:rFonts w:hint="eastAsia" w:ascii="宋体" w:hAnsi="宋体" w:eastAsia="宋体" w:cs="Times New Roman"/>
          <w:b/>
          <w:spacing w:val="-6"/>
          <w:szCs w:val="21"/>
        </w:rPr>
        <w:t>，自行承担投标风险。</w:t>
      </w:r>
    </w:p>
    <w:p w14:paraId="15DF1093">
      <w:pPr>
        <w:adjustRightInd w:val="0"/>
        <w:snapToGrid w:val="0"/>
        <w:spacing w:line="288" w:lineRule="auto"/>
        <w:rPr>
          <w:rFonts w:hint="eastAsia" w:ascii="宋体" w:hAnsi="宋体" w:eastAsia="宋体" w:cs="Times New Roman"/>
          <w:spacing w:val="-6"/>
          <w:szCs w:val="21"/>
        </w:rPr>
      </w:pPr>
    </w:p>
    <w:p w14:paraId="15DF1094">
      <w:pPr>
        <w:adjustRightInd w:val="0"/>
        <w:snapToGrid w:val="0"/>
        <w:spacing w:line="288" w:lineRule="auto"/>
        <w:rPr>
          <w:rFonts w:hint="eastAsia" w:ascii="宋体" w:hAnsi="宋体" w:eastAsia="宋体" w:cs="Times New Roman"/>
          <w:spacing w:val="-6"/>
          <w:szCs w:val="21"/>
        </w:rPr>
      </w:pPr>
    </w:p>
    <w:p w14:paraId="15DF1095">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15DF1096">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15DF1097">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Times New Roman"/>
          <w:spacing w:val="-6"/>
          <w:szCs w:val="21"/>
        </w:rPr>
        <w:br w:type="page"/>
      </w:r>
      <w:r>
        <w:rPr>
          <w:rFonts w:hint="eastAsia" w:ascii="宋体" w:hAnsi="宋体" w:eastAsia="宋体" w:cs="宋体"/>
          <w:b/>
          <w:spacing w:val="-6"/>
          <w:szCs w:val="21"/>
        </w:rPr>
        <w:t>（</w:t>
      </w:r>
      <w:r>
        <w:rPr>
          <w:rFonts w:ascii="宋体" w:hAnsi="宋体" w:eastAsia="宋体" w:cs="宋体"/>
          <w:b/>
          <w:spacing w:val="-6"/>
          <w:szCs w:val="21"/>
        </w:rPr>
        <w:t>5</w:t>
      </w:r>
      <w:r>
        <w:rPr>
          <w:rFonts w:hint="eastAsia" w:ascii="宋体" w:hAnsi="宋体" w:eastAsia="宋体" w:cs="宋体"/>
          <w:b/>
          <w:spacing w:val="-6"/>
          <w:szCs w:val="21"/>
        </w:rPr>
        <w:t>）标的配置清单</w:t>
      </w:r>
      <w:r>
        <w:rPr>
          <w:rFonts w:hint="eastAsia" w:ascii="宋体" w:hAnsi="宋体" w:eastAsia="宋体" w:cs="宋体"/>
          <w:spacing w:val="-6"/>
          <w:szCs w:val="21"/>
        </w:rPr>
        <w:t>（不含报价）</w:t>
      </w:r>
    </w:p>
    <w:tbl>
      <w:tblPr>
        <w:tblStyle w:val="23"/>
        <w:tblW w:w="9921"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591"/>
      </w:tblGrid>
      <w:tr w14:paraId="15DF10A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15DF1098">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序号</w:t>
            </w:r>
          </w:p>
        </w:tc>
        <w:tc>
          <w:tcPr>
            <w:tcW w:w="1841" w:type="dxa"/>
            <w:tcBorders>
              <w:top w:val="single" w:color="auto" w:sz="4" w:space="0"/>
              <w:left w:val="single" w:color="auto" w:sz="4" w:space="0"/>
              <w:bottom w:val="single" w:color="auto" w:sz="4" w:space="0"/>
              <w:right w:val="single" w:color="auto" w:sz="4" w:space="0"/>
            </w:tcBorders>
            <w:vAlign w:val="center"/>
          </w:tcPr>
          <w:p w14:paraId="15DF1099">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5DF109A">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规格型号</w:t>
            </w:r>
          </w:p>
          <w:p w14:paraId="15DF109B">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或具体服务</w:t>
            </w: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5DF109C">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数量</w:t>
            </w: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5DF109D">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★品牌</w:t>
            </w: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15DF109E">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★制造商</w:t>
            </w:r>
          </w:p>
        </w:tc>
        <w:tc>
          <w:tcPr>
            <w:tcW w:w="1012" w:type="dxa"/>
            <w:tcBorders>
              <w:top w:val="single" w:color="auto" w:sz="4" w:space="0"/>
              <w:left w:val="single" w:color="auto" w:sz="4" w:space="0"/>
              <w:bottom w:val="single" w:color="auto" w:sz="4" w:space="0"/>
              <w:right w:val="single" w:color="auto" w:sz="4" w:space="0"/>
            </w:tcBorders>
            <w:vAlign w:val="center"/>
          </w:tcPr>
          <w:p w14:paraId="15DF109F">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★产地</w:t>
            </w:r>
          </w:p>
        </w:tc>
        <w:tc>
          <w:tcPr>
            <w:tcW w:w="1591" w:type="dxa"/>
            <w:tcBorders>
              <w:top w:val="single" w:color="auto" w:sz="4" w:space="0"/>
              <w:left w:val="single" w:color="auto" w:sz="4" w:space="0"/>
              <w:bottom w:val="single" w:color="auto" w:sz="4" w:space="0"/>
              <w:right w:val="single" w:color="auto" w:sz="4" w:space="0"/>
            </w:tcBorders>
            <w:vAlign w:val="center"/>
          </w:tcPr>
          <w:p w14:paraId="15DF10A0">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备注</w:t>
            </w:r>
          </w:p>
          <w:p w14:paraId="15DF10A1">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（可另附页）</w:t>
            </w:r>
          </w:p>
        </w:tc>
      </w:tr>
      <w:tr w14:paraId="15DF10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15DF10A3">
            <w:pPr>
              <w:adjustRightInd w:val="0"/>
              <w:snapToGrid w:val="0"/>
              <w:spacing w:line="360" w:lineRule="auto"/>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15DF10A4">
            <w:pPr>
              <w:adjustRightInd w:val="0"/>
              <w:snapToGrid w:val="0"/>
              <w:spacing w:line="360" w:lineRule="auto"/>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5DF10A5">
            <w:pPr>
              <w:adjustRightInd w:val="0"/>
              <w:snapToGrid w:val="0"/>
              <w:spacing w:line="360" w:lineRule="auto"/>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5DF10A6">
            <w:pPr>
              <w:adjustRightInd w:val="0"/>
              <w:snapToGrid w:val="0"/>
              <w:spacing w:line="360" w:lineRule="auto"/>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5DF10A7">
            <w:pPr>
              <w:adjustRightInd w:val="0"/>
              <w:snapToGrid w:val="0"/>
              <w:spacing w:line="360" w:lineRule="auto"/>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15DF10A8">
            <w:pPr>
              <w:adjustRightInd w:val="0"/>
              <w:snapToGrid w:val="0"/>
              <w:spacing w:line="360" w:lineRule="auto"/>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15DF10A9">
            <w:pPr>
              <w:adjustRightInd w:val="0"/>
              <w:snapToGrid w:val="0"/>
              <w:spacing w:line="360" w:lineRule="auto"/>
              <w:jc w:val="center"/>
              <w:rPr>
                <w:rFonts w:hint="eastAsia" w:ascii="宋体" w:hAnsi="宋体" w:eastAsia="宋体" w:cs="宋体"/>
                <w:b/>
                <w:bCs/>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15DF10AA">
            <w:pPr>
              <w:adjustRightInd w:val="0"/>
              <w:snapToGrid w:val="0"/>
              <w:spacing w:line="360" w:lineRule="auto"/>
              <w:jc w:val="center"/>
              <w:rPr>
                <w:rFonts w:hint="eastAsia" w:ascii="宋体" w:hAnsi="宋体" w:eastAsia="宋体" w:cs="宋体"/>
                <w:b/>
                <w:bCs/>
                <w:szCs w:val="21"/>
              </w:rPr>
            </w:pPr>
          </w:p>
        </w:tc>
      </w:tr>
      <w:tr w14:paraId="15DF10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15DF10AC">
            <w:pPr>
              <w:adjustRightInd w:val="0"/>
              <w:snapToGrid w:val="0"/>
              <w:spacing w:line="360" w:lineRule="auto"/>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15DF10AD">
            <w:pPr>
              <w:adjustRightInd w:val="0"/>
              <w:snapToGrid w:val="0"/>
              <w:spacing w:line="360" w:lineRule="auto"/>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5DF10AE">
            <w:pPr>
              <w:adjustRightInd w:val="0"/>
              <w:snapToGrid w:val="0"/>
              <w:spacing w:line="360" w:lineRule="auto"/>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5DF10AF">
            <w:pPr>
              <w:adjustRightInd w:val="0"/>
              <w:snapToGrid w:val="0"/>
              <w:spacing w:line="360" w:lineRule="auto"/>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5DF10B0">
            <w:pPr>
              <w:adjustRightInd w:val="0"/>
              <w:snapToGrid w:val="0"/>
              <w:spacing w:line="360" w:lineRule="auto"/>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15DF10B1">
            <w:pPr>
              <w:adjustRightInd w:val="0"/>
              <w:snapToGrid w:val="0"/>
              <w:spacing w:line="360" w:lineRule="auto"/>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15DF10B2">
            <w:pPr>
              <w:adjustRightInd w:val="0"/>
              <w:snapToGrid w:val="0"/>
              <w:spacing w:line="360" w:lineRule="auto"/>
              <w:jc w:val="center"/>
              <w:rPr>
                <w:rFonts w:hint="eastAsia" w:ascii="宋体" w:hAnsi="宋体" w:eastAsia="宋体" w:cs="宋体"/>
                <w:b/>
                <w:bCs/>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15DF10B3">
            <w:pPr>
              <w:adjustRightInd w:val="0"/>
              <w:snapToGrid w:val="0"/>
              <w:spacing w:line="360" w:lineRule="auto"/>
              <w:jc w:val="center"/>
              <w:rPr>
                <w:rFonts w:hint="eastAsia" w:ascii="宋体" w:hAnsi="宋体" w:eastAsia="宋体" w:cs="宋体"/>
                <w:b/>
                <w:bCs/>
                <w:szCs w:val="21"/>
              </w:rPr>
            </w:pPr>
          </w:p>
        </w:tc>
      </w:tr>
      <w:tr w14:paraId="15DF10B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15DF10B5">
            <w:pPr>
              <w:adjustRightInd w:val="0"/>
              <w:snapToGrid w:val="0"/>
              <w:spacing w:line="360" w:lineRule="auto"/>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15DF10B6">
            <w:pPr>
              <w:adjustRightInd w:val="0"/>
              <w:snapToGrid w:val="0"/>
              <w:spacing w:line="360" w:lineRule="auto"/>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5DF10B7">
            <w:pPr>
              <w:adjustRightInd w:val="0"/>
              <w:snapToGrid w:val="0"/>
              <w:spacing w:line="360" w:lineRule="auto"/>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5DF10B8">
            <w:pPr>
              <w:adjustRightInd w:val="0"/>
              <w:snapToGrid w:val="0"/>
              <w:spacing w:line="360" w:lineRule="auto"/>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5DF10B9">
            <w:pPr>
              <w:adjustRightInd w:val="0"/>
              <w:snapToGrid w:val="0"/>
              <w:spacing w:line="360" w:lineRule="auto"/>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15DF10BA">
            <w:pPr>
              <w:adjustRightInd w:val="0"/>
              <w:snapToGrid w:val="0"/>
              <w:spacing w:line="360" w:lineRule="auto"/>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15DF10BB">
            <w:pPr>
              <w:adjustRightInd w:val="0"/>
              <w:snapToGrid w:val="0"/>
              <w:spacing w:line="360" w:lineRule="auto"/>
              <w:jc w:val="center"/>
              <w:rPr>
                <w:rFonts w:hint="eastAsia" w:ascii="宋体" w:hAnsi="宋体" w:eastAsia="宋体" w:cs="宋体"/>
                <w:b/>
                <w:bCs/>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15DF10BC">
            <w:pPr>
              <w:adjustRightInd w:val="0"/>
              <w:snapToGrid w:val="0"/>
              <w:spacing w:line="360" w:lineRule="auto"/>
              <w:jc w:val="center"/>
              <w:rPr>
                <w:rFonts w:hint="eastAsia" w:ascii="宋体" w:hAnsi="宋体" w:eastAsia="宋体" w:cs="宋体"/>
                <w:b/>
                <w:bCs/>
                <w:szCs w:val="21"/>
              </w:rPr>
            </w:pPr>
          </w:p>
        </w:tc>
      </w:tr>
      <w:tr w14:paraId="15DF10B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21" w:type="dxa"/>
            <w:gridSpan w:val="8"/>
            <w:tcBorders>
              <w:top w:val="single" w:color="auto" w:sz="4" w:space="0"/>
              <w:left w:val="single" w:color="auto" w:sz="4" w:space="0"/>
              <w:bottom w:val="single" w:color="auto" w:sz="4" w:space="0"/>
              <w:right w:val="single" w:color="auto" w:sz="4" w:space="0"/>
            </w:tcBorders>
            <w:vAlign w:val="center"/>
          </w:tcPr>
          <w:p w14:paraId="15DF10BE">
            <w:pPr>
              <w:adjustRightInd w:val="0"/>
              <w:snapToGrid w:val="0"/>
              <w:spacing w:line="360" w:lineRule="auto"/>
              <w:jc w:val="left"/>
              <w:rPr>
                <w:rFonts w:hint="eastAsia" w:ascii="宋体" w:hAnsi="宋体" w:eastAsia="宋体" w:cs="宋体"/>
                <w:b/>
                <w:bCs/>
                <w:szCs w:val="21"/>
              </w:rPr>
            </w:pPr>
            <w:r>
              <w:rPr>
                <w:rFonts w:hint="eastAsia" w:ascii="宋体" w:hAnsi="宋体" w:eastAsia="宋体" w:cs="宋体"/>
                <w:b/>
                <w:bCs/>
                <w:szCs w:val="21"/>
              </w:rPr>
              <w:t>★以下（联合体其他成员）承担的部分：</w:t>
            </w:r>
          </w:p>
        </w:tc>
      </w:tr>
      <w:tr w14:paraId="15DF10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15DF10C0">
            <w:pPr>
              <w:adjustRightInd w:val="0"/>
              <w:snapToGrid w:val="0"/>
              <w:spacing w:line="360" w:lineRule="auto"/>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15DF10C1">
            <w:pPr>
              <w:adjustRightInd w:val="0"/>
              <w:snapToGrid w:val="0"/>
              <w:spacing w:line="360" w:lineRule="auto"/>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5DF10C2">
            <w:pPr>
              <w:adjustRightInd w:val="0"/>
              <w:snapToGrid w:val="0"/>
              <w:spacing w:line="360" w:lineRule="auto"/>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5DF10C3">
            <w:pPr>
              <w:adjustRightInd w:val="0"/>
              <w:snapToGrid w:val="0"/>
              <w:spacing w:line="360" w:lineRule="auto"/>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5DF10C4">
            <w:pPr>
              <w:adjustRightInd w:val="0"/>
              <w:snapToGrid w:val="0"/>
              <w:spacing w:line="360" w:lineRule="auto"/>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15DF10C5">
            <w:pPr>
              <w:adjustRightInd w:val="0"/>
              <w:snapToGrid w:val="0"/>
              <w:spacing w:line="360" w:lineRule="auto"/>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15DF10C6">
            <w:pPr>
              <w:adjustRightInd w:val="0"/>
              <w:snapToGrid w:val="0"/>
              <w:spacing w:line="360" w:lineRule="auto"/>
              <w:jc w:val="center"/>
              <w:rPr>
                <w:rFonts w:hint="eastAsia" w:ascii="宋体" w:hAnsi="宋体" w:eastAsia="宋体" w:cs="宋体"/>
                <w:b/>
                <w:bCs/>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15DF10C7">
            <w:pPr>
              <w:adjustRightInd w:val="0"/>
              <w:snapToGrid w:val="0"/>
              <w:spacing w:line="360" w:lineRule="auto"/>
              <w:jc w:val="center"/>
              <w:rPr>
                <w:rFonts w:hint="eastAsia" w:ascii="宋体" w:hAnsi="宋体" w:eastAsia="宋体" w:cs="宋体"/>
                <w:b/>
                <w:bCs/>
                <w:szCs w:val="21"/>
              </w:rPr>
            </w:pPr>
          </w:p>
        </w:tc>
      </w:tr>
      <w:tr w14:paraId="15DF10C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21" w:type="dxa"/>
            <w:gridSpan w:val="8"/>
            <w:tcBorders>
              <w:top w:val="single" w:color="auto" w:sz="4" w:space="0"/>
              <w:left w:val="single" w:color="auto" w:sz="4" w:space="0"/>
              <w:bottom w:val="single" w:color="auto" w:sz="4" w:space="0"/>
              <w:right w:val="single" w:color="auto" w:sz="4" w:space="0"/>
            </w:tcBorders>
            <w:vAlign w:val="center"/>
          </w:tcPr>
          <w:p w14:paraId="15DF10C9">
            <w:pPr>
              <w:adjustRightInd w:val="0"/>
              <w:snapToGrid w:val="0"/>
              <w:spacing w:line="360" w:lineRule="auto"/>
              <w:jc w:val="left"/>
              <w:rPr>
                <w:rFonts w:hint="eastAsia" w:ascii="宋体" w:hAnsi="宋体" w:eastAsia="宋体" w:cs="宋体"/>
                <w:b/>
                <w:bCs/>
                <w:szCs w:val="21"/>
              </w:rPr>
            </w:pPr>
            <w:r>
              <w:rPr>
                <w:rFonts w:hint="eastAsia" w:ascii="宋体" w:hAnsi="宋体" w:eastAsia="宋体" w:cs="宋体"/>
                <w:b/>
                <w:bCs/>
                <w:szCs w:val="21"/>
              </w:rPr>
              <w:t>★以下（分包单位）承担的部分：</w:t>
            </w:r>
          </w:p>
        </w:tc>
      </w:tr>
      <w:tr w14:paraId="15DF10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15DF10CB">
            <w:pPr>
              <w:adjustRightInd w:val="0"/>
              <w:snapToGrid w:val="0"/>
              <w:spacing w:line="360" w:lineRule="auto"/>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15DF10CC">
            <w:pPr>
              <w:adjustRightInd w:val="0"/>
              <w:snapToGrid w:val="0"/>
              <w:spacing w:line="360" w:lineRule="auto"/>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5DF10CD">
            <w:pPr>
              <w:adjustRightInd w:val="0"/>
              <w:snapToGrid w:val="0"/>
              <w:spacing w:line="360" w:lineRule="auto"/>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5DF10CE">
            <w:pPr>
              <w:adjustRightInd w:val="0"/>
              <w:snapToGrid w:val="0"/>
              <w:spacing w:line="360" w:lineRule="auto"/>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5DF10CF">
            <w:pPr>
              <w:adjustRightInd w:val="0"/>
              <w:snapToGrid w:val="0"/>
              <w:spacing w:line="360" w:lineRule="auto"/>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15DF10D0">
            <w:pPr>
              <w:adjustRightInd w:val="0"/>
              <w:snapToGrid w:val="0"/>
              <w:spacing w:line="360" w:lineRule="auto"/>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15DF10D1">
            <w:pPr>
              <w:adjustRightInd w:val="0"/>
              <w:snapToGrid w:val="0"/>
              <w:spacing w:line="360" w:lineRule="auto"/>
              <w:jc w:val="center"/>
              <w:rPr>
                <w:rFonts w:hint="eastAsia" w:ascii="宋体" w:hAnsi="宋体" w:eastAsia="宋体" w:cs="宋体"/>
                <w:b/>
                <w:bCs/>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15DF10D2">
            <w:pPr>
              <w:adjustRightInd w:val="0"/>
              <w:snapToGrid w:val="0"/>
              <w:spacing w:line="360" w:lineRule="auto"/>
              <w:jc w:val="center"/>
              <w:rPr>
                <w:rFonts w:hint="eastAsia" w:ascii="宋体" w:hAnsi="宋体" w:eastAsia="宋体" w:cs="宋体"/>
                <w:b/>
                <w:bCs/>
                <w:szCs w:val="21"/>
              </w:rPr>
            </w:pPr>
          </w:p>
        </w:tc>
      </w:tr>
    </w:tbl>
    <w:p w14:paraId="15DF10D4">
      <w:pPr>
        <w:adjustRightInd w:val="0"/>
        <w:snapToGrid w:val="0"/>
        <w:spacing w:line="288" w:lineRule="auto"/>
        <w:rPr>
          <w:rFonts w:hint="eastAsia" w:ascii="宋体" w:hAnsi="宋体" w:eastAsia="宋体" w:cs="宋体"/>
          <w:spacing w:val="-6"/>
          <w:szCs w:val="21"/>
        </w:rPr>
      </w:pPr>
    </w:p>
    <w:p w14:paraId="15DF10D5">
      <w:pPr>
        <w:adjustRightInd w:val="0"/>
        <w:snapToGrid w:val="0"/>
        <w:spacing w:line="360" w:lineRule="auto"/>
        <w:rPr>
          <w:rFonts w:hint="eastAsia" w:ascii="宋体" w:hAnsi="宋体" w:eastAsia="宋体" w:cs="宋体"/>
          <w:bCs/>
          <w:spacing w:val="-6"/>
          <w:szCs w:val="21"/>
        </w:rPr>
      </w:pPr>
      <w:r>
        <w:rPr>
          <w:rFonts w:hint="eastAsia" w:ascii="宋体" w:hAnsi="宋体" w:eastAsia="宋体" w:cs="宋体"/>
          <w:bCs/>
          <w:spacing w:val="-6"/>
          <w:szCs w:val="21"/>
        </w:rPr>
        <w:t>注：</w:t>
      </w:r>
    </w:p>
    <w:p w14:paraId="15DF10D6">
      <w:pPr>
        <w:adjustRightInd w:val="0"/>
        <w:snapToGrid w:val="0"/>
        <w:spacing w:line="288" w:lineRule="auto"/>
        <w:rPr>
          <w:rFonts w:hint="eastAsia" w:ascii="宋体" w:hAnsi="宋体" w:eastAsia="宋体" w:cs="宋体"/>
          <w:bCs/>
          <w:spacing w:val="-6"/>
          <w:szCs w:val="21"/>
        </w:rPr>
      </w:pPr>
      <w:r>
        <w:rPr>
          <w:rFonts w:hint="eastAsia" w:ascii="宋体" w:hAnsi="宋体" w:eastAsia="宋体" w:cs="宋体"/>
          <w:bCs/>
          <w:spacing w:val="-6"/>
          <w:szCs w:val="21"/>
        </w:rPr>
        <w:t>1.供应商应按照招标文件明确的标的清单填写此表；</w:t>
      </w:r>
    </w:p>
    <w:p w14:paraId="15DF10D7">
      <w:pPr>
        <w:adjustRightInd w:val="0"/>
        <w:snapToGrid w:val="0"/>
        <w:spacing w:line="288" w:lineRule="auto"/>
        <w:rPr>
          <w:rFonts w:hint="eastAsia" w:ascii="宋体" w:hAnsi="宋体" w:eastAsia="宋体" w:cs="宋体"/>
          <w:bCs/>
          <w:spacing w:val="-6"/>
          <w:szCs w:val="21"/>
        </w:rPr>
      </w:pPr>
      <w:r>
        <w:rPr>
          <w:rFonts w:hint="eastAsia" w:ascii="宋体" w:hAnsi="宋体" w:eastAsia="宋体" w:cs="宋体"/>
          <w:bCs/>
          <w:spacing w:val="-6"/>
          <w:szCs w:val="21"/>
        </w:rPr>
        <w:t>★2.服务项目不涉及提供货物的，规格型号、品牌、制造商、产地的可不填写；</w:t>
      </w:r>
    </w:p>
    <w:p w14:paraId="15DF10D8">
      <w:pPr>
        <w:adjustRightInd w:val="0"/>
        <w:snapToGrid w:val="0"/>
        <w:spacing w:line="288" w:lineRule="auto"/>
        <w:rPr>
          <w:rFonts w:hint="eastAsia" w:ascii="宋体" w:hAnsi="宋体" w:eastAsia="宋体" w:cs="宋体"/>
          <w:spacing w:val="-6"/>
          <w:szCs w:val="21"/>
        </w:rPr>
      </w:pPr>
      <w:r>
        <w:rPr>
          <w:rFonts w:hint="eastAsia" w:ascii="宋体" w:hAnsi="宋体" w:eastAsia="宋体" w:cs="宋体"/>
          <w:bCs/>
          <w:spacing w:val="-6"/>
          <w:szCs w:val="21"/>
        </w:rPr>
        <w:t>★3.联合体其他成员承担的部分、分包单位承担的部分，应在表中列明。</w:t>
      </w:r>
    </w:p>
    <w:p w14:paraId="15DF10D9">
      <w:pPr>
        <w:adjustRightInd w:val="0"/>
        <w:snapToGrid w:val="0"/>
        <w:spacing w:line="288" w:lineRule="auto"/>
        <w:rPr>
          <w:rFonts w:hint="eastAsia" w:ascii="宋体" w:hAnsi="宋体" w:eastAsia="宋体" w:cs="Times New Roman"/>
          <w:b/>
          <w:bCs/>
          <w:spacing w:val="-6"/>
          <w:szCs w:val="21"/>
        </w:rPr>
      </w:pPr>
    </w:p>
    <w:p w14:paraId="15DF10DA">
      <w:pPr>
        <w:adjustRightInd w:val="0"/>
        <w:snapToGrid w:val="0"/>
        <w:spacing w:line="288" w:lineRule="auto"/>
        <w:rPr>
          <w:rFonts w:hint="eastAsia" w:ascii="宋体" w:hAnsi="宋体" w:eastAsia="宋体" w:cs="Times New Roman"/>
          <w:b/>
          <w:bCs/>
          <w:spacing w:val="-6"/>
          <w:szCs w:val="21"/>
        </w:rPr>
      </w:pPr>
    </w:p>
    <w:p w14:paraId="15DF10DB">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15DF10DC">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15DF10DD">
      <w:pPr>
        <w:autoSpaceDE w:val="0"/>
        <w:autoSpaceDN w:val="0"/>
        <w:adjustRightInd w:val="0"/>
        <w:snapToGrid w:val="0"/>
        <w:spacing w:line="288" w:lineRule="auto"/>
        <w:jc w:val="left"/>
        <w:rPr>
          <w:rFonts w:hint="eastAsia" w:ascii="宋体" w:hAnsi="宋体" w:eastAsia="宋体" w:cs="宋体"/>
          <w:spacing w:val="-6"/>
          <w:kern w:val="0"/>
          <w:szCs w:val="21"/>
        </w:rPr>
      </w:pPr>
    </w:p>
    <w:p w14:paraId="15DF10DE">
      <w:pPr>
        <w:adjustRightInd w:val="0"/>
        <w:snapToGrid w:val="0"/>
        <w:spacing w:line="288" w:lineRule="auto"/>
        <w:rPr>
          <w:rFonts w:hint="eastAsia" w:ascii="宋体" w:hAnsi="宋体" w:eastAsia="宋体" w:cs="宋体"/>
          <w:szCs w:val="21"/>
        </w:rPr>
      </w:pPr>
    </w:p>
    <w:p w14:paraId="15DF10DF">
      <w:pPr>
        <w:adjustRightInd w:val="0"/>
        <w:snapToGrid w:val="0"/>
        <w:spacing w:line="288" w:lineRule="auto"/>
        <w:rPr>
          <w:rFonts w:hint="eastAsia" w:ascii="宋体" w:hAnsi="宋体" w:eastAsia="宋体" w:cs="宋体"/>
          <w:b/>
          <w:spacing w:val="-6"/>
          <w:szCs w:val="21"/>
        </w:rPr>
      </w:pPr>
      <w:r>
        <w:rPr>
          <w:rFonts w:hint="eastAsia" w:ascii="宋体" w:hAnsi="宋体" w:eastAsia="宋体" w:cs="宋体"/>
          <w:b/>
          <w:spacing w:val="-6"/>
          <w:szCs w:val="21"/>
        </w:rPr>
        <w:t>附：产品技术支持材料</w:t>
      </w:r>
    </w:p>
    <w:p w14:paraId="15DF10E0">
      <w:pPr>
        <w:adjustRightInd w:val="0"/>
        <w:snapToGrid w:val="0"/>
        <w:spacing w:line="288" w:lineRule="auto"/>
        <w:rPr>
          <w:rFonts w:hint="eastAsia" w:ascii="宋体" w:hAnsi="宋体" w:eastAsia="宋体" w:cs="宋体"/>
          <w:b/>
          <w:spacing w:val="-6"/>
          <w:szCs w:val="21"/>
        </w:rPr>
      </w:pPr>
    </w:p>
    <w:p w14:paraId="15DF10E1">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br w:type="page"/>
      </w:r>
    </w:p>
    <w:p w14:paraId="15DF10E2">
      <w:pPr>
        <w:adjustRightInd w:val="0"/>
        <w:snapToGrid w:val="0"/>
        <w:spacing w:line="288" w:lineRule="auto"/>
        <w:jc w:val="left"/>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6</w:t>
      </w:r>
      <w:r>
        <w:rPr>
          <w:rFonts w:hint="eastAsia" w:ascii="宋体" w:hAnsi="宋体" w:eastAsia="宋体" w:cs="宋体"/>
          <w:b/>
          <w:spacing w:val="-6"/>
          <w:szCs w:val="21"/>
        </w:rPr>
        <w:t>）技术方案</w:t>
      </w:r>
    </w:p>
    <w:p w14:paraId="15DF10E3">
      <w:pPr>
        <w:adjustRightInd w:val="0"/>
        <w:snapToGrid w:val="0"/>
        <w:spacing w:line="288" w:lineRule="auto"/>
        <w:rPr>
          <w:rFonts w:hint="eastAsia" w:ascii="宋体" w:hAnsi="宋体" w:eastAsia="宋体" w:cs="宋体"/>
          <w:b/>
          <w:spacing w:val="-6"/>
          <w:szCs w:val="21"/>
        </w:rPr>
      </w:pPr>
    </w:p>
    <w:p w14:paraId="15DF10E4">
      <w:pPr>
        <w:adjustRightInd w:val="0"/>
        <w:snapToGrid w:val="0"/>
        <w:spacing w:line="288" w:lineRule="auto"/>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7</w:t>
      </w:r>
      <w:r>
        <w:rPr>
          <w:rFonts w:hint="eastAsia" w:ascii="宋体" w:hAnsi="宋体" w:eastAsia="宋体" w:cs="宋体"/>
          <w:b/>
          <w:spacing w:val="-6"/>
          <w:szCs w:val="21"/>
        </w:rPr>
        <w:t>）节能环保产品证明材料</w:t>
      </w:r>
    </w:p>
    <w:p w14:paraId="15DF10E5">
      <w:pPr>
        <w:adjustRightInd w:val="0"/>
        <w:snapToGrid w:val="0"/>
        <w:spacing w:line="288" w:lineRule="auto"/>
        <w:rPr>
          <w:rFonts w:hint="eastAsia" w:ascii="宋体" w:hAnsi="宋体" w:eastAsia="宋体" w:cs="Times New Roman"/>
          <w:b/>
          <w:szCs w:val="21"/>
        </w:rPr>
      </w:pPr>
      <w:r>
        <w:rPr>
          <w:rFonts w:hint="eastAsia" w:ascii="宋体" w:hAnsi="宋体" w:eastAsia="宋体" w:cs="Times New Roman"/>
          <w:b/>
          <w:szCs w:val="21"/>
        </w:rPr>
        <w:t>说明：投标产品属于品目清单范围且提供国家确定的认证机构出具的有效的节能产品、环境标志产品认证证书（扫描件）。</w:t>
      </w:r>
    </w:p>
    <w:p w14:paraId="15DF10E6">
      <w:pPr>
        <w:adjustRightInd w:val="0"/>
        <w:snapToGrid w:val="0"/>
        <w:spacing w:line="288" w:lineRule="auto"/>
        <w:ind w:firstLine="396" w:firstLineChars="200"/>
        <w:jc w:val="left"/>
        <w:rPr>
          <w:rFonts w:hint="eastAsia" w:ascii="宋体" w:hAnsi="宋体" w:eastAsia="宋体" w:cs="Times New Roman"/>
          <w:spacing w:val="-6"/>
          <w:szCs w:val="21"/>
        </w:rPr>
      </w:pPr>
      <w:r>
        <w:rPr>
          <w:rFonts w:ascii="宋体" w:hAnsi="宋体" w:eastAsia="宋体" w:cs="Times New Roman"/>
          <w:spacing w:val="-6"/>
          <w:szCs w:val="21"/>
        </w:rPr>
        <w:t>采购人拟采购的产品属于品目清单范围的，采购人及其委托的采购代理机构将依据国家确定的认证机构出具的、有效的节能产品、环境标志产品认证证书，对获得证书的产品实施政府优先采购或强制采购。投标人须按招标文件要求提供相关产品认证证书。</w:t>
      </w:r>
    </w:p>
    <w:p w14:paraId="15DF10E7">
      <w:pPr>
        <w:adjustRightInd w:val="0"/>
        <w:snapToGrid w:val="0"/>
        <w:spacing w:line="288" w:lineRule="auto"/>
        <w:ind w:firstLine="396" w:firstLineChars="200"/>
        <w:jc w:val="left"/>
        <w:rPr>
          <w:rFonts w:hint="eastAsia" w:ascii="宋体" w:hAnsi="宋体" w:eastAsia="宋体" w:cs="Times New Roman"/>
          <w:spacing w:val="-6"/>
          <w:szCs w:val="21"/>
        </w:rPr>
      </w:pPr>
      <w:r>
        <w:rPr>
          <w:rFonts w:ascii="宋体" w:hAnsi="宋体" w:eastAsia="宋体" w:cs="Times New Roman"/>
          <w:spacing w:val="-6"/>
          <w:szCs w:val="21"/>
        </w:rPr>
        <w:t>▲采购人拟采购的产品属于政府强制采购的节能产品品目清单范围的，投标人未按招标文件要求提供国家确定的认证机构出具的、有效的节能产品认证证书的，投标无效。</w:t>
      </w:r>
    </w:p>
    <w:p w14:paraId="15DF10E8">
      <w:pPr>
        <w:adjustRightInd w:val="0"/>
        <w:snapToGrid w:val="0"/>
        <w:spacing w:line="288" w:lineRule="auto"/>
        <w:rPr>
          <w:rFonts w:hint="eastAsia" w:ascii="宋体" w:hAnsi="宋体" w:eastAsia="宋体" w:cs="Times New Roman"/>
          <w:b/>
          <w:szCs w:val="21"/>
        </w:rPr>
      </w:pPr>
    </w:p>
    <w:p w14:paraId="15DF10E9">
      <w:pPr>
        <w:adjustRightInd w:val="0"/>
        <w:snapToGrid w:val="0"/>
        <w:spacing w:line="288" w:lineRule="auto"/>
        <w:rPr>
          <w:rFonts w:hint="eastAsia" w:ascii="宋体" w:hAnsi="宋体" w:eastAsia="宋体" w:cs="Times New Roman"/>
          <w:b/>
          <w:szCs w:val="21"/>
        </w:rPr>
      </w:pPr>
    </w:p>
    <w:p w14:paraId="15DF10EA">
      <w:pPr>
        <w:adjustRightInd w:val="0"/>
        <w:snapToGrid w:val="0"/>
        <w:spacing w:line="288" w:lineRule="auto"/>
        <w:outlineLvl w:val="2"/>
        <w:rPr>
          <w:rFonts w:hint="eastAsia" w:ascii="宋体" w:hAnsi="宋体" w:eastAsia="宋体" w:cs="宋体"/>
          <w:b/>
          <w:spacing w:val="-6"/>
          <w:szCs w:val="21"/>
        </w:rPr>
      </w:pPr>
      <w:r>
        <w:rPr>
          <w:rFonts w:hint="eastAsia" w:ascii="宋体" w:hAnsi="宋体" w:eastAsia="宋体" w:cs="宋体"/>
          <w:b/>
          <w:spacing w:val="-6"/>
          <w:szCs w:val="21"/>
        </w:rPr>
        <w:t>（8）科技创新相关证明材料</w:t>
      </w:r>
    </w:p>
    <w:p w14:paraId="15DF10E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优先推荐专精特新中小企业、创新产品参加政府采购活动。对省级以上主管部门认定的首台套产品，自纳入《省推广应用指导目录》起三年内参加政府采购活动时视同已具备相应销售业绩，业绩分为满分。</w:t>
      </w:r>
    </w:p>
    <w:p w14:paraId="15DF10EC">
      <w:pPr>
        <w:adjustRightInd w:val="0"/>
        <w:snapToGrid w:val="0"/>
        <w:spacing w:line="288" w:lineRule="auto"/>
        <w:rPr>
          <w:rFonts w:hint="eastAsia" w:ascii="宋体" w:hAnsi="宋体" w:eastAsia="宋体" w:cs="宋体"/>
          <w:b/>
          <w:spacing w:val="-6"/>
          <w:szCs w:val="21"/>
        </w:rPr>
      </w:pPr>
    </w:p>
    <w:p w14:paraId="15DF10ED">
      <w:pPr>
        <w:adjustRightInd w:val="0"/>
        <w:snapToGrid w:val="0"/>
        <w:spacing w:line="288" w:lineRule="auto"/>
        <w:outlineLvl w:val="2"/>
        <w:rPr>
          <w:rFonts w:hint="eastAsia" w:ascii="宋体" w:hAnsi="宋体" w:eastAsia="宋体" w:cs="宋体"/>
          <w:b/>
          <w:spacing w:val="-6"/>
          <w:szCs w:val="21"/>
        </w:rPr>
      </w:pPr>
      <w:r>
        <w:rPr>
          <w:rFonts w:hint="eastAsia" w:ascii="宋体" w:hAnsi="宋体" w:eastAsia="宋体" w:cs="宋体"/>
          <w:b/>
          <w:spacing w:val="-6"/>
          <w:szCs w:val="21"/>
        </w:rPr>
        <w:t>（9）投标人需要说明的其他文件和材料。</w:t>
      </w:r>
    </w:p>
    <w:p w14:paraId="15DF10EE">
      <w:pPr>
        <w:widowControl/>
        <w:adjustRightInd w:val="0"/>
        <w:snapToGrid w:val="0"/>
        <w:spacing w:line="288" w:lineRule="auto"/>
        <w:jc w:val="left"/>
        <w:rPr>
          <w:rFonts w:hint="eastAsia" w:ascii="宋体" w:hAnsi="宋体" w:eastAsia="宋体" w:cs="宋体"/>
          <w:b/>
          <w:spacing w:val="-6"/>
          <w:szCs w:val="21"/>
        </w:rPr>
      </w:pPr>
    </w:p>
    <w:p w14:paraId="15DF10EF">
      <w:pPr>
        <w:widowControl/>
        <w:adjustRightInd w:val="0"/>
        <w:snapToGrid w:val="0"/>
        <w:spacing w:line="288" w:lineRule="auto"/>
        <w:jc w:val="left"/>
        <w:rPr>
          <w:rFonts w:hint="eastAsia" w:ascii="宋体" w:hAnsi="宋体" w:eastAsia="宋体" w:cs="宋体"/>
          <w:b/>
          <w:spacing w:val="-6"/>
          <w:szCs w:val="21"/>
        </w:rPr>
      </w:pPr>
      <w:r>
        <w:rPr>
          <w:rFonts w:ascii="宋体" w:hAnsi="宋体" w:eastAsia="宋体" w:cs="宋体"/>
          <w:b/>
          <w:spacing w:val="-6"/>
          <w:szCs w:val="21"/>
        </w:rPr>
        <w:br w:type="page"/>
      </w:r>
    </w:p>
    <w:p w14:paraId="15DF10F0">
      <w:pPr>
        <w:overflowPunct w:val="0"/>
        <w:adjustRightInd w:val="0"/>
        <w:snapToGrid w:val="0"/>
        <w:spacing w:line="288" w:lineRule="auto"/>
        <w:jc w:val="center"/>
        <w:outlineLvl w:val="1"/>
        <w:rPr>
          <w:rFonts w:hint="eastAsia" w:ascii="宋体" w:hAnsi="宋体" w:eastAsia="宋体" w:cs="Times New Roman"/>
          <w:b/>
          <w:spacing w:val="-6"/>
          <w:sz w:val="84"/>
          <w:szCs w:val="84"/>
        </w:rPr>
      </w:pPr>
      <w:r>
        <w:rPr>
          <w:rFonts w:hint="eastAsia" w:ascii="宋体" w:hAnsi="宋体" w:eastAsia="宋体" w:cs="Times New Roman"/>
          <w:b/>
          <w:spacing w:val="-6"/>
          <w:sz w:val="84"/>
          <w:szCs w:val="84"/>
        </w:rPr>
        <w:t>报价文件</w:t>
      </w:r>
    </w:p>
    <w:p w14:paraId="15DF10F1">
      <w:pPr>
        <w:widowControl/>
        <w:adjustRightInd w:val="0"/>
        <w:snapToGrid w:val="0"/>
        <w:spacing w:line="288" w:lineRule="auto"/>
        <w:jc w:val="left"/>
        <w:rPr>
          <w:rFonts w:hint="eastAsia" w:ascii="宋体" w:hAnsi="宋体" w:eastAsia="宋体" w:cs="宋体"/>
          <w:b/>
          <w:spacing w:val="-6"/>
          <w:szCs w:val="21"/>
        </w:rPr>
      </w:pPr>
      <w:r>
        <w:rPr>
          <w:rFonts w:ascii="宋体" w:hAnsi="宋体" w:eastAsia="宋体" w:cs="宋体"/>
          <w:b/>
          <w:spacing w:val="-6"/>
          <w:szCs w:val="21"/>
        </w:rPr>
        <w:br w:type="page"/>
      </w:r>
    </w:p>
    <w:p w14:paraId="15DF10F2">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1</w:t>
      </w:r>
      <w:r>
        <w:rPr>
          <w:rFonts w:hint="eastAsia" w:ascii="宋体" w:hAnsi="宋体" w:eastAsia="宋体" w:cs="宋体"/>
          <w:b/>
          <w:spacing w:val="-6"/>
          <w:szCs w:val="21"/>
        </w:rPr>
        <w:t>）开标一览表</w:t>
      </w:r>
    </w:p>
    <w:p w14:paraId="15DF10F3">
      <w:pPr>
        <w:adjustRightInd w:val="0"/>
        <w:snapToGrid w:val="0"/>
        <w:spacing w:line="288" w:lineRule="auto"/>
        <w:rPr>
          <w:rFonts w:hint="eastAsia" w:ascii="宋体" w:hAnsi="宋体" w:eastAsia="宋体" w:cs="Times New Roman"/>
          <w:bCs/>
          <w:spacing w:val="-6"/>
          <w:szCs w:val="21"/>
        </w:rPr>
      </w:pPr>
      <w:r>
        <w:rPr>
          <w:rFonts w:hint="eastAsia" w:ascii="宋体" w:hAnsi="宋体" w:eastAsia="宋体" w:cs="Times New Roman"/>
          <w:bCs/>
          <w:spacing w:val="-6"/>
          <w:szCs w:val="21"/>
        </w:rPr>
        <w:t>采 购 人：杭州电子科技大学</w:t>
      </w:r>
    </w:p>
    <w:p w14:paraId="15DF10F4">
      <w:pPr>
        <w:adjustRightInd w:val="0"/>
        <w:snapToGrid w:val="0"/>
        <w:spacing w:line="288" w:lineRule="auto"/>
        <w:rPr>
          <w:rFonts w:hint="eastAsia" w:ascii="宋体" w:hAnsi="宋体" w:eastAsia="宋体" w:cs="Times New Roman"/>
          <w:bCs/>
          <w:spacing w:val="-6"/>
          <w:szCs w:val="21"/>
        </w:rPr>
      </w:pPr>
      <w:r>
        <w:rPr>
          <w:rFonts w:hint="eastAsia" w:ascii="宋体" w:hAnsi="宋体" w:eastAsia="宋体" w:cs="Times New Roman"/>
          <w:bCs/>
          <w:spacing w:val="-6"/>
          <w:szCs w:val="21"/>
        </w:rPr>
        <w:t>项目名称：裸眼立体物理实验平台</w:t>
      </w:r>
    </w:p>
    <w:p w14:paraId="15DF10F5">
      <w:pPr>
        <w:adjustRightInd w:val="0"/>
        <w:snapToGrid w:val="0"/>
        <w:spacing w:line="288" w:lineRule="auto"/>
        <w:rPr>
          <w:rFonts w:hint="eastAsia" w:ascii="宋体" w:hAnsi="宋体" w:eastAsia="宋体" w:cs="Times New Roman"/>
          <w:bCs/>
          <w:spacing w:val="-6"/>
          <w:szCs w:val="21"/>
          <w:lang w:eastAsia="zh-CN"/>
        </w:rPr>
      </w:pPr>
      <w:r>
        <w:rPr>
          <w:rFonts w:hint="eastAsia" w:ascii="宋体" w:hAnsi="宋体" w:eastAsia="宋体" w:cs="Times New Roman"/>
          <w:bCs/>
          <w:spacing w:val="-6"/>
          <w:szCs w:val="21"/>
        </w:rPr>
        <w:t>项目编号：</w:t>
      </w:r>
      <w:r>
        <w:rPr>
          <w:rFonts w:hint="eastAsia" w:ascii="宋体" w:hAnsi="宋体" w:eastAsia="宋体" w:cs="Times New Roman"/>
          <w:bCs/>
          <w:spacing w:val="-6"/>
          <w:szCs w:val="21"/>
          <w:lang w:eastAsia="zh-CN"/>
        </w:rPr>
        <w:t>QSZBB250272ZHGK</w:t>
      </w:r>
    </w:p>
    <w:tbl>
      <w:tblPr>
        <w:tblStyle w:val="23"/>
        <w:tblW w:w="10530" w:type="dxa"/>
        <w:tblInd w:w="-26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114"/>
        <w:gridCol w:w="1086"/>
      </w:tblGrid>
      <w:tr w14:paraId="15DF110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15DF10F6">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序号</w:t>
            </w:r>
          </w:p>
        </w:tc>
        <w:tc>
          <w:tcPr>
            <w:tcW w:w="1841" w:type="dxa"/>
            <w:tcBorders>
              <w:top w:val="single" w:color="auto" w:sz="4" w:space="0"/>
              <w:left w:val="single" w:color="auto" w:sz="4" w:space="0"/>
              <w:bottom w:val="single" w:color="auto" w:sz="4" w:space="0"/>
              <w:right w:val="single" w:color="auto" w:sz="4" w:space="0"/>
            </w:tcBorders>
            <w:vAlign w:val="center"/>
          </w:tcPr>
          <w:p w14:paraId="15DF10F7">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5DF10F8">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w:t>
            </w:r>
            <w:bookmarkStart w:id="75" w:name="_Hlk177717733"/>
            <w:r>
              <w:rPr>
                <w:rFonts w:hint="eastAsia" w:ascii="宋体" w:hAnsi="宋体" w:eastAsia="宋体" w:cs="宋体"/>
                <w:b/>
                <w:bCs/>
                <w:szCs w:val="21"/>
              </w:rPr>
              <w:t>规格型号</w:t>
            </w:r>
          </w:p>
          <w:p w14:paraId="15DF10F9">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或具体服务</w:t>
            </w:r>
            <w:bookmarkEnd w:id="75"/>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5DF10FA">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数量</w:t>
            </w:r>
          </w:p>
        </w:tc>
        <w:tc>
          <w:tcPr>
            <w:tcW w:w="953" w:type="dxa"/>
            <w:tcBorders>
              <w:top w:val="single" w:color="auto" w:sz="4" w:space="0"/>
              <w:left w:val="single" w:color="auto" w:sz="4" w:space="0"/>
              <w:bottom w:val="single" w:color="auto" w:sz="4" w:space="0"/>
              <w:right w:val="single" w:color="auto" w:sz="4" w:space="0"/>
            </w:tcBorders>
            <w:vAlign w:val="center"/>
          </w:tcPr>
          <w:p w14:paraId="15DF10FB">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★品牌</w:t>
            </w:r>
          </w:p>
        </w:tc>
        <w:tc>
          <w:tcPr>
            <w:tcW w:w="1194" w:type="dxa"/>
            <w:tcBorders>
              <w:top w:val="single" w:color="auto" w:sz="4" w:space="0"/>
              <w:left w:val="single" w:color="auto" w:sz="4" w:space="0"/>
              <w:bottom w:val="single" w:color="auto" w:sz="4" w:space="0"/>
              <w:right w:val="single" w:color="auto" w:sz="4" w:space="0"/>
            </w:tcBorders>
            <w:vAlign w:val="center"/>
          </w:tcPr>
          <w:p w14:paraId="15DF10FC">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★制造商</w:t>
            </w:r>
          </w:p>
        </w:tc>
        <w:tc>
          <w:tcPr>
            <w:tcW w:w="1012" w:type="dxa"/>
            <w:tcBorders>
              <w:top w:val="single" w:color="auto" w:sz="4" w:space="0"/>
              <w:left w:val="single" w:color="auto" w:sz="4" w:space="0"/>
              <w:bottom w:val="single" w:color="auto" w:sz="4" w:space="0"/>
              <w:right w:val="single" w:color="auto" w:sz="4" w:space="0"/>
            </w:tcBorders>
            <w:vAlign w:val="center"/>
          </w:tcPr>
          <w:p w14:paraId="15DF10FD">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★产地</w:t>
            </w:r>
          </w:p>
        </w:tc>
        <w:tc>
          <w:tcPr>
            <w:tcW w:w="1114" w:type="dxa"/>
            <w:tcBorders>
              <w:top w:val="single" w:color="auto" w:sz="4" w:space="0"/>
              <w:left w:val="single" w:color="auto" w:sz="4" w:space="0"/>
              <w:bottom w:val="single" w:color="auto" w:sz="4" w:space="0"/>
              <w:right w:val="single" w:color="auto" w:sz="4" w:space="0"/>
            </w:tcBorders>
            <w:vAlign w:val="center"/>
          </w:tcPr>
          <w:p w14:paraId="15DF10FE">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单价</w:t>
            </w:r>
          </w:p>
          <w:p w14:paraId="15DF10FF">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（元）</w:t>
            </w:r>
          </w:p>
        </w:tc>
        <w:tc>
          <w:tcPr>
            <w:tcW w:w="1086" w:type="dxa"/>
            <w:tcBorders>
              <w:top w:val="single" w:color="auto" w:sz="4" w:space="0"/>
              <w:left w:val="single" w:color="auto" w:sz="4" w:space="0"/>
              <w:bottom w:val="single" w:color="auto" w:sz="4" w:space="0"/>
              <w:right w:val="single" w:color="auto" w:sz="4" w:space="0"/>
            </w:tcBorders>
            <w:vAlign w:val="center"/>
          </w:tcPr>
          <w:p w14:paraId="15DF1100">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合计</w:t>
            </w:r>
          </w:p>
          <w:p w14:paraId="15DF1101">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（元）</w:t>
            </w:r>
          </w:p>
        </w:tc>
      </w:tr>
      <w:tr w14:paraId="15DF11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15DF1103">
            <w:pPr>
              <w:adjustRightInd w:val="0"/>
              <w:snapToGrid w:val="0"/>
              <w:spacing w:line="360" w:lineRule="auto"/>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15DF1104">
            <w:pPr>
              <w:adjustRightInd w:val="0"/>
              <w:snapToGrid w:val="0"/>
              <w:spacing w:line="360" w:lineRule="auto"/>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5DF1105">
            <w:pPr>
              <w:adjustRightInd w:val="0"/>
              <w:snapToGrid w:val="0"/>
              <w:spacing w:line="360" w:lineRule="auto"/>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5DF1106">
            <w:pPr>
              <w:adjustRightInd w:val="0"/>
              <w:snapToGrid w:val="0"/>
              <w:spacing w:line="360" w:lineRule="auto"/>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5DF1107">
            <w:pPr>
              <w:adjustRightInd w:val="0"/>
              <w:snapToGrid w:val="0"/>
              <w:spacing w:line="360" w:lineRule="auto"/>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15DF1108">
            <w:pPr>
              <w:adjustRightInd w:val="0"/>
              <w:snapToGrid w:val="0"/>
              <w:spacing w:line="360" w:lineRule="auto"/>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15DF1109">
            <w:pPr>
              <w:adjustRightInd w:val="0"/>
              <w:snapToGrid w:val="0"/>
              <w:spacing w:line="360" w:lineRule="auto"/>
              <w:jc w:val="center"/>
              <w:rPr>
                <w:rFonts w:hint="eastAsia" w:ascii="宋体" w:hAnsi="宋体" w:eastAsia="宋体" w:cs="宋体"/>
                <w:b/>
                <w:bCs/>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15DF110A">
            <w:pPr>
              <w:adjustRightInd w:val="0"/>
              <w:snapToGrid w:val="0"/>
              <w:spacing w:line="360" w:lineRule="auto"/>
              <w:jc w:val="center"/>
              <w:rPr>
                <w:rFonts w:hint="eastAsia" w:ascii="宋体" w:hAnsi="宋体" w:eastAsia="宋体" w:cs="宋体"/>
                <w:b/>
                <w:bCs/>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15DF110B">
            <w:pPr>
              <w:adjustRightInd w:val="0"/>
              <w:snapToGrid w:val="0"/>
              <w:spacing w:line="360" w:lineRule="auto"/>
              <w:jc w:val="center"/>
              <w:rPr>
                <w:rFonts w:hint="eastAsia" w:ascii="宋体" w:hAnsi="宋体" w:eastAsia="宋体" w:cs="宋体"/>
                <w:b/>
                <w:bCs/>
                <w:szCs w:val="21"/>
              </w:rPr>
            </w:pPr>
          </w:p>
        </w:tc>
      </w:tr>
      <w:tr w14:paraId="15DF111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15DF110D">
            <w:pPr>
              <w:adjustRightInd w:val="0"/>
              <w:snapToGrid w:val="0"/>
              <w:spacing w:line="360" w:lineRule="auto"/>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15DF110E">
            <w:pPr>
              <w:adjustRightInd w:val="0"/>
              <w:snapToGrid w:val="0"/>
              <w:spacing w:line="360" w:lineRule="auto"/>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5DF110F">
            <w:pPr>
              <w:adjustRightInd w:val="0"/>
              <w:snapToGrid w:val="0"/>
              <w:spacing w:line="360" w:lineRule="auto"/>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5DF1110">
            <w:pPr>
              <w:adjustRightInd w:val="0"/>
              <w:snapToGrid w:val="0"/>
              <w:spacing w:line="360" w:lineRule="auto"/>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5DF1111">
            <w:pPr>
              <w:adjustRightInd w:val="0"/>
              <w:snapToGrid w:val="0"/>
              <w:spacing w:line="360" w:lineRule="auto"/>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15DF1112">
            <w:pPr>
              <w:adjustRightInd w:val="0"/>
              <w:snapToGrid w:val="0"/>
              <w:spacing w:line="360" w:lineRule="auto"/>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15DF1113">
            <w:pPr>
              <w:adjustRightInd w:val="0"/>
              <w:snapToGrid w:val="0"/>
              <w:spacing w:line="360" w:lineRule="auto"/>
              <w:jc w:val="center"/>
              <w:rPr>
                <w:rFonts w:hint="eastAsia" w:ascii="宋体" w:hAnsi="宋体" w:eastAsia="宋体" w:cs="宋体"/>
                <w:b/>
                <w:bCs/>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15DF1114">
            <w:pPr>
              <w:adjustRightInd w:val="0"/>
              <w:snapToGrid w:val="0"/>
              <w:spacing w:line="360" w:lineRule="auto"/>
              <w:jc w:val="center"/>
              <w:rPr>
                <w:rFonts w:hint="eastAsia" w:ascii="宋体" w:hAnsi="宋体" w:eastAsia="宋体" w:cs="宋体"/>
                <w:b/>
                <w:bCs/>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15DF1115">
            <w:pPr>
              <w:adjustRightInd w:val="0"/>
              <w:snapToGrid w:val="0"/>
              <w:spacing w:line="360" w:lineRule="auto"/>
              <w:jc w:val="center"/>
              <w:rPr>
                <w:rFonts w:hint="eastAsia" w:ascii="宋体" w:hAnsi="宋体" w:eastAsia="宋体" w:cs="宋体"/>
                <w:b/>
                <w:bCs/>
                <w:szCs w:val="21"/>
              </w:rPr>
            </w:pPr>
          </w:p>
        </w:tc>
      </w:tr>
      <w:tr w14:paraId="15DF112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15DF1117">
            <w:pPr>
              <w:adjustRightInd w:val="0"/>
              <w:snapToGrid w:val="0"/>
              <w:spacing w:line="360" w:lineRule="auto"/>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15DF1118">
            <w:pPr>
              <w:adjustRightInd w:val="0"/>
              <w:snapToGrid w:val="0"/>
              <w:spacing w:line="360" w:lineRule="auto"/>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5DF1119">
            <w:pPr>
              <w:adjustRightInd w:val="0"/>
              <w:snapToGrid w:val="0"/>
              <w:spacing w:line="360" w:lineRule="auto"/>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5DF111A">
            <w:pPr>
              <w:adjustRightInd w:val="0"/>
              <w:snapToGrid w:val="0"/>
              <w:spacing w:line="360" w:lineRule="auto"/>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5DF111B">
            <w:pPr>
              <w:adjustRightInd w:val="0"/>
              <w:snapToGrid w:val="0"/>
              <w:spacing w:line="360" w:lineRule="auto"/>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15DF111C">
            <w:pPr>
              <w:adjustRightInd w:val="0"/>
              <w:snapToGrid w:val="0"/>
              <w:spacing w:line="360" w:lineRule="auto"/>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15DF111D">
            <w:pPr>
              <w:adjustRightInd w:val="0"/>
              <w:snapToGrid w:val="0"/>
              <w:spacing w:line="360" w:lineRule="auto"/>
              <w:jc w:val="center"/>
              <w:rPr>
                <w:rFonts w:hint="eastAsia" w:ascii="宋体" w:hAnsi="宋体" w:eastAsia="宋体" w:cs="宋体"/>
                <w:b/>
                <w:bCs/>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15DF111E">
            <w:pPr>
              <w:adjustRightInd w:val="0"/>
              <w:snapToGrid w:val="0"/>
              <w:spacing w:line="360" w:lineRule="auto"/>
              <w:jc w:val="center"/>
              <w:rPr>
                <w:rFonts w:hint="eastAsia" w:ascii="宋体" w:hAnsi="宋体" w:eastAsia="宋体" w:cs="宋体"/>
                <w:b/>
                <w:bCs/>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15DF111F">
            <w:pPr>
              <w:adjustRightInd w:val="0"/>
              <w:snapToGrid w:val="0"/>
              <w:spacing w:line="360" w:lineRule="auto"/>
              <w:jc w:val="center"/>
              <w:rPr>
                <w:rFonts w:hint="eastAsia" w:ascii="宋体" w:hAnsi="宋体" w:eastAsia="宋体" w:cs="宋体"/>
                <w:b/>
                <w:bCs/>
                <w:szCs w:val="21"/>
              </w:rPr>
            </w:pPr>
          </w:p>
        </w:tc>
      </w:tr>
      <w:tr w14:paraId="15DF112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vAlign w:val="center"/>
          </w:tcPr>
          <w:p w14:paraId="15DF1121">
            <w:pPr>
              <w:adjustRightInd w:val="0"/>
              <w:snapToGrid w:val="0"/>
              <w:spacing w:line="360" w:lineRule="auto"/>
              <w:jc w:val="left"/>
              <w:rPr>
                <w:rFonts w:hint="eastAsia" w:ascii="宋体" w:hAnsi="宋体" w:eastAsia="宋体" w:cs="宋体"/>
                <w:b/>
                <w:bCs/>
                <w:szCs w:val="21"/>
              </w:rPr>
            </w:pPr>
            <w:r>
              <w:rPr>
                <w:rFonts w:hint="eastAsia" w:ascii="宋体" w:hAnsi="宋体" w:eastAsia="宋体" w:cs="宋体"/>
                <w:b/>
                <w:bCs/>
                <w:szCs w:val="21"/>
              </w:rPr>
              <w:t>★以下（联合体其他成员）承担的部分：</w:t>
            </w:r>
          </w:p>
        </w:tc>
      </w:tr>
      <w:tr w14:paraId="15DF11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15DF1123">
            <w:pPr>
              <w:adjustRightInd w:val="0"/>
              <w:snapToGrid w:val="0"/>
              <w:spacing w:line="360" w:lineRule="auto"/>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15DF1124">
            <w:pPr>
              <w:adjustRightInd w:val="0"/>
              <w:snapToGrid w:val="0"/>
              <w:spacing w:line="360" w:lineRule="auto"/>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5DF1125">
            <w:pPr>
              <w:adjustRightInd w:val="0"/>
              <w:snapToGrid w:val="0"/>
              <w:spacing w:line="360" w:lineRule="auto"/>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5DF1126">
            <w:pPr>
              <w:adjustRightInd w:val="0"/>
              <w:snapToGrid w:val="0"/>
              <w:spacing w:line="360" w:lineRule="auto"/>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5DF1127">
            <w:pPr>
              <w:adjustRightInd w:val="0"/>
              <w:snapToGrid w:val="0"/>
              <w:spacing w:line="360" w:lineRule="auto"/>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15DF1128">
            <w:pPr>
              <w:adjustRightInd w:val="0"/>
              <w:snapToGrid w:val="0"/>
              <w:spacing w:line="360" w:lineRule="auto"/>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15DF1129">
            <w:pPr>
              <w:adjustRightInd w:val="0"/>
              <w:snapToGrid w:val="0"/>
              <w:spacing w:line="360" w:lineRule="auto"/>
              <w:jc w:val="center"/>
              <w:rPr>
                <w:rFonts w:hint="eastAsia" w:ascii="宋体" w:hAnsi="宋体" w:eastAsia="宋体" w:cs="宋体"/>
                <w:b/>
                <w:bCs/>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15DF112A">
            <w:pPr>
              <w:adjustRightInd w:val="0"/>
              <w:snapToGrid w:val="0"/>
              <w:spacing w:line="360" w:lineRule="auto"/>
              <w:jc w:val="center"/>
              <w:rPr>
                <w:rFonts w:hint="eastAsia" w:ascii="宋体" w:hAnsi="宋体" w:eastAsia="宋体" w:cs="宋体"/>
                <w:b/>
                <w:bCs/>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15DF112B">
            <w:pPr>
              <w:adjustRightInd w:val="0"/>
              <w:snapToGrid w:val="0"/>
              <w:spacing w:line="360" w:lineRule="auto"/>
              <w:jc w:val="center"/>
              <w:rPr>
                <w:rFonts w:hint="eastAsia" w:ascii="宋体" w:hAnsi="宋体" w:eastAsia="宋体" w:cs="宋体"/>
                <w:b/>
                <w:bCs/>
                <w:szCs w:val="21"/>
              </w:rPr>
            </w:pPr>
          </w:p>
        </w:tc>
      </w:tr>
      <w:tr w14:paraId="15DF11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vAlign w:val="center"/>
          </w:tcPr>
          <w:p w14:paraId="15DF112D">
            <w:pPr>
              <w:adjustRightInd w:val="0"/>
              <w:snapToGrid w:val="0"/>
              <w:spacing w:line="360" w:lineRule="auto"/>
              <w:jc w:val="left"/>
              <w:rPr>
                <w:rFonts w:hint="eastAsia" w:ascii="宋体" w:hAnsi="宋体" w:eastAsia="宋体" w:cs="宋体"/>
                <w:b/>
                <w:bCs/>
                <w:szCs w:val="21"/>
              </w:rPr>
            </w:pPr>
            <w:r>
              <w:rPr>
                <w:rFonts w:hint="eastAsia" w:ascii="宋体" w:hAnsi="宋体" w:eastAsia="宋体" w:cs="宋体"/>
                <w:b/>
                <w:bCs/>
                <w:szCs w:val="21"/>
              </w:rPr>
              <w:t>★以下（分包单位）承担的部分：</w:t>
            </w:r>
          </w:p>
        </w:tc>
      </w:tr>
      <w:tr w14:paraId="15DF113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15DF112F">
            <w:pPr>
              <w:adjustRightInd w:val="0"/>
              <w:snapToGrid w:val="0"/>
              <w:spacing w:line="360" w:lineRule="auto"/>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15DF1130">
            <w:pPr>
              <w:adjustRightInd w:val="0"/>
              <w:snapToGrid w:val="0"/>
              <w:spacing w:line="360" w:lineRule="auto"/>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5DF1131">
            <w:pPr>
              <w:adjustRightInd w:val="0"/>
              <w:snapToGrid w:val="0"/>
              <w:spacing w:line="360" w:lineRule="auto"/>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5DF1132">
            <w:pPr>
              <w:adjustRightInd w:val="0"/>
              <w:snapToGrid w:val="0"/>
              <w:spacing w:line="360" w:lineRule="auto"/>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5DF1133">
            <w:pPr>
              <w:adjustRightInd w:val="0"/>
              <w:snapToGrid w:val="0"/>
              <w:spacing w:line="360" w:lineRule="auto"/>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15DF1134">
            <w:pPr>
              <w:adjustRightInd w:val="0"/>
              <w:snapToGrid w:val="0"/>
              <w:spacing w:line="360" w:lineRule="auto"/>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15DF1135">
            <w:pPr>
              <w:adjustRightInd w:val="0"/>
              <w:snapToGrid w:val="0"/>
              <w:spacing w:line="360" w:lineRule="auto"/>
              <w:jc w:val="center"/>
              <w:rPr>
                <w:rFonts w:hint="eastAsia" w:ascii="宋体" w:hAnsi="宋体" w:eastAsia="宋体" w:cs="宋体"/>
                <w:b/>
                <w:bCs/>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15DF1136">
            <w:pPr>
              <w:adjustRightInd w:val="0"/>
              <w:snapToGrid w:val="0"/>
              <w:spacing w:line="360" w:lineRule="auto"/>
              <w:jc w:val="center"/>
              <w:rPr>
                <w:rFonts w:hint="eastAsia" w:ascii="宋体" w:hAnsi="宋体" w:eastAsia="宋体" w:cs="宋体"/>
                <w:b/>
                <w:bCs/>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15DF1137">
            <w:pPr>
              <w:adjustRightInd w:val="0"/>
              <w:snapToGrid w:val="0"/>
              <w:spacing w:line="360" w:lineRule="auto"/>
              <w:jc w:val="center"/>
              <w:rPr>
                <w:rFonts w:hint="eastAsia" w:ascii="宋体" w:hAnsi="宋体" w:eastAsia="宋体" w:cs="宋体"/>
                <w:b/>
                <w:bCs/>
                <w:szCs w:val="21"/>
              </w:rPr>
            </w:pPr>
          </w:p>
        </w:tc>
      </w:tr>
      <w:tr w14:paraId="15DF113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vAlign w:val="center"/>
          </w:tcPr>
          <w:p w14:paraId="15DF1139">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投标总价（人民币元）</w:t>
            </w:r>
          </w:p>
          <w:p w14:paraId="15DF113A">
            <w:pPr>
              <w:adjustRightInd w:val="0"/>
              <w:snapToGrid w:val="0"/>
              <w:spacing w:line="288" w:lineRule="auto"/>
              <w:rPr>
                <w:rFonts w:hint="eastAsia" w:ascii="宋体" w:hAnsi="宋体" w:eastAsia="宋体" w:cs="宋体"/>
                <w:b/>
                <w:bCs/>
                <w:szCs w:val="21"/>
              </w:rPr>
            </w:pPr>
          </w:p>
          <w:p w14:paraId="15DF113B">
            <w:pPr>
              <w:adjustRightInd w:val="0"/>
              <w:snapToGrid w:val="0"/>
              <w:spacing w:line="288" w:lineRule="auto"/>
              <w:rPr>
                <w:rFonts w:hint="eastAsia" w:ascii="宋体" w:hAnsi="宋体" w:eastAsia="宋体" w:cs="宋体"/>
                <w:b/>
                <w:bCs/>
                <w:szCs w:val="21"/>
              </w:rPr>
            </w:pPr>
            <w:r>
              <w:rPr>
                <w:rFonts w:hint="eastAsia" w:ascii="宋体" w:hAnsi="宋体" w:eastAsia="宋体" w:cs="宋体"/>
                <w:b/>
                <w:bCs/>
                <w:szCs w:val="21"/>
              </w:rPr>
              <w:t>小写：_________________________</w:t>
            </w:r>
          </w:p>
          <w:p w14:paraId="15DF113C">
            <w:pPr>
              <w:adjustRightInd w:val="0"/>
              <w:snapToGrid w:val="0"/>
              <w:spacing w:line="288" w:lineRule="auto"/>
              <w:rPr>
                <w:rFonts w:hint="eastAsia" w:ascii="宋体" w:hAnsi="宋体" w:eastAsia="宋体" w:cs="宋体"/>
                <w:b/>
                <w:bCs/>
                <w:szCs w:val="21"/>
              </w:rPr>
            </w:pPr>
          </w:p>
          <w:p w14:paraId="15DF113D">
            <w:pPr>
              <w:adjustRightInd w:val="0"/>
              <w:snapToGrid w:val="0"/>
              <w:spacing w:line="288" w:lineRule="auto"/>
              <w:rPr>
                <w:rFonts w:hint="eastAsia" w:ascii="宋体" w:hAnsi="宋体" w:eastAsia="宋体" w:cs="宋体"/>
                <w:b/>
                <w:bCs/>
                <w:szCs w:val="21"/>
              </w:rPr>
            </w:pPr>
            <w:r>
              <w:rPr>
                <w:rFonts w:hint="eastAsia" w:ascii="宋体" w:hAnsi="宋体" w:eastAsia="宋体" w:cs="宋体"/>
                <w:b/>
                <w:bCs/>
                <w:szCs w:val="21"/>
              </w:rPr>
              <w:t>大写：_________________________</w:t>
            </w:r>
          </w:p>
          <w:p w14:paraId="15DF113E">
            <w:pPr>
              <w:adjustRightInd w:val="0"/>
              <w:snapToGrid w:val="0"/>
              <w:spacing w:line="288" w:lineRule="auto"/>
              <w:rPr>
                <w:rFonts w:hint="eastAsia" w:ascii="宋体" w:hAnsi="宋体" w:eastAsia="宋体" w:cs="宋体"/>
                <w:b/>
                <w:bCs/>
                <w:szCs w:val="21"/>
              </w:rPr>
            </w:pPr>
          </w:p>
        </w:tc>
      </w:tr>
    </w:tbl>
    <w:p w14:paraId="15DF1140">
      <w:pPr>
        <w:adjustRightInd w:val="0"/>
        <w:snapToGrid w:val="0"/>
        <w:spacing w:line="288" w:lineRule="auto"/>
        <w:rPr>
          <w:rFonts w:hint="eastAsia" w:ascii="宋体" w:hAnsi="宋体" w:eastAsia="宋体" w:cs="Times New Roman"/>
          <w:spacing w:val="-6"/>
          <w:szCs w:val="21"/>
        </w:rPr>
      </w:pPr>
    </w:p>
    <w:p w14:paraId="15DF1141">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说明：</w:t>
      </w:r>
    </w:p>
    <w:p w14:paraId="15DF1142">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1.开标一览表应按照本招标文件“第三章 投标人须知”关于“投标报价”的规定填写；</w:t>
      </w:r>
    </w:p>
    <w:p w14:paraId="15DF1143">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★2.服务项目不涉及提供货物的，规格型号、品牌、制造商、产地的可不填写；</w:t>
      </w:r>
    </w:p>
    <w:p w14:paraId="15DF1144">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★3.联合体其他成员承担的部分、分包单位承担的部分，应在表中列明。</w:t>
      </w:r>
    </w:p>
    <w:p w14:paraId="15DF1145">
      <w:pPr>
        <w:adjustRightInd w:val="0"/>
        <w:snapToGrid w:val="0"/>
        <w:spacing w:line="288" w:lineRule="auto"/>
        <w:rPr>
          <w:rFonts w:hint="eastAsia" w:ascii="宋体" w:hAnsi="宋体" w:eastAsia="宋体" w:cs="Times New Roman"/>
          <w:szCs w:val="21"/>
        </w:rPr>
      </w:pPr>
    </w:p>
    <w:p w14:paraId="15DF1146">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15DF1147">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15DF1148">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Times New Roman"/>
          <w:bCs/>
          <w:spacing w:val="-6"/>
          <w:szCs w:val="21"/>
        </w:rPr>
        <w:br w:type="page"/>
      </w:r>
    </w:p>
    <w:p w14:paraId="15DF1149">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2</w:t>
      </w:r>
      <w:r>
        <w:rPr>
          <w:rFonts w:hint="eastAsia" w:ascii="宋体" w:hAnsi="宋体" w:eastAsia="宋体" w:cs="宋体"/>
          <w:b/>
          <w:spacing w:val="-6"/>
          <w:szCs w:val="21"/>
        </w:rPr>
        <w:t>）</w:t>
      </w:r>
      <w:r>
        <w:rPr>
          <w:rFonts w:ascii="宋体" w:hAnsi="宋体" w:eastAsia="宋体" w:cs="宋体"/>
          <w:b/>
          <w:spacing w:val="-6"/>
          <w:szCs w:val="21"/>
        </w:rPr>
        <w:t>中小企业声明函（货物）</w:t>
      </w:r>
      <w:r>
        <w:rPr>
          <w:rFonts w:hint="eastAsia" w:ascii="宋体" w:hAnsi="宋体" w:eastAsia="宋体" w:cs="宋体"/>
          <w:b/>
          <w:spacing w:val="-6"/>
          <w:szCs w:val="21"/>
        </w:rPr>
        <w:t>（若属于中小企业）</w:t>
      </w:r>
    </w:p>
    <w:p w14:paraId="15DF114A">
      <w:pPr>
        <w:adjustRightInd w:val="0"/>
        <w:snapToGrid w:val="0"/>
        <w:spacing w:line="288" w:lineRule="auto"/>
        <w:ind w:firstLine="498" w:firstLineChars="236"/>
        <w:rPr>
          <w:rFonts w:hint="eastAsia" w:ascii="宋体" w:hAnsi="宋体" w:eastAsia="宋体" w:cs="Times New Roman"/>
          <w:b/>
          <w:szCs w:val="21"/>
        </w:rPr>
      </w:pPr>
    </w:p>
    <w:p w14:paraId="15DF114B">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本公司（联合体）郑重声明，根据《政府采购促进中小企业发展管理办法》（财库</w:t>
      </w:r>
      <w:r>
        <w:rPr>
          <w:rFonts w:hint="eastAsia" w:ascii="宋体" w:hAnsi="宋体" w:eastAsia="宋体" w:cs="Times New Roman"/>
          <w:szCs w:val="21"/>
        </w:rPr>
        <w:t>﹝</w:t>
      </w:r>
      <w:r>
        <w:rPr>
          <w:rFonts w:ascii="宋体" w:hAnsi="宋体" w:eastAsia="宋体" w:cs="Times New Roman"/>
          <w:szCs w:val="21"/>
        </w:rPr>
        <w:t>2020</w:t>
      </w:r>
      <w:r>
        <w:rPr>
          <w:rFonts w:hint="eastAsia" w:ascii="宋体" w:hAnsi="宋体" w:eastAsia="宋体" w:cs="Times New Roman"/>
          <w:szCs w:val="21"/>
        </w:rPr>
        <w:t>﹞</w:t>
      </w:r>
      <w:r>
        <w:rPr>
          <w:rFonts w:ascii="宋体" w:hAnsi="宋体" w:eastAsia="宋体" w:cs="Times New Roman"/>
          <w:szCs w:val="21"/>
        </w:rPr>
        <w:t>46 号）的规定，本公司（联合体）参加</w:t>
      </w:r>
      <w:r>
        <w:rPr>
          <w:rFonts w:ascii="宋体" w:hAnsi="宋体" w:eastAsia="宋体" w:cs="Times New Roman"/>
          <w:i/>
          <w:szCs w:val="21"/>
          <w:u w:val="single"/>
        </w:rPr>
        <w:t>（单位名称）</w:t>
      </w:r>
      <w:r>
        <w:rPr>
          <w:rFonts w:ascii="宋体" w:hAnsi="宋体" w:eastAsia="宋体" w:cs="Times New Roman"/>
          <w:szCs w:val="21"/>
        </w:rPr>
        <w:t>的</w:t>
      </w:r>
      <w:r>
        <w:rPr>
          <w:rFonts w:ascii="宋体" w:hAnsi="宋体" w:eastAsia="宋体" w:cs="Times New Roman"/>
          <w:i/>
          <w:szCs w:val="21"/>
          <w:u w:val="single"/>
        </w:rPr>
        <w:t>（</w:t>
      </w:r>
      <w:bookmarkStart w:id="76" w:name="_Hlk118098443"/>
      <w:r>
        <w:rPr>
          <w:rFonts w:ascii="宋体" w:hAnsi="宋体" w:eastAsia="宋体" w:cs="Times New Roman"/>
          <w:i/>
          <w:szCs w:val="21"/>
          <w:u w:val="single"/>
        </w:rPr>
        <w:t>项目名称</w:t>
      </w:r>
      <w:bookmarkEnd w:id="76"/>
      <w:r>
        <w:rPr>
          <w:rFonts w:ascii="宋体" w:hAnsi="宋体" w:eastAsia="宋体" w:cs="Times New Roman"/>
          <w:i/>
          <w:szCs w:val="21"/>
          <w:u w:val="single"/>
        </w:rPr>
        <w:t>）</w:t>
      </w:r>
      <w:r>
        <w:rPr>
          <w:rFonts w:ascii="宋体" w:hAnsi="宋体" w:eastAsia="宋体" w:cs="Times New Roman"/>
          <w:szCs w:val="21"/>
        </w:rPr>
        <w:t>采购活动，提供的货物全部由符合政策要求的中小企业制造。相关企业（含联合体中的中小企业、签订分包意向协议的中小企业）的具体情况如下：</w:t>
      </w:r>
    </w:p>
    <w:p w14:paraId="15DF114C">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i/>
          <w:szCs w:val="21"/>
          <w:u w:val="single"/>
        </w:rPr>
        <w:t>1. （标的名称）</w:t>
      </w:r>
      <w:r>
        <w:rPr>
          <w:rFonts w:ascii="宋体" w:hAnsi="宋体" w:eastAsia="宋体" w:cs="Times New Roman"/>
          <w:i/>
          <w:szCs w:val="21"/>
        </w:rPr>
        <w:t xml:space="preserve"> </w:t>
      </w:r>
      <w:r>
        <w:rPr>
          <w:rFonts w:ascii="宋体" w:hAnsi="宋体" w:eastAsia="宋体" w:cs="Times New Roman"/>
          <w:szCs w:val="21"/>
        </w:rPr>
        <w:t>，属于</w:t>
      </w:r>
      <w:r>
        <w:rPr>
          <w:rFonts w:ascii="宋体" w:hAnsi="宋体" w:eastAsia="宋体" w:cs="Times New Roman"/>
          <w:i/>
          <w:szCs w:val="21"/>
        </w:rPr>
        <w:t>（</w:t>
      </w:r>
      <w:r>
        <w:rPr>
          <w:rFonts w:ascii="宋体" w:hAnsi="宋体" w:eastAsia="宋体" w:cs="Times New Roman"/>
          <w:i/>
          <w:szCs w:val="21"/>
          <w:u w:val="single"/>
        </w:rPr>
        <w:t>采购文件中明确的所属行业）行业</w:t>
      </w:r>
      <w:r>
        <w:rPr>
          <w:rFonts w:ascii="宋体" w:hAnsi="宋体" w:eastAsia="宋体" w:cs="Times New Roman"/>
          <w:szCs w:val="21"/>
        </w:rPr>
        <w:t>；制造商为</w:t>
      </w:r>
      <w:r>
        <w:rPr>
          <w:rFonts w:ascii="宋体" w:hAnsi="宋体" w:eastAsia="宋体" w:cs="Times New Roman"/>
          <w:i/>
          <w:szCs w:val="21"/>
          <w:u w:val="single"/>
        </w:rPr>
        <w:t>（企业名称）</w:t>
      </w:r>
      <w:r>
        <w:rPr>
          <w:rFonts w:ascii="宋体" w:hAnsi="宋体" w:eastAsia="宋体" w:cs="Times New Roman"/>
          <w:szCs w:val="21"/>
        </w:rPr>
        <w:t>，从业人员</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人，营业收入为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万元，资产总额为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万元，属于</w:t>
      </w:r>
      <w:r>
        <w:rPr>
          <w:rFonts w:ascii="宋体" w:hAnsi="宋体" w:eastAsia="宋体" w:cs="Times New Roman"/>
          <w:i/>
          <w:szCs w:val="21"/>
          <w:u w:val="single"/>
        </w:rPr>
        <w:t>（中型企业、小型企业、微型企业）</w:t>
      </w:r>
      <w:r>
        <w:rPr>
          <w:rFonts w:ascii="宋体" w:hAnsi="宋体" w:eastAsia="宋体" w:cs="Times New Roman"/>
          <w:szCs w:val="21"/>
        </w:rPr>
        <w:t>；</w:t>
      </w:r>
    </w:p>
    <w:p w14:paraId="15DF114D">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i/>
          <w:szCs w:val="21"/>
          <w:u w:val="single"/>
        </w:rPr>
        <w:t>2. （标的名称）</w:t>
      </w:r>
      <w:r>
        <w:rPr>
          <w:rFonts w:ascii="宋体" w:hAnsi="宋体" w:eastAsia="宋体" w:cs="Times New Roman"/>
          <w:i/>
          <w:szCs w:val="21"/>
        </w:rPr>
        <w:t xml:space="preserve"> </w:t>
      </w:r>
      <w:r>
        <w:rPr>
          <w:rFonts w:ascii="宋体" w:hAnsi="宋体" w:eastAsia="宋体" w:cs="Times New Roman"/>
          <w:szCs w:val="21"/>
        </w:rPr>
        <w:t>，属于</w:t>
      </w:r>
      <w:r>
        <w:rPr>
          <w:rFonts w:ascii="宋体" w:hAnsi="宋体" w:eastAsia="宋体" w:cs="Times New Roman"/>
          <w:i/>
          <w:szCs w:val="21"/>
        </w:rPr>
        <w:t>（</w:t>
      </w:r>
      <w:r>
        <w:rPr>
          <w:rFonts w:ascii="宋体" w:hAnsi="宋体" w:eastAsia="宋体" w:cs="Times New Roman"/>
          <w:i/>
          <w:szCs w:val="21"/>
          <w:u w:val="single"/>
        </w:rPr>
        <w:t>采购文件中明确的所属行业）行业</w:t>
      </w:r>
      <w:r>
        <w:rPr>
          <w:rFonts w:ascii="宋体" w:hAnsi="宋体" w:eastAsia="宋体" w:cs="Times New Roman"/>
          <w:szCs w:val="21"/>
        </w:rPr>
        <w:t>；制造商为</w:t>
      </w:r>
      <w:r>
        <w:rPr>
          <w:rFonts w:ascii="宋体" w:hAnsi="宋体" w:eastAsia="宋体" w:cs="Times New Roman"/>
          <w:i/>
          <w:szCs w:val="21"/>
          <w:u w:val="single"/>
        </w:rPr>
        <w:t>（企业名称）</w:t>
      </w:r>
      <w:r>
        <w:rPr>
          <w:rFonts w:ascii="宋体" w:hAnsi="宋体" w:eastAsia="宋体" w:cs="Times New Roman"/>
          <w:szCs w:val="21"/>
        </w:rPr>
        <w:t>，从业人员</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人，营业收入为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万元，资产总额为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万元，属于</w:t>
      </w:r>
      <w:r>
        <w:rPr>
          <w:rFonts w:ascii="宋体" w:hAnsi="宋体" w:eastAsia="宋体" w:cs="Times New Roman"/>
          <w:i/>
          <w:szCs w:val="21"/>
          <w:u w:val="single"/>
        </w:rPr>
        <w:t>（中型企业、小型企业、微型企业）</w:t>
      </w:r>
      <w:r>
        <w:rPr>
          <w:rFonts w:hint="eastAsia" w:ascii="宋体" w:hAnsi="宋体" w:eastAsia="宋体" w:cs="Times New Roman"/>
          <w:szCs w:val="21"/>
        </w:rPr>
        <w:t>；</w:t>
      </w:r>
    </w:p>
    <w:p w14:paraId="15DF114E">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w:t>
      </w:r>
    </w:p>
    <w:p w14:paraId="15DF114F">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以上企业，不属于大企业的分支机构，不存在控股股东为大企业的情形，也不存在与大企业的负责人为同一人的情形。</w:t>
      </w:r>
    </w:p>
    <w:p w14:paraId="15DF1150">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本企业对上述声明内容的真实性负责。如有虚假，将依法承担相应责任。</w:t>
      </w:r>
    </w:p>
    <w:p w14:paraId="15DF1151">
      <w:pPr>
        <w:adjustRightInd w:val="0"/>
        <w:snapToGrid w:val="0"/>
        <w:spacing w:line="288" w:lineRule="auto"/>
        <w:ind w:firstLine="495" w:firstLineChars="236"/>
        <w:rPr>
          <w:rFonts w:hint="eastAsia" w:ascii="宋体" w:hAnsi="宋体" w:eastAsia="宋体" w:cs="Times New Roman"/>
          <w:szCs w:val="21"/>
        </w:rPr>
      </w:pPr>
    </w:p>
    <w:p w14:paraId="15DF1152">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企业名称（盖章）：</w:t>
      </w:r>
    </w:p>
    <w:p w14:paraId="15DF1153">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日期：</w:t>
      </w:r>
    </w:p>
    <w:p w14:paraId="15DF1154">
      <w:pPr>
        <w:adjustRightInd w:val="0"/>
        <w:snapToGrid w:val="0"/>
        <w:spacing w:line="288" w:lineRule="auto"/>
        <w:ind w:firstLine="495" w:firstLineChars="236"/>
        <w:rPr>
          <w:rFonts w:hint="eastAsia" w:ascii="宋体" w:hAnsi="宋体" w:eastAsia="宋体" w:cs="Times New Roman"/>
          <w:szCs w:val="21"/>
        </w:rPr>
      </w:pPr>
    </w:p>
    <w:p w14:paraId="15DF1155">
      <w:pPr>
        <w:adjustRightInd w:val="0"/>
        <w:snapToGrid w:val="0"/>
        <w:spacing w:line="288" w:lineRule="auto"/>
        <w:ind w:firstLine="495" w:firstLineChars="236"/>
        <w:rPr>
          <w:rFonts w:hint="eastAsia" w:ascii="宋体" w:hAnsi="宋体" w:eastAsia="宋体" w:cs="Times New Roman"/>
          <w:szCs w:val="21"/>
        </w:rPr>
      </w:pPr>
      <w:r>
        <w:rPr>
          <w:rFonts w:hint="eastAsia" w:ascii="宋体" w:hAnsi="宋体" w:eastAsia="宋体" w:cs="Times New Roman"/>
          <w:szCs w:val="21"/>
        </w:rPr>
        <w:t>注：</w:t>
      </w:r>
    </w:p>
    <w:p w14:paraId="15DF1156">
      <w:pPr>
        <w:adjustRightInd w:val="0"/>
        <w:snapToGrid w:val="0"/>
        <w:spacing w:line="288" w:lineRule="auto"/>
        <w:ind w:firstLine="495" w:firstLineChars="236"/>
        <w:rPr>
          <w:rFonts w:hint="eastAsia" w:ascii="宋体" w:hAnsi="宋体" w:eastAsia="宋体" w:cs="宋体"/>
          <w:szCs w:val="21"/>
        </w:rPr>
      </w:pPr>
      <w:r>
        <w:rPr>
          <w:rFonts w:hint="eastAsia" w:ascii="宋体" w:hAnsi="宋体" w:eastAsia="宋体" w:cs="宋体"/>
          <w:szCs w:val="21"/>
        </w:rPr>
        <w:t>1.标的名称，按照【招标文件】中明确的标的填写；</w:t>
      </w:r>
    </w:p>
    <w:p w14:paraId="15DF1157">
      <w:pPr>
        <w:adjustRightInd w:val="0"/>
        <w:snapToGrid w:val="0"/>
        <w:spacing w:line="288" w:lineRule="auto"/>
        <w:ind w:firstLine="495" w:firstLineChars="236"/>
        <w:rPr>
          <w:rFonts w:hint="eastAsia" w:ascii="宋体" w:hAnsi="宋体" w:eastAsia="宋体" w:cs="宋体"/>
          <w:szCs w:val="21"/>
        </w:rPr>
      </w:pPr>
      <w:r>
        <w:rPr>
          <w:rFonts w:hint="eastAsia" w:ascii="宋体" w:hAnsi="宋体" w:eastAsia="宋体" w:cs="宋体"/>
          <w:szCs w:val="21"/>
        </w:rPr>
        <w:t>2.所属行业，按照【招标文件】中明确的标的“所属行业”填写；</w:t>
      </w:r>
    </w:p>
    <w:p w14:paraId="15DF1158">
      <w:pPr>
        <w:adjustRightInd w:val="0"/>
        <w:snapToGrid w:val="0"/>
        <w:spacing w:line="288" w:lineRule="auto"/>
        <w:ind w:firstLine="495" w:firstLineChars="236"/>
        <w:rPr>
          <w:rFonts w:hint="eastAsia" w:ascii="宋体" w:hAnsi="宋体" w:eastAsia="宋体" w:cs="宋体"/>
          <w:szCs w:val="21"/>
        </w:rPr>
      </w:pPr>
      <w:r>
        <w:rPr>
          <w:rFonts w:hint="eastAsia" w:ascii="宋体" w:hAnsi="宋体" w:eastAsia="宋体" w:cs="宋体"/>
          <w:szCs w:val="21"/>
        </w:rPr>
        <w:t>3.制造商，货物由中小企业制造，即货物由中小企业生产且使用该中小企业商号或者注册商标；</w:t>
      </w:r>
    </w:p>
    <w:p w14:paraId="15DF1159">
      <w:pPr>
        <w:adjustRightInd w:val="0"/>
        <w:snapToGrid w:val="0"/>
        <w:spacing w:line="288" w:lineRule="auto"/>
        <w:ind w:firstLine="495" w:firstLineChars="236"/>
        <w:rPr>
          <w:rFonts w:hint="eastAsia" w:ascii="宋体" w:hAnsi="宋体" w:eastAsia="宋体" w:cs="宋体"/>
          <w:szCs w:val="21"/>
        </w:rPr>
      </w:pPr>
      <w:r>
        <w:rPr>
          <w:rFonts w:hint="eastAsia" w:ascii="宋体" w:hAnsi="宋体" w:eastAsia="宋体" w:cs="宋体"/>
          <w:szCs w:val="21"/>
        </w:rPr>
        <w:t>4.从业人员、营业收入、资产总额填报上一年度数据，无上一年度数据的新成立企业可不填报。</w:t>
      </w:r>
    </w:p>
    <w:p w14:paraId="15DF115A">
      <w:pPr>
        <w:adjustRightInd w:val="0"/>
        <w:snapToGrid w:val="0"/>
        <w:spacing w:line="288" w:lineRule="auto"/>
        <w:ind w:firstLine="495" w:firstLineChars="236"/>
        <w:rPr>
          <w:rFonts w:hint="eastAsia" w:ascii="宋体" w:hAnsi="宋体" w:eastAsia="宋体" w:cs="宋体"/>
          <w:szCs w:val="21"/>
        </w:rPr>
      </w:pPr>
      <w:r>
        <w:rPr>
          <w:rFonts w:hint="eastAsia" w:ascii="宋体" w:hAnsi="宋体" w:eastAsia="宋体" w:cs="宋体"/>
          <w:szCs w:val="21"/>
        </w:rPr>
        <w:t>5.企业类型（包括新成立企业），按照《中小企业划型标准规定》（工信部联企业〔2011〕300号）规定和【招标文件】中明确的标的“所属行业”，选择“中型企业、小型企业、微型企业”其中之一；</w:t>
      </w:r>
    </w:p>
    <w:p w14:paraId="15DF115B">
      <w:pPr>
        <w:adjustRightInd w:val="0"/>
        <w:snapToGrid w:val="0"/>
        <w:spacing w:line="288" w:lineRule="auto"/>
        <w:ind w:firstLine="495" w:firstLineChars="236"/>
        <w:rPr>
          <w:rFonts w:hint="eastAsia" w:ascii="宋体" w:hAnsi="宋体" w:eastAsia="宋体" w:cs="宋体"/>
          <w:szCs w:val="21"/>
          <w:u w:val="single"/>
        </w:rPr>
      </w:pPr>
      <w:r>
        <w:rPr>
          <w:rFonts w:hint="eastAsia" w:ascii="宋体" w:hAnsi="宋体" w:eastAsia="宋体" w:cs="宋体"/>
          <w:szCs w:val="21"/>
        </w:rPr>
        <w:t>6.招标文件中明确的标的是能够独立发挥功能的产品，配件、辅料不作为标的，不需要在《中小企业声明函》里填列。</w:t>
      </w:r>
    </w:p>
    <w:p w14:paraId="15DF115C">
      <w:pPr>
        <w:widowControl/>
        <w:adjustRightInd w:val="0"/>
        <w:snapToGrid w:val="0"/>
        <w:spacing w:line="288" w:lineRule="auto"/>
        <w:ind w:firstLine="495" w:firstLineChars="236"/>
        <w:jc w:val="left"/>
        <w:rPr>
          <w:rFonts w:hint="eastAsia" w:ascii="宋体" w:hAnsi="宋体" w:eastAsia="宋体" w:cs="Times New Roman"/>
          <w:szCs w:val="21"/>
        </w:rPr>
      </w:pPr>
      <w:r>
        <w:rPr>
          <w:rFonts w:ascii="宋体" w:hAnsi="宋体" w:eastAsia="宋体" w:cs="Times New Roman"/>
          <w:szCs w:val="21"/>
        </w:rPr>
        <w:br w:type="page"/>
      </w:r>
    </w:p>
    <w:p w14:paraId="15DF115D">
      <w:pPr>
        <w:adjustRightInd w:val="0"/>
        <w:snapToGrid w:val="0"/>
        <w:spacing w:line="288" w:lineRule="auto"/>
        <w:jc w:val="center"/>
        <w:outlineLvl w:val="2"/>
        <w:rPr>
          <w:rFonts w:hint="eastAsia" w:ascii="宋体" w:hAnsi="宋体" w:eastAsia="宋体" w:cs="宋体"/>
          <w:kern w:val="0"/>
          <w:szCs w:val="21"/>
        </w:rPr>
      </w:pPr>
      <w:r>
        <w:rPr>
          <w:rFonts w:hint="eastAsia" w:ascii="宋体" w:hAnsi="宋体" w:eastAsia="宋体" w:cs="宋体"/>
          <w:b/>
          <w:spacing w:val="-6"/>
          <w:szCs w:val="21"/>
        </w:rPr>
        <w:t>（</w:t>
      </w:r>
      <w:r>
        <w:rPr>
          <w:rFonts w:ascii="宋体" w:hAnsi="宋体" w:eastAsia="宋体" w:cs="宋体"/>
          <w:b/>
          <w:spacing w:val="-6"/>
          <w:szCs w:val="21"/>
        </w:rPr>
        <w:t>3</w:t>
      </w:r>
      <w:r>
        <w:rPr>
          <w:rFonts w:hint="eastAsia" w:ascii="宋体" w:hAnsi="宋体" w:eastAsia="宋体" w:cs="宋体"/>
          <w:b/>
          <w:spacing w:val="-6"/>
          <w:szCs w:val="21"/>
        </w:rPr>
        <w:t>）属于监狱企业的证明文件（若属于监狱企业）</w:t>
      </w:r>
    </w:p>
    <w:p w14:paraId="15DF115E">
      <w:pPr>
        <w:adjustRightInd w:val="0"/>
        <w:snapToGrid w:val="0"/>
        <w:spacing w:line="288" w:lineRule="auto"/>
        <w:rPr>
          <w:rFonts w:hint="eastAsia" w:ascii="宋体" w:hAnsi="宋体" w:eastAsia="宋体" w:cs="宋体"/>
          <w:kern w:val="0"/>
          <w:szCs w:val="21"/>
        </w:rPr>
      </w:pPr>
    </w:p>
    <w:p w14:paraId="15DF115F">
      <w:pPr>
        <w:adjustRightInd w:val="0"/>
        <w:snapToGrid w:val="0"/>
        <w:spacing w:line="288" w:lineRule="auto"/>
        <w:ind w:firstLine="373" w:firstLineChars="177"/>
        <w:rPr>
          <w:rFonts w:hint="eastAsia" w:ascii="宋体" w:hAnsi="宋体" w:eastAsia="宋体"/>
          <w:b/>
          <w:bCs/>
          <w:szCs w:val="21"/>
        </w:rPr>
      </w:pPr>
      <w:r>
        <w:rPr>
          <w:rFonts w:hint="eastAsia" w:ascii="宋体" w:hAnsi="宋体" w:eastAsia="宋体" w:cs="宋体"/>
          <w:b/>
          <w:bCs/>
          <w:kern w:val="0"/>
          <w:szCs w:val="21"/>
        </w:rPr>
        <w:t>监狱企业参加政府采购活动时，应当提供由省级以上监狱管理局、戒毒管理局（含新疆生产建设兵团）出具的属于监狱企业的证明文件。</w:t>
      </w:r>
    </w:p>
    <w:p w14:paraId="15DF1160">
      <w:pPr>
        <w:adjustRightInd w:val="0"/>
        <w:snapToGrid w:val="0"/>
        <w:spacing w:line="288" w:lineRule="auto"/>
        <w:rPr>
          <w:rFonts w:hint="eastAsia" w:ascii="宋体" w:hAnsi="宋体" w:eastAsia="宋体"/>
          <w:szCs w:val="21"/>
        </w:rPr>
      </w:pPr>
    </w:p>
    <w:p w14:paraId="15DF1161">
      <w:pPr>
        <w:adjustRightInd w:val="0"/>
        <w:snapToGrid w:val="0"/>
        <w:spacing w:line="288" w:lineRule="auto"/>
        <w:rPr>
          <w:rFonts w:hint="eastAsia" w:ascii="宋体" w:hAnsi="宋体" w:eastAsia="宋体"/>
          <w:b/>
          <w:bCs/>
          <w:szCs w:val="21"/>
        </w:rPr>
      </w:pPr>
      <w:r>
        <w:rPr>
          <w:rFonts w:hint="eastAsia" w:ascii="宋体" w:hAnsi="宋体" w:eastAsia="宋体"/>
          <w:b/>
          <w:bCs/>
          <w:szCs w:val="21"/>
        </w:rPr>
        <w:t>说明：</w:t>
      </w:r>
    </w:p>
    <w:p w14:paraId="15DF1162">
      <w:pPr>
        <w:widowControl/>
        <w:shd w:val="clear" w:color="auto" w:fill="FFFFFF"/>
        <w:adjustRightInd w:val="0"/>
        <w:snapToGrid w:val="0"/>
        <w:spacing w:line="288" w:lineRule="auto"/>
        <w:ind w:firstLine="371" w:firstLineChars="177"/>
        <w:jc w:val="left"/>
        <w:rPr>
          <w:rFonts w:hint="eastAsia" w:ascii="宋体" w:hAnsi="宋体" w:eastAsia="宋体" w:cs="宋体"/>
          <w:kern w:val="0"/>
          <w:szCs w:val="21"/>
        </w:rPr>
      </w:pPr>
      <w:r>
        <w:rPr>
          <w:rFonts w:hint="eastAsia" w:ascii="宋体" w:hAnsi="宋体" w:eastAsia="宋体" w:cs="宋体"/>
          <w:kern w:val="0"/>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15DF1163">
      <w:pPr>
        <w:widowControl/>
        <w:shd w:val="clear" w:color="auto" w:fill="FFFFFF"/>
        <w:adjustRightInd w:val="0"/>
        <w:snapToGrid w:val="0"/>
        <w:spacing w:line="288" w:lineRule="auto"/>
        <w:ind w:firstLine="371" w:firstLineChars="177"/>
        <w:jc w:val="left"/>
        <w:rPr>
          <w:rFonts w:hint="eastAsia" w:ascii="宋体" w:hAnsi="宋体" w:eastAsia="宋体" w:cs="宋体"/>
          <w:kern w:val="0"/>
          <w:szCs w:val="21"/>
        </w:rPr>
      </w:pPr>
      <w:r>
        <w:rPr>
          <w:rFonts w:hint="eastAsia" w:ascii="宋体" w:hAnsi="宋体" w:eastAsia="宋体" w:cs="宋体"/>
          <w:kern w:val="0"/>
          <w:szCs w:val="21"/>
        </w:rPr>
        <w:t>二、在政府采购活动中，监狱企业视同小型、微型企业，享受预留份额、评审中价格扣除等政府采购促进中小企业发展的政府采购政策。</w:t>
      </w:r>
    </w:p>
    <w:p w14:paraId="15DF1164">
      <w:pPr>
        <w:widowControl/>
        <w:adjustRightInd w:val="0"/>
        <w:snapToGrid w:val="0"/>
        <w:spacing w:line="288" w:lineRule="auto"/>
        <w:jc w:val="left"/>
        <w:rPr>
          <w:rFonts w:hint="eastAsia" w:ascii="宋体" w:hAnsi="宋体" w:eastAsia="宋体" w:cs="宋体"/>
          <w:b/>
          <w:spacing w:val="-6"/>
          <w:szCs w:val="21"/>
        </w:rPr>
      </w:pPr>
      <w:r>
        <w:rPr>
          <w:rFonts w:ascii="宋体" w:hAnsi="宋体" w:eastAsia="宋体" w:cs="宋体"/>
          <w:b/>
          <w:spacing w:val="-6"/>
          <w:szCs w:val="21"/>
        </w:rPr>
        <w:br w:type="page"/>
      </w:r>
    </w:p>
    <w:p w14:paraId="15DF1165">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4</w:t>
      </w:r>
      <w:r>
        <w:rPr>
          <w:rFonts w:hint="eastAsia" w:ascii="宋体" w:hAnsi="宋体" w:eastAsia="宋体" w:cs="宋体"/>
          <w:b/>
          <w:spacing w:val="-6"/>
          <w:szCs w:val="21"/>
        </w:rPr>
        <w:t>）残疾人福利性单位声明函（若属于残疾人福利性单位）</w:t>
      </w:r>
    </w:p>
    <w:p w14:paraId="15DF1166">
      <w:pPr>
        <w:adjustRightInd w:val="0"/>
        <w:snapToGrid w:val="0"/>
        <w:spacing w:line="288" w:lineRule="auto"/>
        <w:rPr>
          <w:rFonts w:hint="eastAsia" w:ascii="宋体" w:hAnsi="宋体" w:eastAsia="宋体" w:cs="Times New Roman"/>
          <w:b/>
          <w:spacing w:val="6"/>
          <w:szCs w:val="21"/>
        </w:rPr>
      </w:pPr>
    </w:p>
    <w:p w14:paraId="15DF1167">
      <w:pPr>
        <w:adjustRightInd w:val="0"/>
        <w:snapToGrid w:val="0"/>
        <w:spacing w:line="288" w:lineRule="auto"/>
        <w:ind w:firstLine="444" w:firstLineChars="200"/>
        <w:rPr>
          <w:rFonts w:hint="eastAsia" w:ascii="宋体" w:hAnsi="宋体" w:eastAsia="宋体" w:cs="Times New Roman"/>
          <w:spacing w:val="6"/>
          <w:szCs w:val="21"/>
        </w:rPr>
      </w:pPr>
      <w:r>
        <w:rPr>
          <w:rFonts w:hint="eastAsia" w:ascii="宋体" w:hAnsi="宋体" w:eastAsia="宋体" w:cs="Times New Roman"/>
          <w:spacing w:val="6"/>
          <w:szCs w:val="21"/>
        </w:rPr>
        <w:t>本单位郑重声明，根据《财政部 民政部 中国残疾人联合会关于促进残疾人就业政府采购政策的通知》（财库</w:t>
      </w:r>
      <w:r>
        <w:rPr>
          <w:rFonts w:hint="eastAsia" w:ascii="宋体" w:hAnsi="宋体" w:eastAsia="宋体" w:cs="Times New Roman"/>
          <w:szCs w:val="21"/>
        </w:rPr>
        <w:t>〔2017〕 141</w:t>
      </w:r>
      <w:r>
        <w:rPr>
          <w:rFonts w:hint="eastAsia" w:ascii="宋体" w:hAnsi="宋体" w:eastAsia="宋体" w:cs="Times New Roman"/>
          <w:spacing w:val="6"/>
          <w:szCs w:val="21"/>
        </w:rPr>
        <w:t>号）的规定，</w:t>
      </w:r>
      <w:r>
        <w:rPr>
          <w:rFonts w:hint="eastAsia" w:ascii="宋体" w:hAnsi="宋体" w:eastAsia="宋体" w:cs="Times New Roman"/>
          <w:b/>
          <w:bCs/>
          <w:spacing w:val="6"/>
          <w:szCs w:val="21"/>
        </w:rPr>
        <w:t>本单位为符合条件的残疾人福利性单位</w:t>
      </w:r>
      <w:r>
        <w:rPr>
          <w:rFonts w:hint="eastAsia" w:ascii="宋体" w:hAnsi="宋体" w:eastAsia="宋体" w:cs="Times New Roman"/>
          <w:spacing w:val="6"/>
          <w:szCs w:val="21"/>
        </w:rPr>
        <w:t>，且本单位参加______（采购人）单位的______（项目名称）项目采购活动提供本单位制造的货物，或者提供其他残疾人福利性单位制造的货物（不包括使用非残疾人福利性单位注册商标的货物）。</w:t>
      </w:r>
    </w:p>
    <w:p w14:paraId="15DF1168">
      <w:pPr>
        <w:adjustRightInd w:val="0"/>
        <w:snapToGrid w:val="0"/>
        <w:spacing w:line="288" w:lineRule="auto"/>
        <w:ind w:firstLine="444" w:firstLineChars="200"/>
        <w:rPr>
          <w:rFonts w:hint="eastAsia" w:ascii="宋体" w:hAnsi="宋体" w:eastAsia="宋体" w:cs="Times New Roman"/>
          <w:spacing w:val="6"/>
          <w:szCs w:val="21"/>
        </w:rPr>
      </w:pPr>
      <w:r>
        <w:rPr>
          <w:rFonts w:hint="eastAsia" w:ascii="宋体" w:hAnsi="宋体" w:eastAsia="宋体" w:cs="Times New Roman"/>
          <w:spacing w:val="6"/>
          <w:szCs w:val="21"/>
        </w:rPr>
        <w:t>本单位对上述声明的真实性负责。如有虚假，将依法承担相应责任。</w:t>
      </w:r>
    </w:p>
    <w:p w14:paraId="15DF1169">
      <w:pPr>
        <w:tabs>
          <w:tab w:val="left" w:pos="4860"/>
        </w:tabs>
        <w:adjustRightInd w:val="0"/>
        <w:snapToGrid w:val="0"/>
        <w:spacing w:line="288" w:lineRule="auto"/>
        <w:ind w:right="1560" w:firstLine="444" w:firstLineChars="200"/>
        <w:rPr>
          <w:rFonts w:hint="eastAsia" w:ascii="宋体" w:hAnsi="宋体" w:eastAsia="宋体" w:cs="Times New Roman"/>
          <w:spacing w:val="6"/>
          <w:szCs w:val="21"/>
        </w:rPr>
      </w:pPr>
      <w:r>
        <w:rPr>
          <w:rFonts w:hint="eastAsia" w:ascii="宋体" w:hAnsi="宋体" w:eastAsia="宋体" w:cs="Times New Roman"/>
          <w:spacing w:val="6"/>
          <w:szCs w:val="21"/>
        </w:rPr>
        <w:t>单位名称（盖章）：</w:t>
      </w:r>
    </w:p>
    <w:p w14:paraId="15DF116A">
      <w:pPr>
        <w:tabs>
          <w:tab w:val="left" w:pos="4860"/>
        </w:tabs>
        <w:adjustRightInd w:val="0"/>
        <w:snapToGrid w:val="0"/>
        <w:spacing w:line="288" w:lineRule="auto"/>
        <w:ind w:right="1560" w:firstLine="444" w:firstLineChars="200"/>
        <w:rPr>
          <w:rFonts w:hint="eastAsia" w:ascii="宋体" w:hAnsi="宋体" w:eastAsia="宋体" w:cs="Times New Roman"/>
          <w:spacing w:val="6"/>
          <w:szCs w:val="21"/>
        </w:rPr>
      </w:pPr>
      <w:r>
        <w:rPr>
          <w:rFonts w:hint="eastAsia" w:ascii="宋体" w:hAnsi="宋体" w:eastAsia="宋体" w:cs="Times New Roman"/>
          <w:spacing w:val="6"/>
          <w:szCs w:val="21"/>
        </w:rPr>
        <w:t>日  期：</w:t>
      </w:r>
    </w:p>
    <w:p w14:paraId="15DF116B">
      <w:pPr>
        <w:adjustRightInd w:val="0"/>
        <w:snapToGrid w:val="0"/>
        <w:spacing w:line="288" w:lineRule="auto"/>
        <w:rPr>
          <w:rFonts w:hint="eastAsia" w:ascii="宋体" w:hAnsi="宋体" w:eastAsia="宋体"/>
          <w:szCs w:val="21"/>
        </w:rPr>
      </w:pPr>
    </w:p>
    <w:p w14:paraId="15DF116C">
      <w:pPr>
        <w:adjustRightInd w:val="0"/>
        <w:snapToGrid w:val="0"/>
        <w:spacing w:line="288" w:lineRule="auto"/>
        <w:rPr>
          <w:rFonts w:hint="eastAsia" w:ascii="宋体" w:hAnsi="宋体" w:eastAsia="宋体"/>
          <w:b/>
          <w:bCs/>
          <w:szCs w:val="21"/>
        </w:rPr>
      </w:pPr>
      <w:r>
        <w:rPr>
          <w:rFonts w:hint="eastAsia" w:ascii="宋体" w:hAnsi="宋体" w:eastAsia="宋体"/>
          <w:b/>
          <w:bCs/>
          <w:szCs w:val="21"/>
        </w:rPr>
        <w:t>说明：</w:t>
      </w:r>
    </w:p>
    <w:p w14:paraId="15DF116D">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一、享受政府采购支持政策的残疾人福利性单位应当同时满足以下条件：</w:t>
      </w:r>
    </w:p>
    <w:p w14:paraId="15DF116E">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（一）安置的残疾人占本单位在职职工人数的比例不低于25%（含25%），并且安置的残疾人人数不少于10人（含10人）；</w:t>
      </w:r>
    </w:p>
    <w:p w14:paraId="15DF116F">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（二）依法与安置的每位残疾人签订了一年以上（含一年）的劳动合同或服务协议；</w:t>
      </w:r>
    </w:p>
    <w:p w14:paraId="15DF1170">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（三）为安置的每位残疾人按月足额缴纳了基本养老保险、基本医疗保险、失业保险、工伤保险和生育保险等社会保险费；</w:t>
      </w:r>
    </w:p>
    <w:p w14:paraId="15DF1171">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（四）通过银行等金融机构向安置的每位残疾人，按月支付了不低于单位所在区县适用的经省级人民政府批准的月最低工资标准的工资；</w:t>
      </w:r>
    </w:p>
    <w:p w14:paraId="15DF1172">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（五）提供本单位制造的货物、承担的工程或者服务（以下简称产品），或者提供其他残疾人福利性单位制造的货物（不包括使用非残疾人福利性单位注册商标的货物）。</w:t>
      </w:r>
    </w:p>
    <w:p w14:paraId="15DF1173">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15DF1174">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二、符合条件的残疾人福利性单位在参加政府采购活动时，应当提供财库</w:t>
      </w:r>
      <w:r>
        <w:rPr>
          <w:sz w:val="21"/>
          <w:szCs w:val="21"/>
        </w:rPr>
        <w:t>[2017]141号</w:t>
      </w:r>
      <w:r>
        <w:rPr>
          <w:rFonts w:hint="eastAsia"/>
          <w:sz w:val="21"/>
          <w:szCs w:val="21"/>
        </w:rPr>
        <w:t>文件规定的《残疾人福利性单位声明函》，并对声明的真实性负责。</w:t>
      </w:r>
    </w:p>
    <w:p w14:paraId="15DF1175">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三、在政府采购活动中，残疾人福利性单位视同小型、微型企业，享受预留份额、评审中价格扣除等促进中小企业发展的政府采购政策。</w:t>
      </w:r>
    </w:p>
    <w:p w14:paraId="15DF1176">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残疾人福利性单位属于小型、微型企业的，不重复享受政策。</w:t>
      </w:r>
    </w:p>
    <w:p w14:paraId="15DF1177">
      <w:pPr>
        <w:widowControl/>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15DF1178">
      <w:pPr>
        <w:adjustRightInd w:val="0"/>
        <w:snapToGrid w:val="0"/>
        <w:spacing w:line="288" w:lineRule="auto"/>
        <w:outlineLvl w:val="2"/>
        <w:rPr>
          <w:rFonts w:hint="eastAsia" w:ascii="宋体" w:hAnsi="宋体" w:eastAsia="宋体" w:cs="Times New Roman"/>
          <w:b/>
          <w:bCs/>
          <w:szCs w:val="21"/>
        </w:rPr>
      </w:pPr>
      <w:r>
        <w:rPr>
          <w:rFonts w:hint="eastAsia" w:ascii="宋体" w:hAnsi="宋体" w:eastAsia="宋体" w:cs="Times New Roman"/>
          <w:b/>
          <w:spacing w:val="-6"/>
          <w:szCs w:val="21"/>
        </w:rPr>
        <w:t>附件1：</w:t>
      </w:r>
      <w:r>
        <w:rPr>
          <w:rFonts w:hint="eastAsia" w:ascii="宋体" w:hAnsi="宋体" w:eastAsia="宋体" w:cs="Times New Roman"/>
          <w:b/>
          <w:bCs/>
          <w:szCs w:val="21"/>
        </w:rPr>
        <w:t>业务专用章使用说明函</w:t>
      </w:r>
    </w:p>
    <w:p w14:paraId="15DF1179">
      <w:pPr>
        <w:snapToGrid w:val="0"/>
        <w:spacing w:line="288" w:lineRule="auto"/>
        <w:rPr>
          <w:rFonts w:hint="eastAsia" w:ascii="宋体" w:hAnsi="宋体" w:eastAsia="宋体" w:cs="仿宋_GB2312"/>
          <w:szCs w:val="21"/>
          <w:u w:val="single"/>
        </w:rPr>
      </w:pPr>
    </w:p>
    <w:p w14:paraId="15DF117A">
      <w:pPr>
        <w:snapToGrid w:val="0"/>
        <w:spacing w:line="288" w:lineRule="auto"/>
        <w:rPr>
          <w:rFonts w:hint="eastAsia" w:ascii="宋体" w:hAnsi="宋体" w:eastAsia="宋体" w:cs="Times New Roman"/>
          <w:szCs w:val="21"/>
        </w:rPr>
      </w:pPr>
      <w:r>
        <w:rPr>
          <w:rFonts w:hint="eastAsia" w:ascii="宋体" w:hAnsi="宋体" w:eastAsia="宋体" w:cs="仿宋_GB2312"/>
          <w:szCs w:val="21"/>
          <w:u w:val="single"/>
        </w:rPr>
        <w:t>（采购人）、（采购代理机构）</w:t>
      </w:r>
    </w:p>
    <w:p w14:paraId="15DF117B">
      <w:pPr>
        <w:snapToGrid w:val="0"/>
        <w:spacing w:line="288" w:lineRule="auto"/>
        <w:ind w:firstLine="424" w:firstLineChars="202"/>
        <w:rPr>
          <w:rFonts w:hint="eastAsia" w:ascii="宋体" w:hAnsi="宋体" w:eastAsia="宋体" w:cs="宋体"/>
          <w:szCs w:val="21"/>
        </w:rPr>
      </w:pPr>
      <w:r>
        <w:rPr>
          <w:rFonts w:hint="eastAsia" w:ascii="宋体" w:hAnsi="宋体" w:eastAsia="宋体" w:cs="仿宋_GB2312"/>
          <w:kern w:val="0"/>
          <w:szCs w:val="21"/>
          <w:lang w:val="zh-CN"/>
        </w:rPr>
        <w:t>我方</w:t>
      </w:r>
      <w:r>
        <w:rPr>
          <w:rFonts w:ascii="宋体" w:hAnsi="宋体" w:eastAsia="宋体" w:cs="仿宋_GB2312"/>
          <w:kern w:val="0"/>
          <w:szCs w:val="21"/>
          <w:u w:val="single"/>
          <w:lang w:val="zh-CN"/>
        </w:rPr>
        <w:t xml:space="preserve">                         </w:t>
      </w:r>
      <w:r>
        <w:rPr>
          <w:rFonts w:ascii="宋体" w:hAnsi="宋体" w:eastAsia="宋体" w:cs="仿宋_GB2312"/>
          <w:szCs w:val="21"/>
        </w:rPr>
        <w:t>(</w:t>
      </w:r>
      <w:r>
        <w:rPr>
          <w:rFonts w:hint="eastAsia" w:ascii="宋体" w:hAnsi="宋体" w:eastAsia="宋体" w:cs="仿宋_GB2312"/>
          <w:szCs w:val="21"/>
        </w:rPr>
        <w:t>供应商</w:t>
      </w:r>
      <w:r>
        <w:rPr>
          <w:rFonts w:ascii="宋体" w:hAnsi="宋体" w:eastAsia="宋体" w:cs="仿宋_GB2312"/>
          <w:szCs w:val="21"/>
        </w:rPr>
        <w:t>全称)</w:t>
      </w:r>
      <w:r>
        <w:rPr>
          <w:rFonts w:hint="eastAsia" w:ascii="宋体" w:hAnsi="宋体" w:eastAsia="宋体" w:cs="Times New Roman"/>
          <w:szCs w:val="21"/>
        </w:rPr>
        <w:t>是中华人民共和国依法登记注册的合法企业，</w:t>
      </w:r>
      <w:r>
        <w:rPr>
          <w:rFonts w:hint="eastAsia" w:ascii="宋体" w:hAnsi="宋体" w:eastAsia="宋体" w:cs="宋体"/>
          <w:bCs/>
          <w:szCs w:val="21"/>
        </w:rPr>
        <w:t>在参加</w:t>
      </w:r>
      <w:r>
        <w:rPr>
          <w:rFonts w:hint="eastAsia" w:ascii="宋体" w:hAnsi="宋体" w:eastAsia="宋体" w:cs="仿宋_GB2312"/>
          <w:szCs w:val="21"/>
        </w:rPr>
        <w:t>你方组织的</w:t>
      </w:r>
      <w:r>
        <w:rPr>
          <w:rFonts w:hint="eastAsia" w:ascii="宋体" w:hAnsi="宋体" w:eastAsia="宋体" w:cs="仿宋_GB2312"/>
          <w:szCs w:val="21"/>
          <w:u w:val="single"/>
        </w:rPr>
        <w:t>（项目名称）</w:t>
      </w:r>
      <w:r>
        <w:rPr>
          <w:rFonts w:hint="eastAsia" w:ascii="宋体" w:hAnsi="宋体" w:eastAsia="宋体" w:cs="仿宋_GB2312"/>
          <w:szCs w:val="21"/>
        </w:rPr>
        <w:t>项目</w:t>
      </w:r>
      <w:r>
        <w:rPr>
          <w:rFonts w:hint="eastAsia" w:ascii="宋体" w:hAnsi="宋体" w:eastAsia="宋体" w:cs="仿宋_GB2312"/>
          <w:szCs w:val="21"/>
          <w:u w:val="single"/>
        </w:rPr>
        <w:t>（项目编号）</w:t>
      </w:r>
      <w:r>
        <w:rPr>
          <w:rFonts w:hint="eastAsia" w:ascii="宋体" w:hAnsi="宋体" w:eastAsia="宋体" w:cs="宋体"/>
          <w:bCs/>
          <w:szCs w:val="21"/>
        </w:rPr>
        <w:t>投标（响应）活动中作如下说明：</w:t>
      </w:r>
      <w:r>
        <w:rPr>
          <w:rFonts w:hint="eastAsia" w:ascii="宋体" w:hAnsi="宋体" w:eastAsia="宋体" w:cs="宋体"/>
          <w:szCs w:val="21"/>
        </w:rPr>
        <w:t>我方所使用的</w:t>
      </w:r>
      <w:r>
        <w:rPr>
          <w:rFonts w:hint="eastAsia" w:ascii="宋体" w:hAnsi="宋体" w:eastAsia="宋体" w:cs="宋体"/>
          <w:szCs w:val="21"/>
          <w:u w:val="single"/>
        </w:rPr>
        <w:t>“</w:t>
      </w:r>
      <w:r>
        <w:rPr>
          <w:rFonts w:ascii="宋体" w:hAnsi="宋体" w:eastAsia="宋体" w:cs="仿宋_GB2312"/>
          <w:szCs w:val="21"/>
          <w:u w:val="single"/>
        </w:rPr>
        <w:t>XX</w:t>
      </w:r>
      <w:r>
        <w:rPr>
          <w:rFonts w:hint="eastAsia" w:ascii="宋体" w:hAnsi="宋体" w:eastAsia="宋体" w:cs="宋体"/>
          <w:szCs w:val="21"/>
          <w:u w:val="single"/>
        </w:rPr>
        <w:t>专用章”</w:t>
      </w:r>
      <w:r>
        <w:rPr>
          <w:rFonts w:hint="eastAsia" w:ascii="宋体" w:hAnsi="宋体" w:eastAsia="宋体" w:cs="宋体"/>
          <w:szCs w:val="21"/>
        </w:rPr>
        <w:t>与法定名称章具有同等的法律效力，对使用</w:t>
      </w:r>
      <w:r>
        <w:rPr>
          <w:rFonts w:hint="eastAsia" w:ascii="宋体" w:hAnsi="宋体" w:eastAsia="宋体" w:cs="宋体"/>
          <w:szCs w:val="21"/>
          <w:u w:val="single"/>
        </w:rPr>
        <w:t>“</w:t>
      </w:r>
      <w:r>
        <w:rPr>
          <w:rFonts w:ascii="宋体" w:hAnsi="宋体" w:eastAsia="宋体" w:cs="仿宋_GB2312"/>
          <w:szCs w:val="21"/>
          <w:u w:val="single"/>
        </w:rPr>
        <w:t>XX</w:t>
      </w:r>
      <w:r>
        <w:rPr>
          <w:rFonts w:hint="eastAsia" w:ascii="宋体" w:hAnsi="宋体" w:eastAsia="宋体" w:cs="宋体"/>
          <w:szCs w:val="21"/>
          <w:u w:val="single"/>
        </w:rPr>
        <w:t>专用章”</w:t>
      </w:r>
      <w:r>
        <w:rPr>
          <w:rFonts w:hint="eastAsia" w:ascii="宋体" w:hAnsi="宋体" w:eastAsia="宋体" w:cs="宋体"/>
          <w:szCs w:val="21"/>
        </w:rPr>
        <w:t>的行为予以完全承认，并愿意承担相应责任。</w:t>
      </w:r>
    </w:p>
    <w:p w14:paraId="15DF117C">
      <w:pPr>
        <w:snapToGrid w:val="0"/>
        <w:spacing w:line="288" w:lineRule="auto"/>
        <w:ind w:firstLine="424" w:firstLineChars="202"/>
        <w:rPr>
          <w:rFonts w:hint="eastAsia" w:ascii="宋体" w:hAnsi="宋体" w:eastAsia="宋体" w:cs="宋体"/>
          <w:szCs w:val="21"/>
        </w:rPr>
      </w:pPr>
      <w:r>
        <w:rPr>
          <w:rFonts w:hint="eastAsia" w:ascii="宋体" w:hAnsi="宋体" w:eastAsia="宋体" w:cs="宋体"/>
          <w:szCs w:val="21"/>
        </w:rPr>
        <w:t>特此说明。</w:t>
      </w:r>
    </w:p>
    <w:p w14:paraId="15DF117D">
      <w:pPr>
        <w:snapToGrid w:val="0"/>
        <w:spacing w:line="288" w:lineRule="auto"/>
        <w:ind w:right="480" w:firstLine="424" w:firstLineChars="202"/>
        <w:rPr>
          <w:rFonts w:hint="eastAsia" w:ascii="宋体" w:hAnsi="宋体" w:eastAsia="宋体" w:cs="宋体"/>
          <w:szCs w:val="21"/>
        </w:rPr>
      </w:pPr>
      <w:r>
        <w:rPr>
          <w:rFonts w:hint="eastAsia" w:ascii="宋体" w:hAnsi="宋体" w:eastAsia="宋体" w:cs="宋体"/>
          <w:szCs w:val="21"/>
        </w:rPr>
        <w:t>供应商（法定名称章）：</w:t>
      </w:r>
    </w:p>
    <w:p w14:paraId="15DF117E">
      <w:pPr>
        <w:snapToGrid w:val="0"/>
        <w:spacing w:line="288" w:lineRule="auto"/>
        <w:ind w:right="1440" w:firstLine="424" w:firstLineChars="202"/>
        <w:rPr>
          <w:rFonts w:hint="eastAsia" w:ascii="宋体" w:hAnsi="宋体" w:eastAsia="宋体" w:cs="宋体"/>
          <w:szCs w:val="21"/>
        </w:rPr>
      </w:pPr>
      <w:r>
        <w:rPr>
          <w:rFonts w:ascii="宋体" w:hAnsi="宋体" w:eastAsia="宋体" w:cs="宋体"/>
          <w:szCs w:val="21"/>
        </w:rPr>
        <w:t>日期：       年     月     日</w:t>
      </w:r>
    </w:p>
    <w:p w14:paraId="15DF117F">
      <w:pPr>
        <w:snapToGrid w:val="0"/>
        <w:spacing w:line="288" w:lineRule="auto"/>
        <w:rPr>
          <w:rFonts w:hint="eastAsia" w:ascii="宋体" w:hAnsi="宋体" w:eastAsia="宋体" w:cs="宋体"/>
          <w:b/>
          <w:bCs/>
          <w:szCs w:val="21"/>
        </w:rPr>
      </w:pPr>
    </w:p>
    <w:p w14:paraId="15DF1180">
      <w:pPr>
        <w:snapToGrid w:val="0"/>
        <w:spacing w:line="288" w:lineRule="auto"/>
        <w:rPr>
          <w:rFonts w:hint="eastAsia" w:ascii="宋体" w:hAnsi="宋体" w:eastAsia="宋体" w:cs="宋体"/>
          <w:szCs w:val="21"/>
        </w:rPr>
      </w:pPr>
      <w:r>
        <w:rPr>
          <w:rFonts w:hint="eastAsia" w:ascii="宋体" w:hAnsi="宋体" w:eastAsia="宋体" w:cs="宋体"/>
          <w:b/>
          <w:bCs/>
          <w:szCs w:val="21"/>
        </w:rPr>
        <w:t>附：</w:t>
      </w:r>
      <w:r>
        <w:rPr>
          <w:rFonts w:hint="eastAsia" w:ascii="宋体" w:hAnsi="宋体" w:eastAsia="宋体" w:cs="宋体"/>
          <w:szCs w:val="21"/>
        </w:rPr>
        <w:t>供应商法定名称章（印模）</w:t>
      </w:r>
      <w:r>
        <w:rPr>
          <w:rFonts w:ascii="宋体" w:hAnsi="宋体" w:eastAsia="宋体" w:cs="宋体"/>
          <w:szCs w:val="21"/>
        </w:rPr>
        <w:t xml:space="preserve">                </w:t>
      </w:r>
      <w:r>
        <w:rPr>
          <w:rFonts w:hint="eastAsia" w:ascii="宋体" w:hAnsi="宋体" w:eastAsia="宋体" w:cs="宋体"/>
          <w:szCs w:val="21"/>
        </w:rPr>
        <w:t>供应商“</w:t>
      </w:r>
      <w:r>
        <w:rPr>
          <w:rFonts w:ascii="宋体" w:hAnsi="宋体" w:eastAsia="宋体" w:cs="仿宋_GB2312"/>
          <w:szCs w:val="21"/>
        </w:rPr>
        <w:t>XX</w:t>
      </w:r>
      <w:r>
        <w:rPr>
          <w:rFonts w:hint="eastAsia" w:ascii="宋体" w:hAnsi="宋体" w:eastAsia="宋体" w:cs="宋体"/>
          <w:szCs w:val="21"/>
        </w:rPr>
        <w:t>专用章”（印模）</w:t>
      </w:r>
    </w:p>
    <w:tbl>
      <w:tblPr>
        <w:tblStyle w:val="24"/>
        <w:tblW w:w="94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5"/>
        <w:gridCol w:w="4706"/>
      </w:tblGrid>
      <w:tr w14:paraId="15DF1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trPr>
        <w:tc>
          <w:tcPr>
            <w:tcW w:w="4814" w:type="dxa"/>
          </w:tcPr>
          <w:p w14:paraId="15DF1181">
            <w:pPr>
              <w:snapToGrid w:val="0"/>
              <w:spacing w:line="288" w:lineRule="auto"/>
              <w:rPr>
                <w:rFonts w:hint="eastAsia" w:ascii="宋体" w:hAnsi="宋体" w:eastAsia="宋体" w:cs="宋体"/>
                <w:szCs w:val="21"/>
              </w:rPr>
            </w:pPr>
          </w:p>
        </w:tc>
        <w:tc>
          <w:tcPr>
            <w:tcW w:w="4814" w:type="dxa"/>
          </w:tcPr>
          <w:p w14:paraId="15DF1182">
            <w:pPr>
              <w:snapToGrid w:val="0"/>
              <w:spacing w:line="288" w:lineRule="auto"/>
              <w:rPr>
                <w:rFonts w:hint="eastAsia" w:ascii="宋体" w:hAnsi="宋体" w:eastAsia="宋体" w:cs="宋体"/>
                <w:szCs w:val="21"/>
              </w:rPr>
            </w:pPr>
          </w:p>
        </w:tc>
      </w:tr>
    </w:tbl>
    <w:p w14:paraId="15DF1184">
      <w:pPr>
        <w:snapToGrid w:val="0"/>
        <w:spacing w:line="288" w:lineRule="auto"/>
        <w:rPr>
          <w:rFonts w:hint="eastAsia" w:ascii="宋体" w:hAnsi="宋体" w:eastAsia="宋体" w:cs="宋体"/>
          <w:szCs w:val="21"/>
        </w:rPr>
      </w:pPr>
    </w:p>
    <w:p w14:paraId="15DF1185">
      <w:pPr>
        <w:widowControl/>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15DF1186">
      <w:pPr>
        <w:snapToGrid w:val="0"/>
        <w:spacing w:line="288" w:lineRule="auto"/>
        <w:jc w:val="center"/>
        <w:outlineLvl w:val="2"/>
        <w:rPr>
          <w:rFonts w:hint="eastAsia" w:ascii="宋体" w:hAnsi="宋体" w:eastAsia="宋体" w:cs="仿宋_GB2312"/>
          <w:b/>
          <w:kern w:val="0"/>
          <w:szCs w:val="21"/>
          <w:lang w:val="zh-CN"/>
        </w:rPr>
      </w:pPr>
      <w:r>
        <w:rPr>
          <w:rFonts w:hint="eastAsia" w:ascii="宋体" w:hAnsi="宋体" w:eastAsia="宋体" w:cs="仿宋_GB2312"/>
          <w:b/>
          <w:kern w:val="0"/>
          <w:szCs w:val="21"/>
          <w:lang w:val="zh-CN"/>
        </w:rPr>
        <w:t>附件2</w:t>
      </w:r>
      <w:r>
        <w:rPr>
          <w:rFonts w:ascii="宋体" w:hAnsi="宋体" w:eastAsia="宋体" w:cs="仿宋_GB2312"/>
          <w:b/>
          <w:kern w:val="0"/>
          <w:szCs w:val="21"/>
          <w:lang w:val="zh-CN"/>
        </w:rPr>
        <w:t>：</w:t>
      </w:r>
      <w:r>
        <w:rPr>
          <w:rFonts w:hint="eastAsia" w:ascii="宋体" w:hAnsi="宋体" w:eastAsia="宋体" w:cs="仿宋_GB2312"/>
          <w:b/>
          <w:kern w:val="0"/>
          <w:szCs w:val="21"/>
          <w:lang w:val="zh-CN"/>
        </w:rPr>
        <w:t>联合协议</w:t>
      </w:r>
    </w:p>
    <w:p w14:paraId="15DF1187">
      <w:pPr>
        <w:widowControl/>
        <w:snapToGrid w:val="0"/>
        <w:spacing w:line="288" w:lineRule="auto"/>
        <w:ind w:firstLine="424" w:firstLineChars="201"/>
        <w:jc w:val="left"/>
        <w:rPr>
          <w:rFonts w:hint="eastAsia" w:ascii="宋体" w:hAnsi="宋体" w:eastAsia="宋体" w:cs="仿宋_GB2312"/>
          <w:b/>
          <w:szCs w:val="21"/>
        </w:rPr>
      </w:pPr>
      <w:r>
        <w:rPr>
          <w:rFonts w:hint="eastAsia" w:ascii="宋体" w:hAnsi="宋体" w:eastAsia="宋体" w:cs="仿宋_GB2312"/>
          <w:b/>
          <w:szCs w:val="21"/>
        </w:rPr>
        <w:t>（以联合体形式投标的，提供联合协议；本项目不接受联合体投标或者投标人不以联合体形式投标的，则不需要提供）</w:t>
      </w:r>
    </w:p>
    <w:p w14:paraId="15DF1188">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u w:val="single"/>
        </w:rPr>
        <w:t>（联合体所有成员名称）</w:t>
      </w:r>
      <w:r>
        <w:rPr>
          <w:rFonts w:hint="eastAsia" w:ascii="宋体" w:hAnsi="宋体" w:eastAsia="宋体" w:cs="仿宋_GB2312"/>
          <w:kern w:val="0"/>
          <w:szCs w:val="21"/>
        </w:rPr>
        <w:t>自愿</w:t>
      </w:r>
      <w:r>
        <w:rPr>
          <w:rFonts w:hint="eastAsia" w:ascii="宋体" w:hAnsi="宋体" w:eastAsia="宋体" w:cs="仿宋_GB2312"/>
          <w:kern w:val="0"/>
          <w:szCs w:val="21"/>
          <w:lang w:val="zh-CN"/>
        </w:rPr>
        <w:t>组成一个联合体，以一个投标人的身份</w:t>
      </w:r>
      <w:r>
        <w:rPr>
          <w:rFonts w:hint="eastAsia" w:ascii="宋体" w:hAnsi="宋体" w:eastAsia="宋体" w:cs="仿宋_GB2312"/>
          <w:kern w:val="0"/>
          <w:szCs w:val="21"/>
        </w:rPr>
        <w:t>参加</w:t>
      </w:r>
      <w:r>
        <w:rPr>
          <w:rFonts w:hint="eastAsia" w:ascii="宋体" w:hAnsi="宋体" w:eastAsia="宋体" w:cs="仿宋_GB2312"/>
          <w:szCs w:val="21"/>
        </w:rPr>
        <w:t>（项目名称）【招标编号：</w:t>
      </w:r>
      <w:r>
        <w:rPr>
          <w:rFonts w:hint="eastAsia" w:ascii="宋体" w:hAnsi="宋体" w:eastAsia="宋体" w:cs="Times New Roman"/>
          <w:szCs w:val="21"/>
        </w:rPr>
        <w:t>（采购编号）</w:t>
      </w:r>
      <w:r>
        <w:rPr>
          <w:rFonts w:hint="eastAsia" w:ascii="宋体" w:hAnsi="宋体" w:eastAsia="宋体" w:cs="仿宋_GB2312"/>
          <w:szCs w:val="21"/>
        </w:rPr>
        <w:t>】</w:t>
      </w:r>
      <w:r>
        <w:rPr>
          <w:rFonts w:hint="eastAsia" w:ascii="宋体" w:hAnsi="宋体" w:eastAsia="宋体" w:cs="仿宋_GB2312"/>
          <w:kern w:val="0"/>
          <w:szCs w:val="21"/>
          <w:lang w:val="zh-CN"/>
        </w:rPr>
        <w:t>投标。</w:t>
      </w:r>
      <w:r>
        <w:rPr>
          <w:rFonts w:ascii="宋体" w:hAnsi="宋体" w:eastAsia="宋体" w:cs="仿宋_GB2312"/>
          <w:kern w:val="0"/>
          <w:szCs w:val="21"/>
          <w:lang w:val="zh-CN"/>
        </w:rPr>
        <w:t xml:space="preserve"> </w:t>
      </w:r>
    </w:p>
    <w:p w14:paraId="15DF1189">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一、各方一致决定，</w:t>
      </w:r>
      <w:r>
        <w:rPr>
          <w:rFonts w:hint="eastAsia" w:ascii="宋体" w:hAnsi="宋体" w:eastAsia="宋体" w:cs="仿宋_GB2312"/>
          <w:kern w:val="0"/>
          <w:szCs w:val="21"/>
          <w:u w:val="single"/>
        </w:rPr>
        <w:t>（某联合体成员名称）</w:t>
      </w:r>
      <w:r>
        <w:rPr>
          <w:rFonts w:hint="eastAsia" w:ascii="宋体" w:hAnsi="宋体" w:eastAsia="宋体" w:cs="仿宋_GB2312"/>
          <w:kern w:val="0"/>
          <w:szCs w:val="21"/>
        </w:rPr>
        <w:t>为联合体</w:t>
      </w:r>
      <w:r>
        <w:rPr>
          <w:rFonts w:hint="eastAsia" w:ascii="宋体" w:hAnsi="宋体" w:eastAsia="宋体" w:cs="仿宋_GB2312"/>
          <w:kern w:val="0"/>
          <w:szCs w:val="21"/>
          <w:lang w:val="zh-CN"/>
        </w:rPr>
        <w:t>牵头人</w:t>
      </w:r>
      <w:r>
        <w:rPr>
          <w:rFonts w:hint="eastAsia" w:ascii="宋体" w:hAnsi="宋体" w:eastAsia="宋体" w:cs="Arial"/>
          <w:szCs w:val="21"/>
        </w:rPr>
        <w:t>，代表所有联合体成员负责投标和合同实施阶段的主办、协调工作</w:t>
      </w:r>
      <w:r>
        <w:rPr>
          <w:rFonts w:hint="eastAsia" w:ascii="宋体" w:hAnsi="宋体" w:eastAsia="宋体" w:cs="仿宋_GB2312"/>
          <w:kern w:val="0"/>
          <w:szCs w:val="21"/>
          <w:lang w:val="zh-CN"/>
        </w:rPr>
        <w:t>。</w:t>
      </w:r>
    </w:p>
    <w:p w14:paraId="15DF118A">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二、所有联合体成员各方签署授权书，授权书载明的授权代表根据招标文件规定及投标内容而对采购人、采购代理机构所作的任何合法承诺，包括书面澄清及响应等均对联合投标各方产生约束力。</w:t>
      </w:r>
    </w:p>
    <w:p w14:paraId="15DF118B">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三、本次联合投标中，分工如下：</w:t>
      </w:r>
      <w:r>
        <w:rPr>
          <w:rFonts w:hint="eastAsia" w:ascii="宋体" w:hAnsi="宋体" w:eastAsia="宋体" w:cs="仿宋_GB2312"/>
          <w:kern w:val="0"/>
          <w:szCs w:val="21"/>
          <w:u w:val="single"/>
        </w:rPr>
        <w:t>（联合体其中一方成员名称）</w:t>
      </w:r>
      <w:r>
        <w:rPr>
          <w:rFonts w:hint="eastAsia" w:ascii="宋体" w:hAnsi="宋体" w:eastAsia="宋体" w:cs="仿宋_GB2312"/>
          <w:kern w:val="0"/>
          <w:szCs w:val="21"/>
          <w:lang w:val="zh-CN"/>
        </w:rPr>
        <w:t>承担的工作和义务为：</w:t>
      </w:r>
      <w:r>
        <w:rPr>
          <w:rFonts w:ascii="宋体" w:hAnsi="宋体" w:eastAsia="宋体" w:cs="Times New Roman"/>
          <w:szCs w:val="21"/>
          <w:u w:val="single"/>
        </w:rPr>
        <w:t xml:space="preserve">             </w:t>
      </w:r>
      <w:r>
        <w:rPr>
          <w:rFonts w:hint="eastAsia" w:ascii="宋体" w:hAnsi="宋体" w:eastAsia="宋体" w:cs="仿宋_GB2312"/>
          <w:kern w:val="0"/>
          <w:szCs w:val="21"/>
          <w:lang w:val="zh-CN"/>
        </w:rPr>
        <w:t>；</w:t>
      </w:r>
      <w:r>
        <w:rPr>
          <w:rFonts w:ascii="宋体" w:hAnsi="宋体" w:eastAsia="宋体" w:cs="仿宋_GB2312"/>
          <w:kern w:val="0"/>
          <w:szCs w:val="21"/>
          <w:lang w:val="zh-CN"/>
        </w:rPr>
        <w:t>……。</w:t>
      </w:r>
    </w:p>
    <w:p w14:paraId="15DF118C">
      <w:pPr>
        <w:snapToGrid w:val="0"/>
        <w:spacing w:line="288" w:lineRule="auto"/>
        <w:ind w:firstLine="422" w:firstLineChars="201"/>
        <w:rPr>
          <w:rFonts w:hint="eastAsia" w:ascii="宋体" w:hAnsi="宋体" w:eastAsia="宋体" w:cs="仿宋_GB2312"/>
          <w:b/>
          <w:kern w:val="0"/>
          <w:szCs w:val="21"/>
          <w:lang w:val="zh-CN"/>
        </w:rPr>
      </w:pPr>
      <w:r>
        <w:rPr>
          <w:rFonts w:hint="eastAsia" w:ascii="宋体" w:hAnsi="宋体" w:eastAsia="宋体" w:cs="仿宋_GB2312"/>
          <w:kern w:val="0"/>
          <w:szCs w:val="21"/>
          <w:lang w:val="zh-CN"/>
        </w:rPr>
        <w:t>四、</w:t>
      </w:r>
      <w:r>
        <w:rPr>
          <w:rFonts w:hint="eastAsia" w:ascii="宋体" w:hAnsi="宋体" w:eastAsia="宋体" w:cs="仿宋_GB2312"/>
          <w:kern w:val="0"/>
          <w:szCs w:val="21"/>
          <w:u w:val="single"/>
        </w:rPr>
        <w:t>（联合体其中一方成员名称）</w:t>
      </w:r>
      <w:r>
        <w:rPr>
          <w:rFonts w:hint="eastAsia" w:ascii="宋体" w:hAnsi="宋体" w:eastAsia="宋体" w:cs="仿宋_GB2312"/>
          <w:kern w:val="0"/>
          <w:szCs w:val="21"/>
        </w:rPr>
        <w:t>提供的全部货物由小微企业制造，其合同份额占到合同总金额</w:t>
      </w:r>
      <w:r>
        <w:rPr>
          <w:rFonts w:ascii="宋体" w:hAnsi="宋体" w:eastAsia="宋体" w:cs="仿宋_GB2312"/>
          <w:kern w:val="0"/>
          <w:szCs w:val="21"/>
          <w:u w:val="single"/>
        </w:rPr>
        <w:t xml:space="preserve">     </w:t>
      </w:r>
      <w:r>
        <w:rPr>
          <w:rFonts w:ascii="宋体" w:hAnsi="宋体" w:eastAsia="宋体" w:cs="仿宋_GB2312"/>
          <w:kern w:val="0"/>
          <w:szCs w:val="21"/>
        </w:rPr>
        <w:t>%以上；</w:t>
      </w:r>
      <w:r>
        <w:rPr>
          <w:rFonts w:hint="eastAsia" w:ascii="宋体" w:hAnsi="宋体" w:eastAsia="宋体" w:cs="仿宋_GB2312"/>
          <w:kern w:val="0"/>
          <w:szCs w:val="21"/>
          <w:lang w:val="zh-CN"/>
        </w:rPr>
        <w:t>……。</w:t>
      </w:r>
      <w:r>
        <w:rPr>
          <w:rFonts w:hint="eastAsia" w:ascii="宋体" w:hAnsi="宋体" w:eastAsia="宋体" w:cs="仿宋_GB2312"/>
          <w:b/>
          <w:kern w:val="0"/>
          <w:szCs w:val="21"/>
          <w:lang w:val="zh-CN"/>
        </w:rPr>
        <w:t>（未预留份额专门面向中小企业采购的的采购项目，以及预留份额中的非预留部分采购包，接受联合体投标的，联合体其中一方提供的货物全部由小微企业制造，且其合同份额占到合同总金额</w:t>
      </w:r>
      <w:r>
        <w:rPr>
          <w:rFonts w:ascii="宋体" w:hAnsi="宋体" w:eastAsia="宋体" w:cs="仿宋_GB2312"/>
          <w:b/>
          <w:kern w:val="0"/>
          <w:szCs w:val="21"/>
          <w:lang w:val="zh-CN"/>
        </w:rPr>
        <w:t>30%以上</w:t>
      </w:r>
      <w:r>
        <w:rPr>
          <w:rFonts w:hint="eastAsia" w:ascii="宋体" w:hAnsi="宋体" w:eastAsia="宋体" w:cs="仿宋_GB2312"/>
          <w:b/>
          <w:kern w:val="0"/>
          <w:szCs w:val="21"/>
          <w:lang w:val="zh-CN"/>
        </w:rPr>
        <w:t>，对联合体报价给予4%</w:t>
      </w:r>
      <w:r>
        <w:rPr>
          <w:rFonts w:ascii="宋体" w:hAnsi="宋体" w:eastAsia="宋体" w:cs="仿宋_GB2312"/>
          <w:b/>
          <w:kern w:val="0"/>
          <w:szCs w:val="21"/>
          <w:lang w:val="zh-CN"/>
        </w:rPr>
        <w:t>的扣除</w:t>
      </w:r>
      <w:r>
        <w:rPr>
          <w:rFonts w:hint="eastAsia" w:ascii="宋体" w:hAnsi="宋体" w:eastAsia="宋体" w:cs="仿宋_GB2312"/>
          <w:b/>
          <w:kern w:val="0"/>
          <w:szCs w:val="21"/>
          <w:lang w:val="zh-CN"/>
        </w:rPr>
        <w:t>）</w:t>
      </w:r>
    </w:p>
    <w:p w14:paraId="15DF118D">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五、如果中标，</w:t>
      </w:r>
      <w:r>
        <w:rPr>
          <w:rFonts w:hint="eastAsia" w:ascii="宋体" w:hAnsi="宋体" w:eastAsia="宋体" w:cs="Times New Roman"/>
          <w:szCs w:val="21"/>
        </w:rPr>
        <w:t>联合体各成员方共同与采购人签订合同，并就采购合同约定的事项对采购人承担连带责任。</w:t>
      </w:r>
    </w:p>
    <w:p w14:paraId="15DF118E">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六、有关本次联合投标的其他事宜：</w:t>
      </w:r>
    </w:p>
    <w:p w14:paraId="15DF118F">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仿宋_GB2312"/>
          <w:kern w:val="0"/>
          <w:szCs w:val="21"/>
          <w:lang w:val="zh-CN"/>
        </w:rPr>
        <w:t>1、联合体各方不再单独参加或者与其</w:t>
      </w:r>
      <w:r>
        <w:rPr>
          <w:rFonts w:hint="eastAsia" w:ascii="宋体" w:hAnsi="宋体" w:eastAsia="宋体" w:cs="仿宋_GB2312"/>
          <w:kern w:val="0"/>
          <w:szCs w:val="21"/>
          <w:lang w:val="zh-CN"/>
        </w:rPr>
        <w:t>他供应商另外组成联合体参加同一合同项下的政府采购活动。</w:t>
      </w:r>
    </w:p>
    <w:p w14:paraId="15DF1190">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仿宋_GB2312"/>
          <w:kern w:val="0"/>
          <w:szCs w:val="21"/>
          <w:lang w:val="zh-CN"/>
        </w:rPr>
        <w:t>2、联合体中有同类资质的各方按照联合体分工承担相同工作的，按照资质等级较低的供应商确定资质等级。</w:t>
      </w:r>
    </w:p>
    <w:p w14:paraId="15DF1191">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仿宋_GB2312"/>
          <w:kern w:val="0"/>
          <w:szCs w:val="21"/>
          <w:lang w:val="zh-CN"/>
        </w:rPr>
        <w:t>3、本协议提交采购人、</w:t>
      </w:r>
      <w:r>
        <w:rPr>
          <w:rFonts w:hint="eastAsia" w:ascii="宋体" w:hAnsi="宋体" w:eastAsia="宋体" w:cs="仿宋_GB2312"/>
          <w:kern w:val="0"/>
          <w:szCs w:val="21"/>
          <w:lang w:val="zh-CN"/>
        </w:rPr>
        <w:t>采购代理机构</w:t>
      </w:r>
      <w:r>
        <w:rPr>
          <w:rFonts w:ascii="宋体" w:hAnsi="宋体" w:eastAsia="宋体" w:cs="仿宋_GB2312"/>
          <w:kern w:val="0"/>
          <w:szCs w:val="21"/>
          <w:lang w:val="zh-CN"/>
        </w:rPr>
        <w:t>后，联合体各方不得以任何形式对上述内容进行修改或撤销。</w:t>
      </w:r>
    </w:p>
    <w:p w14:paraId="15DF1192">
      <w:pPr>
        <w:snapToGrid w:val="0"/>
        <w:spacing w:line="288" w:lineRule="auto"/>
        <w:ind w:firstLine="422" w:firstLineChars="201"/>
        <w:rPr>
          <w:rFonts w:hint="eastAsia" w:ascii="宋体" w:hAnsi="宋体" w:eastAsia="宋体" w:cs="仿宋_GB2312"/>
          <w:kern w:val="0"/>
          <w:szCs w:val="21"/>
          <w:lang w:val="zh-CN"/>
        </w:rPr>
      </w:pPr>
    </w:p>
    <w:p w14:paraId="15DF1193">
      <w:pPr>
        <w:snapToGrid w:val="0"/>
        <w:spacing w:line="288" w:lineRule="auto"/>
        <w:ind w:firstLine="422" w:firstLineChars="201"/>
        <w:rPr>
          <w:rFonts w:hint="eastAsia" w:ascii="宋体" w:hAnsi="宋体" w:eastAsia="宋体" w:cs="仿宋_GB2312"/>
          <w:kern w:val="0"/>
          <w:szCs w:val="21"/>
          <w:lang w:val="zh-CN"/>
        </w:rPr>
      </w:pPr>
    </w:p>
    <w:p w14:paraId="15DF1194">
      <w:pPr>
        <w:snapToGrid w:val="0"/>
        <w:spacing w:line="288" w:lineRule="auto"/>
        <w:ind w:firstLine="424" w:firstLineChars="201"/>
        <w:rPr>
          <w:rFonts w:hint="eastAsia" w:ascii="宋体" w:hAnsi="宋体" w:eastAsia="宋体" w:cs="仿宋_GB2312"/>
          <w:b/>
          <w:bCs/>
          <w:kern w:val="0"/>
          <w:szCs w:val="21"/>
          <w:lang w:val="zh-CN"/>
        </w:rPr>
      </w:pPr>
      <w:r>
        <w:rPr>
          <w:rFonts w:hint="eastAsia" w:ascii="宋体" w:hAnsi="宋体" w:eastAsia="宋体" w:cs="仿宋_GB2312"/>
          <w:b/>
          <w:bCs/>
          <w:kern w:val="0"/>
          <w:szCs w:val="21"/>
          <w:lang w:val="zh-CN"/>
        </w:rPr>
        <w:t>联合体成员名称</w:t>
      </w:r>
      <w:r>
        <w:rPr>
          <w:rFonts w:ascii="宋体" w:hAnsi="宋体" w:eastAsia="宋体" w:cs="仿宋_GB2312"/>
          <w:b/>
          <w:bCs/>
          <w:kern w:val="0"/>
          <w:szCs w:val="21"/>
          <w:lang w:val="zh-CN"/>
        </w:rPr>
        <w:t>(电子签名/公章)：</w:t>
      </w:r>
    </w:p>
    <w:p w14:paraId="15DF1195">
      <w:pPr>
        <w:snapToGrid w:val="0"/>
        <w:spacing w:line="288" w:lineRule="auto"/>
        <w:ind w:firstLine="424" w:firstLineChars="201"/>
        <w:rPr>
          <w:rFonts w:hint="eastAsia" w:ascii="宋体" w:hAnsi="宋体" w:eastAsia="宋体" w:cs="仿宋_GB2312"/>
          <w:b/>
          <w:bCs/>
          <w:kern w:val="0"/>
          <w:szCs w:val="21"/>
          <w:lang w:val="zh-CN"/>
        </w:rPr>
      </w:pPr>
    </w:p>
    <w:p w14:paraId="15DF1196">
      <w:pPr>
        <w:snapToGrid w:val="0"/>
        <w:spacing w:line="288" w:lineRule="auto"/>
        <w:ind w:firstLine="424" w:firstLineChars="201"/>
        <w:rPr>
          <w:rFonts w:hint="eastAsia" w:ascii="宋体" w:hAnsi="宋体" w:eastAsia="宋体" w:cs="Times New Roman"/>
          <w:b/>
          <w:bCs/>
          <w:szCs w:val="21"/>
        </w:rPr>
      </w:pPr>
    </w:p>
    <w:p w14:paraId="15DF1197">
      <w:pPr>
        <w:snapToGrid w:val="0"/>
        <w:spacing w:line="288" w:lineRule="auto"/>
        <w:ind w:firstLine="424" w:firstLineChars="201"/>
        <w:rPr>
          <w:rFonts w:hint="eastAsia" w:ascii="宋体" w:hAnsi="宋体" w:eastAsia="宋体" w:cs="仿宋_GB2312"/>
          <w:b/>
          <w:bCs/>
          <w:kern w:val="0"/>
          <w:szCs w:val="21"/>
          <w:lang w:val="zh-CN"/>
        </w:rPr>
      </w:pPr>
      <w:r>
        <w:rPr>
          <w:rFonts w:ascii="宋体" w:hAnsi="宋体" w:eastAsia="宋体" w:cs="仿宋_GB2312"/>
          <w:b/>
          <w:bCs/>
          <w:kern w:val="0"/>
          <w:szCs w:val="21"/>
          <w:lang w:val="zh-CN"/>
        </w:rPr>
        <w:t>日期：  年  月   日</w:t>
      </w:r>
    </w:p>
    <w:p w14:paraId="15DF1198">
      <w:pPr>
        <w:widowControl/>
        <w:jc w:val="left"/>
        <w:rPr>
          <w:rFonts w:hint="eastAsia" w:ascii="宋体" w:hAnsi="宋体" w:eastAsia="宋体" w:cs="仿宋_GB2312"/>
          <w:b/>
          <w:kern w:val="0"/>
          <w:szCs w:val="21"/>
        </w:rPr>
      </w:pPr>
      <w:r>
        <w:rPr>
          <w:rFonts w:ascii="宋体" w:hAnsi="宋体" w:eastAsia="宋体" w:cs="仿宋_GB2312"/>
          <w:b/>
          <w:kern w:val="0"/>
          <w:szCs w:val="21"/>
        </w:rPr>
        <w:br w:type="page"/>
      </w:r>
    </w:p>
    <w:p w14:paraId="15DF1199">
      <w:pPr>
        <w:snapToGrid w:val="0"/>
        <w:spacing w:line="288" w:lineRule="auto"/>
        <w:jc w:val="center"/>
        <w:outlineLvl w:val="2"/>
        <w:rPr>
          <w:rFonts w:hint="eastAsia" w:ascii="宋体" w:hAnsi="宋体" w:eastAsia="宋体" w:cs="仿宋_GB2312"/>
          <w:b/>
          <w:kern w:val="0"/>
          <w:szCs w:val="21"/>
        </w:rPr>
      </w:pPr>
      <w:r>
        <w:rPr>
          <w:rFonts w:hint="eastAsia" w:ascii="宋体" w:hAnsi="宋体" w:eastAsia="宋体" w:cs="仿宋_GB2312"/>
          <w:b/>
          <w:kern w:val="0"/>
          <w:szCs w:val="21"/>
        </w:rPr>
        <w:t>附件3</w:t>
      </w:r>
      <w:r>
        <w:rPr>
          <w:rFonts w:ascii="宋体" w:hAnsi="宋体" w:eastAsia="宋体" w:cs="仿宋_GB2312"/>
          <w:b/>
          <w:kern w:val="0"/>
          <w:szCs w:val="21"/>
        </w:rPr>
        <w:t>：</w:t>
      </w:r>
      <w:r>
        <w:rPr>
          <w:rFonts w:hint="eastAsia" w:ascii="宋体" w:hAnsi="宋体" w:eastAsia="宋体" w:cs="仿宋_GB2312"/>
          <w:b/>
          <w:kern w:val="0"/>
          <w:szCs w:val="21"/>
        </w:rPr>
        <w:t>分包意向协议</w:t>
      </w:r>
    </w:p>
    <w:p w14:paraId="15DF119A">
      <w:pPr>
        <w:widowControl/>
        <w:snapToGrid w:val="0"/>
        <w:spacing w:line="288" w:lineRule="auto"/>
        <w:ind w:firstLine="422" w:firstLineChars="201"/>
        <w:jc w:val="left"/>
        <w:rPr>
          <w:rFonts w:hint="eastAsia" w:ascii="宋体" w:hAnsi="宋体" w:eastAsia="宋体" w:cs="仿宋_GB2312"/>
          <w:szCs w:val="21"/>
        </w:rPr>
      </w:pPr>
      <w:r>
        <w:rPr>
          <w:rFonts w:hint="eastAsia" w:ascii="宋体" w:hAnsi="宋体" w:eastAsia="宋体" w:cs="仿宋_GB2312"/>
          <w:szCs w:val="21"/>
        </w:rPr>
        <w:t>（</w:t>
      </w:r>
      <w:r>
        <w:rPr>
          <w:rFonts w:hint="eastAsia" w:ascii="宋体" w:hAnsi="宋体" w:eastAsia="宋体" w:cs="仿宋_GB2312"/>
          <w:b/>
          <w:szCs w:val="21"/>
        </w:rPr>
        <w:t>中标后以分包方式履行合同的，提供分包意向协议；采购人不同意分包或者投标人中标后不以分包方式履行合同的，则不需要提供。</w:t>
      </w:r>
      <w:r>
        <w:rPr>
          <w:rFonts w:hint="eastAsia" w:ascii="宋体" w:hAnsi="宋体" w:eastAsia="宋体" w:cs="仿宋_GB2312"/>
          <w:szCs w:val="21"/>
        </w:rPr>
        <w:t>）</w:t>
      </w:r>
    </w:p>
    <w:p w14:paraId="15DF119B">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u w:val="single"/>
        </w:rPr>
        <w:t>（投标人名称）</w:t>
      </w:r>
      <w:r>
        <w:rPr>
          <w:rFonts w:hint="eastAsia" w:ascii="宋体" w:hAnsi="宋体" w:eastAsia="宋体" w:cs="仿宋_GB2312"/>
          <w:kern w:val="0"/>
          <w:szCs w:val="21"/>
          <w:lang w:val="zh-CN"/>
        </w:rPr>
        <w:t>若成为</w:t>
      </w:r>
      <w:r>
        <w:rPr>
          <w:rFonts w:hint="eastAsia" w:ascii="宋体" w:hAnsi="宋体" w:eastAsia="宋体" w:cs="仿宋_GB2312"/>
          <w:szCs w:val="21"/>
        </w:rPr>
        <w:t>（项目名称）【招标编号：</w:t>
      </w:r>
      <w:r>
        <w:rPr>
          <w:rFonts w:hint="eastAsia" w:ascii="宋体" w:hAnsi="宋体" w:eastAsia="宋体" w:cs="Times New Roman"/>
          <w:szCs w:val="21"/>
        </w:rPr>
        <w:t>（采购编号）</w:t>
      </w:r>
      <w:r>
        <w:rPr>
          <w:rFonts w:hint="eastAsia" w:ascii="宋体" w:hAnsi="宋体" w:eastAsia="宋体" w:cs="仿宋_GB2312"/>
          <w:szCs w:val="21"/>
        </w:rPr>
        <w:t>】</w:t>
      </w:r>
      <w:r>
        <w:rPr>
          <w:rFonts w:hint="eastAsia" w:ascii="宋体" w:hAnsi="宋体" w:eastAsia="宋体" w:cs="仿宋_GB2312"/>
          <w:kern w:val="0"/>
          <w:szCs w:val="21"/>
          <w:lang w:val="zh-CN"/>
        </w:rPr>
        <w:t>的中标供应商，将依法采取分包方式履行合同。</w:t>
      </w:r>
      <w:r>
        <w:rPr>
          <w:rFonts w:hint="eastAsia" w:ascii="宋体" w:hAnsi="宋体" w:eastAsia="宋体" w:cs="仿宋_GB2312"/>
          <w:kern w:val="0"/>
          <w:szCs w:val="21"/>
          <w:u w:val="single"/>
        </w:rPr>
        <w:t>（投标人名称）</w:t>
      </w:r>
      <w:r>
        <w:rPr>
          <w:rFonts w:hint="eastAsia" w:ascii="宋体" w:hAnsi="宋体" w:eastAsia="宋体" w:cs="仿宋_GB2312"/>
          <w:kern w:val="0"/>
          <w:szCs w:val="21"/>
        </w:rPr>
        <w:t>与</w:t>
      </w:r>
      <w:r>
        <w:rPr>
          <w:rFonts w:hint="eastAsia" w:ascii="宋体" w:hAnsi="宋体" w:eastAsia="宋体" w:cs="仿宋_GB2312"/>
          <w:kern w:val="0"/>
          <w:szCs w:val="21"/>
          <w:u w:val="single"/>
        </w:rPr>
        <w:t>（所有分包供应商名称）</w:t>
      </w:r>
      <w:r>
        <w:rPr>
          <w:rFonts w:hint="eastAsia" w:ascii="宋体" w:hAnsi="宋体" w:eastAsia="宋体" w:cs="仿宋_GB2312"/>
          <w:kern w:val="0"/>
          <w:szCs w:val="21"/>
        </w:rPr>
        <w:t>达成分包意向协议</w:t>
      </w:r>
      <w:r>
        <w:rPr>
          <w:rFonts w:hint="eastAsia" w:ascii="宋体" w:hAnsi="宋体" w:eastAsia="宋体" w:cs="仿宋_GB2312"/>
          <w:kern w:val="0"/>
          <w:szCs w:val="21"/>
          <w:lang w:val="zh-CN"/>
        </w:rPr>
        <w:t>。</w:t>
      </w:r>
      <w:r>
        <w:rPr>
          <w:rFonts w:ascii="宋体" w:hAnsi="宋体" w:eastAsia="宋体" w:cs="仿宋_GB2312"/>
          <w:kern w:val="0"/>
          <w:szCs w:val="21"/>
          <w:lang w:val="zh-CN"/>
        </w:rPr>
        <w:t xml:space="preserve"> </w:t>
      </w:r>
    </w:p>
    <w:p w14:paraId="15DF119C">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一、分包标的及数量</w:t>
      </w:r>
    </w:p>
    <w:p w14:paraId="15DF119D">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u w:val="single"/>
        </w:rPr>
        <w:t>（投标人名称）</w:t>
      </w:r>
      <w:r>
        <w:rPr>
          <w:rFonts w:hint="eastAsia" w:ascii="宋体" w:hAnsi="宋体" w:eastAsia="宋体" w:cs="仿宋_GB2312"/>
          <w:kern w:val="0"/>
          <w:szCs w:val="21"/>
          <w:lang w:val="zh-CN"/>
        </w:rPr>
        <w:t>将</w:t>
      </w:r>
      <w:r>
        <w:rPr>
          <w:rFonts w:ascii="宋体" w:hAnsi="宋体" w:eastAsia="宋体" w:cs="Times New Roman"/>
          <w:szCs w:val="21"/>
          <w:u w:val="single"/>
        </w:rPr>
        <w:t xml:space="preserve">   XX工作内容   </w:t>
      </w:r>
      <w:r>
        <w:rPr>
          <w:rFonts w:hint="eastAsia" w:ascii="宋体" w:hAnsi="宋体" w:eastAsia="宋体" w:cs="Arial"/>
          <w:szCs w:val="21"/>
        </w:rPr>
        <w:t>分包给</w:t>
      </w:r>
      <w:r>
        <w:rPr>
          <w:rFonts w:hint="eastAsia" w:ascii="宋体" w:hAnsi="宋体" w:eastAsia="宋体" w:cs="仿宋_GB2312"/>
          <w:kern w:val="0"/>
          <w:szCs w:val="21"/>
          <w:u w:val="single"/>
        </w:rPr>
        <w:t>（某分包供应商名称）</w:t>
      </w:r>
      <w:r>
        <w:rPr>
          <w:rFonts w:hint="eastAsia" w:ascii="宋体" w:hAnsi="宋体" w:eastAsia="宋体" w:cs="仿宋_GB2312"/>
          <w:kern w:val="0"/>
          <w:szCs w:val="21"/>
          <w:lang w:val="zh-CN"/>
        </w:rPr>
        <w:t>，</w:t>
      </w:r>
      <w:r>
        <w:rPr>
          <w:rFonts w:hint="eastAsia" w:ascii="宋体" w:hAnsi="宋体" w:eastAsia="宋体" w:cs="仿宋_GB2312"/>
          <w:kern w:val="0"/>
          <w:szCs w:val="21"/>
          <w:u w:val="single"/>
        </w:rPr>
        <w:t>（某分包供应商名称），</w:t>
      </w:r>
      <w:r>
        <w:rPr>
          <w:rFonts w:hint="eastAsia" w:ascii="宋体" w:hAnsi="宋体" w:eastAsia="宋体" w:cs="仿宋_GB2312"/>
          <w:kern w:val="0"/>
          <w:szCs w:val="21"/>
          <w:lang w:val="zh-CN"/>
        </w:rPr>
        <w:t>具备承</w:t>
      </w:r>
      <w:r>
        <w:rPr>
          <w:rFonts w:hint="eastAsia" w:ascii="宋体" w:hAnsi="宋体" w:eastAsia="宋体" w:cs="仿宋_GB2312"/>
          <w:kern w:val="0"/>
          <w:szCs w:val="21"/>
        </w:rPr>
        <w:t>担</w:t>
      </w:r>
      <w:r>
        <w:rPr>
          <w:rFonts w:ascii="宋体" w:hAnsi="宋体" w:eastAsia="宋体" w:cs="仿宋_GB2312"/>
          <w:kern w:val="0"/>
          <w:szCs w:val="21"/>
          <w:u w:val="single"/>
          <w:lang w:val="zh-CN"/>
        </w:rPr>
        <w:t>XX工作内容</w:t>
      </w:r>
      <w:r>
        <w:rPr>
          <w:rFonts w:hint="eastAsia" w:ascii="宋体" w:hAnsi="宋体" w:eastAsia="宋体" w:cs="仿宋_GB2312"/>
          <w:kern w:val="0"/>
          <w:szCs w:val="21"/>
          <w:lang w:val="zh-CN"/>
        </w:rPr>
        <w:t>相应资质条件且不得再次分包；</w:t>
      </w:r>
    </w:p>
    <w:p w14:paraId="15DF119E">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w:t>
      </w:r>
    </w:p>
    <w:p w14:paraId="15DF119F">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二、分包工作履行期限、地点、方式</w:t>
      </w:r>
    </w:p>
    <w:p w14:paraId="15DF11A0">
      <w:pPr>
        <w:snapToGrid w:val="0"/>
        <w:spacing w:line="288" w:lineRule="auto"/>
        <w:ind w:firstLine="422" w:firstLineChars="201"/>
        <w:rPr>
          <w:rFonts w:hint="eastAsia" w:ascii="宋体" w:hAnsi="宋体" w:eastAsia="宋体" w:cs="Times New Roman"/>
          <w:szCs w:val="21"/>
          <w:u w:val="single"/>
        </w:rPr>
      </w:pPr>
      <w:r>
        <w:rPr>
          <w:rFonts w:ascii="宋体" w:hAnsi="宋体" w:eastAsia="宋体" w:cs="Times New Roman"/>
          <w:szCs w:val="21"/>
          <w:u w:val="single"/>
        </w:rPr>
        <w:t xml:space="preserve">                                                                                  </w:t>
      </w:r>
    </w:p>
    <w:p w14:paraId="15DF11A1">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三、质量</w:t>
      </w:r>
    </w:p>
    <w:p w14:paraId="15DF11A2">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Times New Roman"/>
          <w:szCs w:val="21"/>
          <w:u w:val="single"/>
        </w:rPr>
        <w:t xml:space="preserve">                                                                                       </w:t>
      </w:r>
    </w:p>
    <w:p w14:paraId="15DF11A3">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四、价款或者报酬</w:t>
      </w:r>
    </w:p>
    <w:p w14:paraId="15DF11A4">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Times New Roman"/>
          <w:szCs w:val="21"/>
          <w:u w:val="single"/>
        </w:rPr>
        <w:t xml:space="preserve">                                                                                     </w:t>
      </w:r>
    </w:p>
    <w:p w14:paraId="15DF11A5">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五、违约责任</w:t>
      </w:r>
    </w:p>
    <w:p w14:paraId="15DF11A6">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Times New Roman"/>
          <w:szCs w:val="21"/>
          <w:u w:val="single"/>
        </w:rPr>
        <w:t xml:space="preserve">                                                                                     </w:t>
      </w:r>
    </w:p>
    <w:p w14:paraId="15DF11A7">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六、争议解决的办法</w:t>
      </w:r>
    </w:p>
    <w:p w14:paraId="15DF11A8">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Times New Roman"/>
          <w:szCs w:val="21"/>
          <w:u w:val="single"/>
        </w:rPr>
        <w:t xml:space="preserve">                                                                                  </w:t>
      </w:r>
    </w:p>
    <w:p w14:paraId="15DF11A9">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七、其他</w:t>
      </w:r>
    </w:p>
    <w:p w14:paraId="15DF11AA">
      <w:pPr>
        <w:snapToGrid w:val="0"/>
        <w:spacing w:line="288" w:lineRule="auto"/>
        <w:ind w:firstLine="422" w:firstLineChars="201"/>
        <w:rPr>
          <w:rFonts w:hint="eastAsia" w:ascii="宋体" w:hAnsi="宋体" w:eastAsia="宋体" w:cs="仿宋_GB2312"/>
          <w:b/>
          <w:kern w:val="0"/>
          <w:szCs w:val="21"/>
          <w:lang w:val="zh-CN"/>
        </w:rPr>
      </w:pPr>
      <w:r>
        <w:rPr>
          <w:rFonts w:hint="eastAsia" w:ascii="宋体" w:hAnsi="宋体" w:eastAsia="宋体" w:cs="仿宋_GB2312"/>
          <w:kern w:val="0"/>
          <w:szCs w:val="21"/>
          <w:u w:val="single"/>
        </w:rPr>
        <w:t>（分包供应商名称）提供的货物全部由小微企业制造，</w:t>
      </w:r>
      <w:r>
        <w:rPr>
          <w:rFonts w:hint="eastAsia" w:ascii="宋体" w:hAnsi="宋体" w:eastAsia="宋体" w:cs="仿宋_GB2312"/>
          <w:kern w:val="0"/>
          <w:szCs w:val="21"/>
        </w:rPr>
        <w:t>其合同份额占到合同总金额</w:t>
      </w:r>
      <w:r>
        <w:rPr>
          <w:rFonts w:ascii="宋体" w:hAnsi="宋体" w:eastAsia="宋体" w:cs="仿宋_GB2312"/>
          <w:kern w:val="0"/>
          <w:szCs w:val="21"/>
          <w:u w:val="single"/>
        </w:rPr>
        <w:t xml:space="preserve">     </w:t>
      </w:r>
      <w:r>
        <w:rPr>
          <w:rFonts w:ascii="宋体" w:hAnsi="宋体" w:eastAsia="宋体" w:cs="仿宋_GB2312"/>
          <w:kern w:val="0"/>
          <w:szCs w:val="21"/>
        </w:rPr>
        <w:t>%以上</w:t>
      </w:r>
      <w:r>
        <w:rPr>
          <w:rFonts w:hint="eastAsia" w:ascii="宋体" w:hAnsi="宋体" w:eastAsia="宋体" w:cs="Times New Roman"/>
          <w:szCs w:val="21"/>
        </w:rPr>
        <w:t>。</w:t>
      </w:r>
      <w:r>
        <w:rPr>
          <w:rFonts w:hint="eastAsia" w:ascii="宋体" w:hAnsi="宋体" w:eastAsia="宋体" w:cs="仿宋_GB2312"/>
          <w:b/>
          <w:kern w:val="0"/>
          <w:szCs w:val="21"/>
          <w:lang w:val="zh-CN"/>
        </w:rPr>
        <w:t>（未预留份额专门面向中小企业采购的的采购项目，以及预留份额中的非预留部分采购包，允许分包的，分包供应商提供的货物全部由小微企业制造，且其合同份额占到合同总金额</w:t>
      </w:r>
      <w:r>
        <w:rPr>
          <w:rFonts w:ascii="宋体" w:hAnsi="宋体" w:eastAsia="宋体" w:cs="仿宋_GB2312"/>
          <w:b/>
          <w:kern w:val="0"/>
          <w:szCs w:val="21"/>
          <w:lang w:val="zh-CN"/>
        </w:rPr>
        <w:t>30%以上</w:t>
      </w:r>
      <w:r>
        <w:rPr>
          <w:rFonts w:hint="eastAsia" w:ascii="宋体" w:hAnsi="宋体" w:eastAsia="宋体" w:cs="仿宋_GB2312"/>
          <w:b/>
          <w:kern w:val="0"/>
          <w:szCs w:val="21"/>
          <w:lang w:val="zh-CN"/>
        </w:rPr>
        <w:t>的，对大中型企业的报价给予4%</w:t>
      </w:r>
      <w:r>
        <w:rPr>
          <w:rFonts w:ascii="宋体" w:hAnsi="宋体" w:eastAsia="宋体" w:cs="仿宋_GB2312"/>
          <w:b/>
          <w:kern w:val="0"/>
          <w:szCs w:val="21"/>
          <w:lang w:val="zh-CN"/>
        </w:rPr>
        <w:t>的扣除</w:t>
      </w:r>
      <w:r>
        <w:rPr>
          <w:rFonts w:hint="eastAsia" w:ascii="宋体" w:hAnsi="宋体" w:eastAsia="宋体" w:cs="仿宋_GB2312"/>
          <w:b/>
          <w:kern w:val="0"/>
          <w:szCs w:val="21"/>
          <w:lang w:val="zh-CN"/>
        </w:rPr>
        <w:t>）</w:t>
      </w:r>
    </w:p>
    <w:p w14:paraId="15DF11AB">
      <w:pPr>
        <w:snapToGrid w:val="0"/>
        <w:spacing w:line="288" w:lineRule="auto"/>
        <w:rPr>
          <w:rFonts w:hint="eastAsia" w:ascii="宋体" w:hAnsi="宋体" w:eastAsia="宋体" w:cs="仿宋_GB2312"/>
          <w:kern w:val="0"/>
          <w:szCs w:val="21"/>
          <w:lang w:val="zh-CN"/>
        </w:rPr>
      </w:pPr>
    </w:p>
    <w:p w14:paraId="15DF11AC">
      <w:pPr>
        <w:snapToGrid w:val="0"/>
        <w:spacing w:line="288" w:lineRule="auto"/>
        <w:ind w:firstLine="422" w:firstLineChars="200"/>
        <w:rPr>
          <w:rFonts w:hint="eastAsia" w:ascii="宋体" w:hAnsi="宋体" w:eastAsia="宋体" w:cs="仿宋_GB2312"/>
          <w:b/>
          <w:bCs/>
          <w:kern w:val="0"/>
          <w:szCs w:val="21"/>
          <w:lang w:val="zh-CN"/>
        </w:rPr>
      </w:pPr>
      <w:r>
        <w:rPr>
          <w:rFonts w:hint="eastAsia" w:ascii="宋体" w:hAnsi="宋体" w:eastAsia="宋体" w:cs="仿宋_GB2312"/>
          <w:b/>
          <w:bCs/>
          <w:kern w:val="0"/>
          <w:szCs w:val="21"/>
          <w:lang w:val="zh-CN"/>
        </w:rPr>
        <w:t>投标人名称（电子签名</w:t>
      </w:r>
      <w:r>
        <w:rPr>
          <w:rFonts w:ascii="宋体" w:hAnsi="宋体" w:eastAsia="宋体" w:cs="仿宋_GB2312"/>
          <w:b/>
          <w:bCs/>
          <w:kern w:val="0"/>
          <w:szCs w:val="21"/>
          <w:lang w:val="zh-CN"/>
        </w:rPr>
        <w:t>/公章）：</w:t>
      </w:r>
    </w:p>
    <w:p w14:paraId="15DF11AD">
      <w:pPr>
        <w:snapToGrid w:val="0"/>
        <w:spacing w:line="288" w:lineRule="auto"/>
        <w:ind w:firstLine="424" w:firstLineChars="201"/>
        <w:rPr>
          <w:rFonts w:hint="eastAsia" w:ascii="宋体" w:hAnsi="宋体" w:eastAsia="宋体" w:cs="仿宋_GB2312"/>
          <w:b/>
          <w:bCs/>
          <w:kern w:val="0"/>
          <w:szCs w:val="21"/>
          <w:lang w:val="zh-CN"/>
        </w:rPr>
      </w:pPr>
    </w:p>
    <w:p w14:paraId="15DF11AE">
      <w:pPr>
        <w:snapToGrid w:val="0"/>
        <w:spacing w:line="288" w:lineRule="auto"/>
        <w:ind w:firstLine="424" w:firstLineChars="201"/>
        <w:rPr>
          <w:rFonts w:hint="eastAsia" w:ascii="宋体" w:hAnsi="宋体" w:eastAsia="宋体" w:cs="仿宋_GB2312"/>
          <w:b/>
          <w:bCs/>
          <w:kern w:val="0"/>
          <w:szCs w:val="21"/>
          <w:lang w:val="zh-CN"/>
        </w:rPr>
      </w:pPr>
      <w:r>
        <w:rPr>
          <w:rFonts w:hint="eastAsia" w:ascii="宋体" w:hAnsi="宋体" w:eastAsia="宋体" w:cs="仿宋_GB2312"/>
          <w:b/>
          <w:bCs/>
          <w:kern w:val="0"/>
          <w:szCs w:val="21"/>
          <w:lang w:val="zh-CN"/>
        </w:rPr>
        <w:t>分包供应商名称（电子签名</w:t>
      </w:r>
      <w:r>
        <w:rPr>
          <w:rFonts w:ascii="宋体" w:hAnsi="宋体" w:eastAsia="宋体" w:cs="仿宋_GB2312"/>
          <w:b/>
          <w:bCs/>
          <w:kern w:val="0"/>
          <w:szCs w:val="21"/>
          <w:lang w:val="zh-CN"/>
        </w:rPr>
        <w:t>/公章）：</w:t>
      </w:r>
    </w:p>
    <w:p w14:paraId="15DF11AF">
      <w:pPr>
        <w:snapToGrid w:val="0"/>
        <w:spacing w:line="288" w:lineRule="auto"/>
        <w:rPr>
          <w:rFonts w:hint="eastAsia" w:ascii="宋体" w:hAnsi="宋体" w:eastAsia="宋体" w:cs="仿宋_GB2312"/>
          <w:b/>
          <w:bCs/>
          <w:kern w:val="0"/>
          <w:szCs w:val="21"/>
          <w:lang w:val="zh-CN"/>
        </w:rPr>
      </w:pPr>
    </w:p>
    <w:p w14:paraId="15DF11B0">
      <w:pPr>
        <w:snapToGrid w:val="0"/>
        <w:spacing w:line="288" w:lineRule="auto"/>
        <w:ind w:firstLine="424" w:firstLineChars="201"/>
        <w:rPr>
          <w:rFonts w:hint="eastAsia" w:ascii="宋体" w:hAnsi="宋体" w:eastAsia="宋体" w:cs="仿宋_GB2312"/>
          <w:b/>
          <w:bCs/>
          <w:kern w:val="0"/>
          <w:szCs w:val="21"/>
          <w:lang w:val="zh-CN"/>
        </w:rPr>
      </w:pPr>
      <w:r>
        <w:rPr>
          <w:rFonts w:ascii="宋体" w:hAnsi="宋体" w:eastAsia="宋体" w:cs="仿宋_GB2312"/>
          <w:b/>
          <w:bCs/>
          <w:kern w:val="0"/>
          <w:szCs w:val="21"/>
          <w:lang w:val="zh-CN"/>
        </w:rPr>
        <w:t>日期：  年  月   日</w:t>
      </w:r>
    </w:p>
    <w:p w14:paraId="15DF11B1">
      <w:pPr>
        <w:rPr>
          <w:rFonts w:hint="eastAsia" w:ascii="等线" w:hAnsi="等线" w:eastAsia="等线" w:cs="Times New Roman"/>
        </w:rPr>
      </w:pPr>
    </w:p>
    <w:p w14:paraId="15DF11B2">
      <w:pPr>
        <w:adjustRightInd w:val="0"/>
        <w:snapToGrid w:val="0"/>
        <w:spacing w:line="288" w:lineRule="auto"/>
        <w:rPr>
          <w:rFonts w:hint="eastAsia" w:ascii="宋体" w:hAnsi="宋体" w:eastAsia="宋体" w:cs="Times New Roman"/>
          <w:b/>
          <w:spacing w:val="-6"/>
          <w:szCs w:val="21"/>
        </w:rPr>
      </w:pPr>
    </w:p>
    <w:sectPr>
      <w:footerReference r:id="rId6" w:type="default"/>
      <w:pgSz w:w="11906" w:h="16838"/>
      <w:pgMar w:top="1247" w:right="1247" w:bottom="1247" w:left="1247" w:header="0" w:footer="694" w:gutter="0"/>
      <w:pgNumType w:start="1"/>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apple-system">
    <w:altName w:val="Malgun Gothic Semilight"/>
    <w:panose1 w:val="00000000000000000000"/>
    <w:charset w:val="00"/>
    <w:family w:val="auto"/>
    <w:pitch w:val="default"/>
    <w:sig w:usb0="00000000" w:usb1="00000000" w:usb2="00000000" w:usb3="00000000" w:csb0="00040001" w:csb1="00000000"/>
  </w:font>
  <w:font w:name="Malgun Gothic Semilight">
    <w:panose1 w:val="020B0502040204020203"/>
    <w:charset w:val="86"/>
    <w:family w:val="auto"/>
    <w:pitch w:val="default"/>
    <w:sig w:usb0="900002AF" w:usb1="01D77CFB" w:usb2="00000012" w:usb3="00000000" w:csb0="203E01BD" w:csb1="D7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Microsoft YaHei UI">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Helvetica Neue Light">
    <w:altName w:val="Courier New"/>
    <w:panose1 w:val="00000000000000000000"/>
    <w:charset w:val="00"/>
    <w:family w:val="auto"/>
    <w:pitch w:val="default"/>
    <w:sig w:usb0="00000000" w:usb1="00000000" w:usb2="00000002" w:usb3="00000000" w:csb0="00000007" w:csb1="00000000"/>
  </w:font>
  <w:font w:name="ヒラギノ角ゴ Pro W3">
    <w:altName w:val="MS Gothic"/>
    <w:panose1 w:val="00000000000000000000"/>
    <w:charset w:val="80"/>
    <w:family w:val="auto"/>
    <w:pitch w:val="default"/>
    <w:sig w:usb0="00000000" w:usb1="00000000" w:usb2="00000012" w:usb3="00000000" w:csb0="0002000D" w:csb1="00000000"/>
  </w:font>
  <w:font w:name="MS Gothic">
    <w:panose1 w:val="020B0609070205080204"/>
    <w:charset w:val="80"/>
    <w:family w:val="auto"/>
    <w:pitch w:val="default"/>
    <w:sig w:usb0="E00002FF" w:usb1="6AC7FDFB" w:usb2="08000012" w:usb3="00000000" w:csb0="4002009F" w:csb1="DFD7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DF11B9">
    <w:pPr>
      <w:pStyle w:val="16"/>
      <w:jc w:val="center"/>
      <w:rPr>
        <w:rFonts w:hint="eastAsia" w:ascii="宋体" w:hAnsi="宋体" w:eastAsia="宋体"/>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DF11BA">
    <w:pPr>
      <w:pStyle w:val="16"/>
      <w:jc w:val="center"/>
      <w:rPr>
        <w:rFonts w:hint="eastAsia" w:ascii="宋体" w:hAnsi="宋体" w:eastAsia="宋体"/>
        <w:sz w:val="21"/>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DF11BB">
    <w:pPr>
      <w:pStyle w:val="16"/>
      <w:jc w:val="center"/>
      <w:rPr>
        <w:rFonts w:hint="eastAsia"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PAGE   \* MERGEFORMAT</w:instrText>
    </w:r>
    <w:r>
      <w:rPr>
        <w:rFonts w:ascii="宋体" w:hAnsi="宋体" w:eastAsia="宋体"/>
        <w:sz w:val="21"/>
        <w:szCs w:val="21"/>
      </w:rPr>
      <w:fldChar w:fldCharType="separate"/>
    </w:r>
    <w:r>
      <w:rPr>
        <w:rFonts w:ascii="宋体" w:hAnsi="宋体" w:eastAsia="宋体"/>
        <w:sz w:val="21"/>
        <w:szCs w:val="21"/>
        <w:lang w:val="zh-CN"/>
      </w:rPr>
      <w:t>1</w:t>
    </w:r>
    <w:r>
      <w:rPr>
        <w:rFonts w:ascii="宋体" w:hAnsi="宋体" w:eastAsia="宋体"/>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DF11B8">
    <w:pPr>
      <w:jc w:val="center"/>
      <w:rPr>
        <w:rFonts w:hint="eastAsia"/>
      </w:rPr>
    </w:pPr>
    <w:r>
      <w:rPr>
        <w:rFonts w:hint="eastAsia"/>
      </w:rPr>
      <w:drawing>
        <wp:inline distT="0" distB="0" distL="114300" distR="114300">
          <wp:extent cx="5906770" cy="676910"/>
          <wp:effectExtent l="0" t="0" r="8255" b="8890"/>
          <wp:docPr id="2" name="图片 2"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页眉"/>
                  <pic:cNvPicPr>
                    <a:picLocks noChangeAspect="1"/>
                  </pic:cNvPicPr>
                </pic:nvPicPr>
                <pic:blipFill>
                  <a:blip r:embed="rId1"/>
                  <a:stretch>
                    <a:fillRect/>
                  </a:stretch>
                </pic:blipFill>
                <pic:spPr>
                  <a:xfrm>
                    <a:off x="0" y="0"/>
                    <a:ext cx="5906770" cy="67691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5"/>
    <w:multiLevelType w:val="multilevel"/>
    <w:tmpl w:val="00000005"/>
    <w:lvl w:ilvl="0" w:tentative="0">
      <w:start w:val="1"/>
      <w:numFmt w:val="decimal"/>
      <w:pStyle w:val="5"/>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A1NjJhY2YzNGY0NzY5M2ZmM2Y0ZjcwMmY2ODQ2YTYifQ=="/>
  </w:docVars>
  <w:rsids>
    <w:rsidRoot w:val="00756626"/>
    <w:rsid w:val="000009E4"/>
    <w:rsid w:val="0000114F"/>
    <w:rsid w:val="0000436F"/>
    <w:rsid w:val="000062F4"/>
    <w:rsid w:val="00006469"/>
    <w:rsid w:val="00006CFD"/>
    <w:rsid w:val="000116E4"/>
    <w:rsid w:val="00012C41"/>
    <w:rsid w:val="00013608"/>
    <w:rsid w:val="00013B07"/>
    <w:rsid w:val="00014530"/>
    <w:rsid w:val="00015995"/>
    <w:rsid w:val="00016D69"/>
    <w:rsid w:val="00022A3E"/>
    <w:rsid w:val="00034595"/>
    <w:rsid w:val="00037CC3"/>
    <w:rsid w:val="00037F12"/>
    <w:rsid w:val="000404C3"/>
    <w:rsid w:val="00041035"/>
    <w:rsid w:val="0004184A"/>
    <w:rsid w:val="00042FA2"/>
    <w:rsid w:val="00043D3F"/>
    <w:rsid w:val="0004610A"/>
    <w:rsid w:val="00046C0F"/>
    <w:rsid w:val="00047FBE"/>
    <w:rsid w:val="000505CC"/>
    <w:rsid w:val="000536E0"/>
    <w:rsid w:val="00057E8D"/>
    <w:rsid w:val="0006261A"/>
    <w:rsid w:val="00065AAC"/>
    <w:rsid w:val="00066C2F"/>
    <w:rsid w:val="00067CDC"/>
    <w:rsid w:val="00074377"/>
    <w:rsid w:val="000765FF"/>
    <w:rsid w:val="00080197"/>
    <w:rsid w:val="00080E86"/>
    <w:rsid w:val="000814E9"/>
    <w:rsid w:val="00082DB5"/>
    <w:rsid w:val="00082FB1"/>
    <w:rsid w:val="00085C8D"/>
    <w:rsid w:val="00085FCC"/>
    <w:rsid w:val="00086FEF"/>
    <w:rsid w:val="00090029"/>
    <w:rsid w:val="00091AA5"/>
    <w:rsid w:val="00091FF9"/>
    <w:rsid w:val="000922B3"/>
    <w:rsid w:val="00094854"/>
    <w:rsid w:val="000949E6"/>
    <w:rsid w:val="0009679C"/>
    <w:rsid w:val="0009761D"/>
    <w:rsid w:val="000A0BB1"/>
    <w:rsid w:val="000A108A"/>
    <w:rsid w:val="000A318A"/>
    <w:rsid w:val="000A3511"/>
    <w:rsid w:val="000A3F95"/>
    <w:rsid w:val="000A68FB"/>
    <w:rsid w:val="000A74CF"/>
    <w:rsid w:val="000A7D0F"/>
    <w:rsid w:val="000B1B92"/>
    <w:rsid w:val="000B5BC8"/>
    <w:rsid w:val="000C1DE2"/>
    <w:rsid w:val="000C1EF8"/>
    <w:rsid w:val="000C3537"/>
    <w:rsid w:val="000C558F"/>
    <w:rsid w:val="000C587E"/>
    <w:rsid w:val="000C5B11"/>
    <w:rsid w:val="000C67A6"/>
    <w:rsid w:val="000D0B38"/>
    <w:rsid w:val="000D107B"/>
    <w:rsid w:val="000D4121"/>
    <w:rsid w:val="000D763B"/>
    <w:rsid w:val="000E0B46"/>
    <w:rsid w:val="000E12A8"/>
    <w:rsid w:val="000E158D"/>
    <w:rsid w:val="000E3384"/>
    <w:rsid w:val="000E6420"/>
    <w:rsid w:val="000F4562"/>
    <w:rsid w:val="000F5E16"/>
    <w:rsid w:val="00103101"/>
    <w:rsid w:val="00103FF5"/>
    <w:rsid w:val="00105EC1"/>
    <w:rsid w:val="00106A4D"/>
    <w:rsid w:val="00111418"/>
    <w:rsid w:val="00112A2A"/>
    <w:rsid w:val="001137C8"/>
    <w:rsid w:val="00117EF1"/>
    <w:rsid w:val="001203D7"/>
    <w:rsid w:val="00120781"/>
    <w:rsid w:val="00121025"/>
    <w:rsid w:val="001273B1"/>
    <w:rsid w:val="00130294"/>
    <w:rsid w:val="00132E0C"/>
    <w:rsid w:val="001358FA"/>
    <w:rsid w:val="00137FB9"/>
    <w:rsid w:val="00145597"/>
    <w:rsid w:val="001466D3"/>
    <w:rsid w:val="001472FE"/>
    <w:rsid w:val="00147E13"/>
    <w:rsid w:val="00150DD3"/>
    <w:rsid w:val="00154E6E"/>
    <w:rsid w:val="00160F71"/>
    <w:rsid w:val="00160F8F"/>
    <w:rsid w:val="00162355"/>
    <w:rsid w:val="00162B7F"/>
    <w:rsid w:val="00163375"/>
    <w:rsid w:val="001639E5"/>
    <w:rsid w:val="00164553"/>
    <w:rsid w:val="00164E88"/>
    <w:rsid w:val="00166D36"/>
    <w:rsid w:val="00166EDC"/>
    <w:rsid w:val="00167EC3"/>
    <w:rsid w:val="0017064E"/>
    <w:rsid w:val="00170DD1"/>
    <w:rsid w:val="00172304"/>
    <w:rsid w:val="0017684F"/>
    <w:rsid w:val="001768E5"/>
    <w:rsid w:val="0018079E"/>
    <w:rsid w:val="00182FEC"/>
    <w:rsid w:val="00183AD9"/>
    <w:rsid w:val="001865B0"/>
    <w:rsid w:val="00191976"/>
    <w:rsid w:val="0019760B"/>
    <w:rsid w:val="00197EDA"/>
    <w:rsid w:val="001A1C51"/>
    <w:rsid w:val="001A24B8"/>
    <w:rsid w:val="001A2D63"/>
    <w:rsid w:val="001A2F81"/>
    <w:rsid w:val="001A3167"/>
    <w:rsid w:val="001A6903"/>
    <w:rsid w:val="001A736E"/>
    <w:rsid w:val="001B01EC"/>
    <w:rsid w:val="001B03B6"/>
    <w:rsid w:val="001B1958"/>
    <w:rsid w:val="001B1EED"/>
    <w:rsid w:val="001B2E94"/>
    <w:rsid w:val="001B3AE6"/>
    <w:rsid w:val="001B63B2"/>
    <w:rsid w:val="001B6AE4"/>
    <w:rsid w:val="001B6C0D"/>
    <w:rsid w:val="001C1474"/>
    <w:rsid w:val="001C2000"/>
    <w:rsid w:val="001C2933"/>
    <w:rsid w:val="001C3B71"/>
    <w:rsid w:val="001C4075"/>
    <w:rsid w:val="001C6036"/>
    <w:rsid w:val="001D157A"/>
    <w:rsid w:val="001D2D58"/>
    <w:rsid w:val="001D7868"/>
    <w:rsid w:val="001E1516"/>
    <w:rsid w:val="001E1992"/>
    <w:rsid w:val="001E1EBA"/>
    <w:rsid w:val="001E3085"/>
    <w:rsid w:val="001F36AC"/>
    <w:rsid w:val="001F47BE"/>
    <w:rsid w:val="001F7274"/>
    <w:rsid w:val="002004E1"/>
    <w:rsid w:val="00200536"/>
    <w:rsid w:val="0020103C"/>
    <w:rsid w:val="00201125"/>
    <w:rsid w:val="00201321"/>
    <w:rsid w:val="00204F17"/>
    <w:rsid w:val="00210339"/>
    <w:rsid w:val="00211660"/>
    <w:rsid w:val="00213589"/>
    <w:rsid w:val="00217ADB"/>
    <w:rsid w:val="00220252"/>
    <w:rsid w:val="00221BD1"/>
    <w:rsid w:val="00223595"/>
    <w:rsid w:val="00224BD6"/>
    <w:rsid w:val="002265A9"/>
    <w:rsid w:val="00230DA7"/>
    <w:rsid w:val="002336BD"/>
    <w:rsid w:val="00236327"/>
    <w:rsid w:val="00236937"/>
    <w:rsid w:val="002402D1"/>
    <w:rsid w:val="002435F2"/>
    <w:rsid w:val="00243D1E"/>
    <w:rsid w:val="002460A0"/>
    <w:rsid w:val="00251F2E"/>
    <w:rsid w:val="002529BD"/>
    <w:rsid w:val="0025569A"/>
    <w:rsid w:val="00255E9B"/>
    <w:rsid w:val="00255F77"/>
    <w:rsid w:val="0025659F"/>
    <w:rsid w:val="002570E8"/>
    <w:rsid w:val="00257110"/>
    <w:rsid w:val="002607CF"/>
    <w:rsid w:val="00262884"/>
    <w:rsid w:val="00263494"/>
    <w:rsid w:val="00263BCE"/>
    <w:rsid w:val="00264D84"/>
    <w:rsid w:val="00267917"/>
    <w:rsid w:val="00272073"/>
    <w:rsid w:val="00275FBD"/>
    <w:rsid w:val="00282765"/>
    <w:rsid w:val="002831C7"/>
    <w:rsid w:val="00283AE2"/>
    <w:rsid w:val="00283EB5"/>
    <w:rsid w:val="002871B1"/>
    <w:rsid w:val="00296AB0"/>
    <w:rsid w:val="002A17E3"/>
    <w:rsid w:val="002A7085"/>
    <w:rsid w:val="002A799A"/>
    <w:rsid w:val="002B0296"/>
    <w:rsid w:val="002B1048"/>
    <w:rsid w:val="002B4AE9"/>
    <w:rsid w:val="002C3342"/>
    <w:rsid w:val="002C33D1"/>
    <w:rsid w:val="002D2EAF"/>
    <w:rsid w:val="002D2FCD"/>
    <w:rsid w:val="002D2FF9"/>
    <w:rsid w:val="002D3A28"/>
    <w:rsid w:val="002E094C"/>
    <w:rsid w:val="002E200D"/>
    <w:rsid w:val="002E3494"/>
    <w:rsid w:val="002E356A"/>
    <w:rsid w:val="002E3E0B"/>
    <w:rsid w:val="002E4545"/>
    <w:rsid w:val="002E46E3"/>
    <w:rsid w:val="002F13BD"/>
    <w:rsid w:val="002F14C6"/>
    <w:rsid w:val="002F55DD"/>
    <w:rsid w:val="002F75BD"/>
    <w:rsid w:val="00302870"/>
    <w:rsid w:val="00303255"/>
    <w:rsid w:val="00304616"/>
    <w:rsid w:val="00304855"/>
    <w:rsid w:val="00305DE7"/>
    <w:rsid w:val="0030628A"/>
    <w:rsid w:val="00306563"/>
    <w:rsid w:val="00306AB0"/>
    <w:rsid w:val="00310A59"/>
    <w:rsid w:val="003117B9"/>
    <w:rsid w:val="00311A4B"/>
    <w:rsid w:val="00312BBF"/>
    <w:rsid w:val="00316C36"/>
    <w:rsid w:val="00317A81"/>
    <w:rsid w:val="00320EE9"/>
    <w:rsid w:val="00321487"/>
    <w:rsid w:val="00327618"/>
    <w:rsid w:val="00330627"/>
    <w:rsid w:val="0033301D"/>
    <w:rsid w:val="00336F68"/>
    <w:rsid w:val="00336FDD"/>
    <w:rsid w:val="00341604"/>
    <w:rsid w:val="0034465D"/>
    <w:rsid w:val="00347CBA"/>
    <w:rsid w:val="003502B4"/>
    <w:rsid w:val="00352E2F"/>
    <w:rsid w:val="0035407B"/>
    <w:rsid w:val="003560E6"/>
    <w:rsid w:val="0035700E"/>
    <w:rsid w:val="00357CF0"/>
    <w:rsid w:val="00363F3D"/>
    <w:rsid w:val="003665F6"/>
    <w:rsid w:val="0036728D"/>
    <w:rsid w:val="0037027D"/>
    <w:rsid w:val="00371425"/>
    <w:rsid w:val="00371E29"/>
    <w:rsid w:val="00373614"/>
    <w:rsid w:val="0037364D"/>
    <w:rsid w:val="0037508B"/>
    <w:rsid w:val="0038111B"/>
    <w:rsid w:val="00381C15"/>
    <w:rsid w:val="00382F41"/>
    <w:rsid w:val="0038494C"/>
    <w:rsid w:val="003868F7"/>
    <w:rsid w:val="00392BF4"/>
    <w:rsid w:val="003940F4"/>
    <w:rsid w:val="003959FD"/>
    <w:rsid w:val="003961ED"/>
    <w:rsid w:val="0039799B"/>
    <w:rsid w:val="003A0ADB"/>
    <w:rsid w:val="003A188A"/>
    <w:rsid w:val="003A1BED"/>
    <w:rsid w:val="003A1C79"/>
    <w:rsid w:val="003A2DAB"/>
    <w:rsid w:val="003A3152"/>
    <w:rsid w:val="003A454D"/>
    <w:rsid w:val="003A4659"/>
    <w:rsid w:val="003A6F9D"/>
    <w:rsid w:val="003A7992"/>
    <w:rsid w:val="003A7D03"/>
    <w:rsid w:val="003B064C"/>
    <w:rsid w:val="003B13A5"/>
    <w:rsid w:val="003B1AA8"/>
    <w:rsid w:val="003B284D"/>
    <w:rsid w:val="003B3485"/>
    <w:rsid w:val="003B3605"/>
    <w:rsid w:val="003B5B05"/>
    <w:rsid w:val="003B6659"/>
    <w:rsid w:val="003B6DAB"/>
    <w:rsid w:val="003C3454"/>
    <w:rsid w:val="003C4781"/>
    <w:rsid w:val="003C5468"/>
    <w:rsid w:val="003C7A4A"/>
    <w:rsid w:val="003D1ED8"/>
    <w:rsid w:val="003D26B2"/>
    <w:rsid w:val="003D327F"/>
    <w:rsid w:val="003D3515"/>
    <w:rsid w:val="003D4971"/>
    <w:rsid w:val="003D5E01"/>
    <w:rsid w:val="003D6E1E"/>
    <w:rsid w:val="003E24B1"/>
    <w:rsid w:val="003E3756"/>
    <w:rsid w:val="003E60E1"/>
    <w:rsid w:val="003E77E4"/>
    <w:rsid w:val="003F42B3"/>
    <w:rsid w:val="003F52EA"/>
    <w:rsid w:val="00400160"/>
    <w:rsid w:val="004011A4"/>
    <w:rsid w:val="00401E65"/>
    <w:rsid w:val="00403B44"/>
    <w:rsid w:val="00403FBB"/>
    <w:rsid w:val="00405332"/>
    <w:rsid w:val="0041002E"/>
    <w:rsid w:val="00413B01"/>
    <w:rsid w:val="0041400B"/>
    <w:rsid w:val="004142D4"/>
    <w:rsid w:val="00416A3D"/>
    <w:rsid w:val="004173F4"/>
    <w:rsid w:val="00417F83"/>
    <w:rsid w:val="004237F8"/>
    <w:rsid w:val="00426923"/>
    <w:rsid w:val="004303C0"/>
    <w:rsid w:val="0043170C"/>
    <w:rsid w:val="004327AE"/>
    <w:rsid w:val="00433671"/>
    <w:rsid w:val="00435409"/>
    <w:rsid w:val="004405C0"/>
    <w:rsid w:val="004430E8"/>
    <w:rsid w:val="0044335C"/>
    <w:rsid w:val="00445D75"/>
    <w:rsid w:val="0045480E"/>
    <w:rsid w:val="00456743"/>
    <w:rsid w:val="00456DA5"/>
    <w:rsid w:val="00457EA2"/>
    <w:rsid w:val="00460DBC"/>
    <w:rsid w:val="00461FD3"/>
    <w:rsid w:val="00462180"/>
    <w:rsid w:val="004626CF"/>
    <w:rsid w:val="00463860"/>
    <w:rsid w:val="00463AF9"/>
    <w:rsid w:val="004644FC"/>
    <w:rsid w:val="00464B58"/>
    <w:rsid w:val="00464D58"/>
    <w:rsid w:val="004719AB"/>
    <w:rsid w:val="0047231B"/>
    <w:rsid w:val="004729F8"/>
    <w:rsid w:val="0047725C"/>
    <w:rsid w:val="004840CF"/>
    <w:rsid w:val="0048470A"/>
    <w:rsid w:val="00484EC1"/>
    <w:rsid w:val="00485246"/>
    <w:rsid w:val="004866A5"/>
    <w:rsid w:val="00491047"/>
    <w:rsid w:val="004914C8"/>
    <w:rsid w:val="00493077"/>
    <w:rsid w:val="0049330E"/>
    <w:rsid w:val="004934D4"/>
    <w:rsid w:val="004967FF"/>
    <w:rsid w:val="00497365"/>
    <w:rsid w:val="004977E3"/>
    <w:rsid w:val="00497B33"/>
    <w:rsid w:val="00497E23"/>
    <w:rsid w:val="004A0913"/>
    <w:rsid w:val="004A1C68"/>
    <w:rsid w:val="004A2732"/>
    <w:rsid w:val="004A2B24"/>
    <w:rsid w:val="004A4BA1"/>
    <w:rsid w:val="004A62EE"/>
    <w:rsid w:val="004A758D"/>
    <w:rsid w:val="004A7612"/>
    <w:rsid w:val="004B09BC"/>
    <w:rsid w:val="004B1139"/>
    <w:rsid w:val="004B7ECD"/>
    <w:rsid w:val="004C0ACF"/>
    <w:rsid w:val="004C38B7"/>
    <w:rsid w:val="004C4AEA"/>
    <w:rsid w:val="004C5359"/>
    <w:rsid w:val="004D0781"/>
    <w:rsid w:val="004D2BC8"/>
    <w:rsid w:val="004D3156"/>
    <w:rsid w:val="004D3FD1"/>
    <w:rsid w:val="004D6D2F"/>
    <w:rsid w:val="004D71C3"/>
    <w:rsid w:val="004D7363"/>
    <w:rsid w:val="004E373B"/>
    <w:rsid w:val="004E40A7"/>
    <w:rsid w:val="004E764E"/>
    <w:rsid w:val="004F1F7A"/>
    <w:rsid w:val="004F6FC7"/>
    <w:rsid w:val="004F749F"/>
    <w:rsid w:val="005000B3"/>
    <w:rsid w:val="005004BC"/>
    <w:rsid w:val="00500D55"/>
    <w:rsid w:val="00502879"/>
    <w:rsid w:val="0050432A"/>
    <w:rsid w:val="0051415E"/>
    <w:rsid w:val="0051461C"/>
    <w:rsid w:val="00515BFE"/>
    <w:rsid w:val="005161CE"/>
    <w:rsid w:val="005165C5"/>
    <w:rsid w:val="00516C2B"/>
    <w:rsid w:val="00517F0F"/>
    <w:rsid w:val="00520566"/>
    <w:rsid w:val="00520844"/>
    <w:rsid w:val="00520CCA"/>
    <w:rsid w:val="0052332C"/>
    <w:rsid w:val="005238C8"/>
    <w:rsid w:val="0052419B"/>
    <w:rsid w:val="00525513"/>
    <w:rsid w:val="00530A6E"/>
    <w:rsid w:val="00530E18"/>
    <w:rsid w:val="00533573"/>
    <w:rsid w:val="0053482D"/>
    <w:rsid w:val="005349E7"/>
    <w:rsid w:val="00536EA4"/>
    <w:rsid w:val="00543979"/>
    <w:rsid w:val="00544A1D"/>
    <w:rsid w:val="005509F6"/>
    <w:rsid w:val="0055295C"/>
    <w:rsid w:val="005541E6"/>
    <w:rsid w:val="005552F4"/>
    <w:rsid w:val="00555329"/>
    <w:rsid w:val="005579AA"/>
    <w:rsid w:val="0056031C"/>
    <w:rsid w:val="00561927"/>
    <w:rsid w:val="00563576"/>
    <w:rsid w:val="00565695"/>
    <w:rsid w:val="005666C3"/>
    <w:rsid w:val="00567903"/>
    <w:rsid w:val="005735F1"/>
    <w:rsid w:val="00574BEC"/>
    <w:rsid w:val="005762C1"/>
    <w:rsid w:val="00577861"/>
    <w:rsid w:val="00581DB0"/>
    <w:rsid w:val="005847D3"/>
    <w:rsid w:val="00584B0A"/>
    <w:rsid w:val="00584D92"/>
    <w:rsid w:val="00585951"/>
    <w:rsid w:val="00586136"/>
    <w:rsid w:val="00587DC3"/>
    <w:rsid w:val="00592BC6"/>
    <w:rsid w:val="00593624"/>
    <w:rsid w:val="005936D5"/>
    <w:rsid w:val="0059376A"/>
    <w:rsid w:val="0059383A"/>
    <w:rsid w:val="005938EE"/>
    <w:rsid w:val="00594309"/>
    <w:rsid w:val="0059505F"/>
    <w:rsid w:val="00595A42"/>
    <w:rsid w:val="00597EA9"/>
    <w:rsid w:val="005A026D"/>
    <w:rsid w:val="005A2031"/>
    <w:rsid w:val="005A27BF"/>
    <w:rsid w:val="005A603C"/>
    <w:rsid w:val="005A6A8A"/>
    <w:rsid w:val="005B2265"/>
    <w:rsid w:val="005B7D64"/>
    <w:rsid w:val="005C1B0A"/>
    <w:rsid w:val="005C25EA"/>
    <w:rsid w:val="005C26DA"/>
    <w:rsid w:val="005D0C62"/>
    <w:rsid w:val="005D36AA"/>
    <w:rsid w:val="005D4D28"/>
    <w:rsid w:val="005D5F6E"/>
    <w:rsid w:val="005E1ABE"/>
    <w:rsid w:val="005E2D92"/>
    <w:rsid w:val="005E504F"/>
    <w:rsid w:val="005E5251"/>
    <w:rsid w:val="005E632D"/>
    <w:rsid w:val="005E74BA"/>
    <w:rsid w:val="005F1144"/>
    <w:rsid w:val="005F14E1"/>
    <w:rsid w:val="005F2651"/>
    <w:rsid w:val="005F2D6F"/>
    <w:rsid w:val="005F531A"/>
    <w:rsid w:val="005F5528"/>
    <w:rsid w:val="005F65C8"/>
    <w:rsid w:val="005F70AB"/>
    <w:rsid w:val="005F7DB1"/>
    <w:rsid w:val="005F7F4E"/>
    <w:rsid w:val="00602E5E"/>
    <w:rsid w:val="0060397B"/>
    <w:rsid w:val="006070EC"/>
    <w:rsid w:val="006072E8"/>
    <w:rsid w:val="00611AFB"/>
    <w:rsid w:val="006135DB"/>
    <w:rsid w:val="006143BF"/>
    <w:rsid w:val="006153AB"/>
    <w:rsid w:val="006175EF"/>
    <w:rsid w:val="006252C4"/>
    <w:rsid w:val="00627588"/>
    <w:rsid w:val="006279EA"/>
    <w:rsid w:val="006314E7"/>
    <w:rsid w:val="00635BD5"/>
    <w:rsid w:val="00640CB4"/>
    <w:rsid w:val="00641772"/>
    <w:rsid w:val="00642A44"/>
    <w:rsid w:val="00644E31"/>
    <w:rsid w:val="00645B02"/>
    <w:rsid w:val="00651C08"/>
    <w:rsid w:val="00653A68"/>
    <w:rsid w:val="00657DC0"/>
    <w:rsid w:val="00660BB7"/>
    <w:rsid w:val="00661F9F"/>
    <w:rsid w:val="00664079"/>
    <w:rsid w:val="006642C4"/>
    <w:rsid w:val="00664DAA"/>
    <w:rsid w:val="00664F3B"/>
    <w:rsid w:val="00670120"/>
    <w:rsid w:val="006713B5"/>
    <w:rsid w:val="00674C38"/>
    <w:rsid w:val="006763DA"/>
    <w:rsid w:val="00681FEB"/>
    <w:rsid w:val="006823E7"/>
    <w:rsid w:val="00682ED0"/>
    <w:rsid w:val="0068459B"/>
    <w:rsid w:val="00685148"/>
    <w:rsid w:val="00685A78"/>
    <w:rsid w:val="006900EA"/>
    <w:rsid w:val="0069103C"/>
    <w:rsid w:val="00691AD4"/>
    <w:rsid w:val="0069264D"/>
    <w:rsid w:val="00693005"/>
    <w:rsid w:val="00693820"/>
    <w:rsid w:val="00696E42"/>
    <w:rsid w:val="00697054"/>
    <w:rsid w:val="00697CA8"/>
    <w:rsid w:val="006A2094"/>
    <w:rsid w:val="006A3042"/>
    <w:rsid w:val="006A43F9"/>
    <w:rsid w:val="006A4806"/>
    <w:rsid w:val="006A4E30"/>
    <w:rsid w:val="006B4735"/>
    <w:rsid w:val="006B60FC"/>
    <w:rsid w:val="006C0103"/>
    <w:rsid w:val="006C1090"/>
    <w:rsid w:val="006C2C6E"/>
    <w:rsid w:val="006C3E32"/>
    <w:rsid w:val="006C4D6A"/>
    <w:rsid w:val="006C5E79"/>
    <w:rsid w:val="006C6CB7"/>
    <w:rsid w:val="006C7249"/>
    <w:rsid w:val="006D3FAD"/>
    <w:rsid w:val="006D584E"/>
    <w:rsid w:val="006D5DA2"/>
    <w:rsid w:val="006E0B30"/>
    <w:rsid w:val="006E0F3D"/>
    <w:rsid w:val="006E6008"/>
    <w:rsid w:val="006F1A49"/>
    <w:rsid w:val="006F34B7"/>
    <w:rsid w:val="006F4883"/>
    <w:rsid w:val="006F5738"/>
    <w:rsid w:val="006F6B94"/>
    <w:rsid w:val="00700424"/>
    <w:rsid w:val="00701FAE"/>
    <w:rsid w:val="00702E4C"/>
    <w:rsid w:val="00710E91"/>
    <w:rsid w:val="0071276D"/>
    <w:rsid w:val="00712B38"/>
    <w:rsid w:val="00716277"/>
    <w:rsid w:val="007164C7"/>
    <w:rsid w:val="0071668C"/>
    <w:rsid w:val="00716C53"/>
    <w:rsid w:val="0071784C"/>
    <w:rsid w:val="00722B86"/>
    <w:rsid w:val="00725627"/>
    <w:rsid w:val="007258CF"/>
    <w:rsid w:val="00726EB1"/>
    <w:rsid w:val="00727B6C"/>
    <w:rsid w:val="00732E62"/>
    <w:rsid w:val="00734629"/>
    <w:rsid w:val="0073563D"/>
    <w:rsid w:val="007359D0"/>
    <w:rsid w:val="00735C25"/>
    <w:rsid w:val="0073691D"/>
    <w:rsid w:val="00737B87"/>
    <w:rsid w:val="00742745"/>
    <w:rsid w:val="007433C8"/>
    <w:rsid w:val="00743455"/>
    <w:rsid w:val="0074775E"/>
    <w:rsid w:val="00756626"/>
    <w:rsid w:val="007572BE"/>
    <w:rsid w:val="00763093"/>
    <w:rsid w:val="00764B19"/>
    <w:rsid w:val="00765853"/>
    <w:rsid w:val="0076760A"/>
    <w:rsid w:val="007709F6"/>
    <w:rsid w:val="00774D1E"/>
    <w:rsid w:val="007765A6"/>
    <w:rsid w:val="00777132"/>
    <w:rsid w:val="00782776"/>
    <w:rsid w:val="007846DC"/>
    <w:rsid w:val="0078494B"/>
    <w:rsid w:val="00784A57"/>
    <w:rsid w:val="007851E4"/>
    <w:rsid w:val="00785328"/>
    <w:rsid w:val="00785B83"/>
    <w:rsid w:val="00785D4D"/>
    <w:rsid w:val="00786098"/>
    <w:rsid w:val="0078688E"/>
    <w:rsid w:val="00787700"/>
    <w:rsid w:val="007910A8"/>
    <w:rsid w:val="007917B3"/>
    <w:rsid w:val="00791D7E"/>
    <w:rsid w:val="0079274B"/>
    <w:rsid w:val="00792E7D"/>
    <w:rsid w:val="00794010"/>
    <w:rsid w:val="00794953"/>
    <w:rsid w:val="007958CB"/>
    <w:rsid w:val="00796DBA"/>
    <w:rsid w:val="007A054C"/>
    <w:rsid w:val="007A1535"/>
    <w:rsid w:val="007A1632"/>
    <w:rsid w:val="007A2697"/>
    <w:rsid w:val="007A281B"/>
    <w:rsid w:val="007A3332"/>
    <w:rsid w:val="007A3F8C"/>
    <w:rsid w:val="007A4000"/>
    <w:rsid w:val="007A6DC4"/>
    <w:rsid w:val="007A7660"/>
    <w:rsid w:val="007A7E00"/>
    <w:rsid w:val="007B23A4"/>
    <w:rsid w:val="007B2A33"/>
    <w:rsid w:val="007B3510"/>
    <w:rsid w:val="007B70E0"/>
    <w:rsid w:val="007C1233"/>
    <w:rsid w:val="007C2C06"/>
    <w:rsid w:val="007C6A50"/>
    <w:rsid w:val="007D0155"/>
    <w:rsid w:val="007D0409"/>
    <w:rsid w:val="007D0DB5"/>
    <w:rsid w:val="007D299D"/>
    <w:rsid w:val="007D29F3"/>
    <w:rsid w:val="007D2DA7"/>
    <w:rsid w:val="007D3533"/>
    <w:rsid w:val="007D5A95"/>
    <w:rsid w:val="007D736C"/>
    <w:rsid w:val="007D7DBA"/>
    <w:rsid w:val="007E0063"/>
    <w:rsid w:val="007E008C"/>
    <w:rsid w:val="007E13AE"/>
    <w:rsid w:val="007E1841"/>
    <w:rsid w:val="007E5D59"/>
    <w:rsid w:val="007E6466"/>
    <w:rsid w:val="007E6782"/>
    <w:rsid w:val="007E74B9"/>
    <w:rsid w:val="007E7D3E"/>
    <w:rsid w:val="007F1E7D"/>
    <w:rsid w:val="007F3874"/>
    <w:rsid w:val="007F46A2"/>
    <w:rsid w:val="007F4F71"/>
    <w:rsid w:val="007F5783"/>
    <w:rsid w:val="007F58B9"/>
    <w:rsid w:val="007F73C5"/>
    <w:rsid w:val="007F7402"/>
    <w:rsid w:val="00803689"/>
    <w:rsid w:val="008051C0"/>
    <w:rsid w:val="00805478"/>
    <w:rsid w:val="00806034"/>
    <w:rsid w:val="008062F5"/>
    <w:rsid w:val="00806C75"/>
    <w:rsid w:val="00810B33"/>
    <w:rsid w:val="008115C4"/>
    <w:rsid w:val="00814392"/>
    <w:rsid w:val="008143E7"/>
    <w:rsid w:val="008147B0"/>
    <w:rsid w:val="0081666D"/>
    <w:rsid w:val="00816F86"/>
    <w:rsid w:val="00824E42"/>
    <w:rsid w:val="00826BEC"/>
    <w:rsid w:val="008309E3"/>
    <w:rsid w:val="0083275D"/>
    <w:rsid w:val="008331E4"/>
    <w:rsid w:val="00833B3B"/>
    <w:rsid w:val="00834263"/>
    <w:rsid w:val="0083518C"/>
    <w:rsid w:val="00835258"/>
    <w:rsid w:val="00836C7B"/>
    <w:rsid w:val="00837077"/>
    <w:rsid w:val="00837A11"/>
    <w:rsid w:val="008400F7"/>
    <w:rsid w:val="00843CE6"/>
    <w:rsid w:val="00844B85"/>
    <w:rsid w:val="00845785"/>
    <w:rsid w:val="0084594D"/>
    <w:rsid w:val="0084629B"/>
    <w:rsid w:val="008470A5"/>
    <w:rsid w:val="008524BA"/>
    <w:rsid w:val="00854FBA"/>
    <w:rsid w:val="00857757"/>
    <w:rsid w:val="00860FD0"/>
    <w:rsid w:val="008629F4"/>
    <w:rsid w:val="00863A5B"/>
    <w:rsid w:val="0087038D"/>
    <w:rsid w:val="008800E3"/>
    <w:rsid w:val="008807C0"/>
    <w:rsid w:val="008851A9"/>
    <w:rsid w:val="00887F0C"/>
    <w:rsid w:val="00893056"/>
    <w:rsid w:val="00893A32"/>
    <w:rsid w:val="00894B74"/>
    <w:rsid w:val="008A1A9C"/>
    <w:rsid w:val="008A541E"/>
    <w:rsid w:val="008B0ED1"/>
    <w:rsid w:val="008B2C2E"/>
    <w:rsid w:val="008B3188"/>
    <w:rsid w:val="008B336F"/>
    <w:rsid w:val="008B56D2"/>
    <w:rsid w:val="008B7147"/>
    <w:rsid w:val="008C23E0"/>
    <w:rsid w:val="008C3D8A"/>
    <w:rsid w:val="008C3FF0"/>
    <w:rsid w:val="008C56F5"/>
    <w:rsid w:val="008C59F4"/>
    <w:rsid w:val="008C6787"/>
    <w:rsid w:val="008C7394"/>
    <w:rsid w:val="008C7810"/>
    <w:rsid w:val="008C789D"/>
    <w:rsid w:val="008D0FB0"/>
    <w:rsid w:val="008D2DB0"/>
    <w:rsid w:val="008D3747"/>
    <w:rsid w:val="008D6BE2"/>
    <w:rsid w:val="008E0100"/>
    <w:rsid w:val="008E40DA"/>
    <w:rsid w:val="008E7989"/>
    <w:rsid w:val="008E7DD4"/>
    <w:rsid w:val="008F3F87"/>
    <w:rsid w:val="008F3FFA"/>
    <w:rsid w:val="008F6917"/>
    <w:rsid w:val="008F71B6"/>
    <w:rsid w:val="008F7584"/>
    <w:rsid w:val="0090229C"/>
    <w:rsid w:val="00903112"/>
    <w:rsid w:val="0090469F"/>
    <w:rsid w:val="0090555B"/>
    <w:rsid w:val="009113FC"/>
    <w:rsid w:val="00911B77"/>
    <w:rsid w:val="00912B21"/>
    <w:rsid w:val="0091365F"/>
    <w:rsid w:val="00916945"/>
    <w:rsid w:val="00917842"/>
    <w:rsid w:val="009207E0"/>
    <w:rsid w:val="00921DF6"/>
    <w:rsid w:val="00924893"/>
    <w:rsid w:val="00926422"/>
    <w:rsid w:val="009302F3"/>
    <w:rsid w:val="00934006"/>
    <w:rsid w:val="009369AF"/>
    <w:rsid w:val="00937328"/>
    <w:rsid w:val="0093779E"/>
    <w:rsid w:val="00940228"/>
    <w:rsid w:val="00945580"/>
    <w:rsid w:val="009461B5"/>
    <w:rsid w:val="00950D6E"/>
    <w:rsid w:val="009548AD"/>
    <w:rsid w:val="00956637"/>
    <w:rsid w:val="0095717F"/>
    <w:rsid w:val="0096020D"/>
    <w:rsid w:val="009652E1"/>
    <w:rsid w:val="009700EA"/>
    <w:rsid w:val="00973324"/>
    <w:rsid w:val="00975C50"/>
    <w:rsid w:val="00976106"/>
    <w:rsid w:val="009816FF"/>
    <w:rsid w:val="009837EC"/>
    <w:rsid w:val="009845F3"/>
    <w:rsid w:val="00984DB7"/>
    <w:rsid w:val="00990633"/>
    <w:rsid w:val="00991551"/>
    <w:rsid w:val="00994B9D"/>
    <w:rsid w:val="009A2069"/>
    <w:rsid w:val="009A24DD"/>
    <w:rsid w:val="009A506D"/>
    <w:rsid w:val="009A55BF"/>
    <w:rsid w:val="009A73F9"/>
    <w:rsid w:val="009B0065"/>
    <w:rsid w:val="009B2CDC"/>
    <w:rsid w:val="009B4623"/>
    <w:rsid w:val="009B4FED"/>
    <w:rsid w:val="009B68FA"/>
    <w:rsid w:val="009B6FEB"/>
    <w:rsid w:val="009C2D3A"/>
    <w:rsid w:val="009C428B"/>
    <w:rsid w:val="009C5F48"/>
    <w:rsid w:val="009C62B5"/>
    <w:rsid w:val="009D1398"/>
    <w:rsid w:val="009D4E08"/>
    <w:rsid w:val="009D5CF6"/>
    <w:rsid w:val="009D79D9"/>
    <w:rsid w:val="009E0216"/>
    <w:rsid w:val="009E0D54"/>
    <w:rsid w:val="009E2C98"/>
    <w:rsid w:val="009E5DE6"/>
    <w:rsid w:val="009E6E7D"/>
    <w:rsid w:val="009E7376"/>
    <w:rsid w:val="009F00CA"/>
    <w:rsid w:val="009F5445"/>
    <w:rsid w:val="009F6E40"/>
    <w:rsid w:val="00A01CA9"/>
    <w:rsid w:val="00A02B70"/>
    <w:rsid w:val="00A02EC0"/>
    <w:rsid w:val="00A0310D"/>
    <w:rsid w:val="00A11D23"/>
    <w:rsid w:val="00A12BFB"/>
    <w:rsid w:val="00A131C6"/>
    <w:rsid w:val="00A14643"/>
    <w:rsid w:val="00A153E2"/>
    <w:rsid w:val="00A208BD"/>
    <w:rsid w:val="00A20C0F"/>
    <w:rsid w:val="00A24843"/>
    <w:rsid w:val="00A24A64"/>
    <w:rsid w:val="00A272A5"/>
    <w:rsid w:val="00A31583"/>
    <w:rsid w:val="00A31B9C"/>
    <w:rsid w:val="00A32353"/>
    <w:rsid w:val="00A32B99"/>
    <w:rsid w:val="00A33534"/>
    <w:rsid w:val="00A34503"/>
    <w:rsid w:val="00A36534"/>
    <w:rsid w:val="00A365B5"/>
    <w:rsid w:val="00A37F7F"/>
    <w:rsid w:val="00A41840"/>
    <w:rsid w:val="00A436D8"/>
    <w:rsid w:val="00A44432"/>
    <w:rsid w:val="00A45BBE"/>
    <w:rsid w:val="00A500FC"/>
    <w:rsid w:val="00A50DF7"/>
    <w:rsid w:val="00A5356D"/>
    <w:rsid w:val="00A56E2F"/>
    <w:rsid w:val="00A616FB"/>
    <w:rsid w:val="00A62074"/>
    <w:rsid w:val="00A626B0"/>
    <w:rsid w:val="00A63A9C"/>
    <w:rsid w:val="00A63F72"/>
    <w:rsid w:val="00A66EBD"/>
    <w:rsid w:val="00A72B3B"/>
    <w:rsid w:val="00A73039"/>
    <w:rsid w:val="00A739E7"/>
    <w:rsid w:val="00A75C85"/>
    <w:rsid w:val="00A81A17"/>
    <w:rsid w:val="00A8478E"/>
    <w:rsid w:val="00A85D86"/>
    <w:rsid w:val="00A91A61"/>
    <w:rsid w:val="00A91F9F"/>
    <w:rsid w:val="00A93BEF"/>
    <w:rsid w:val="00A94BE5"/>
    <w:rsid w:val="00AA1EC4"/>
    <w:rsid w:val="00AA26BF"/>
    <w:rsid w:val="00AA4EEB"/>
    <w:rsid w:val="00AA6158"/>
    <w:rsid w:val="00AB0DB9"/>
    <w:rsid w:val="00AB197A"/>
    <w:rsid w:val="00AB538C"/>
    <w:rsid w:val="00AB6351"/>
    <w:rsid w:val="00AC0C26"/>
    <w:rsid w:val="00AC2484"/>
    <w:rsid w:val="00AC2AE1"/>
    <w:rsid w:val="00AC729C"/>
    <w:rsid w:val="00AD15D6"/>
    <w:rsid w:val="00AD3A6E"/>
    <w:rsid w:val="00AD4215"/>
    <w:rsid w:val="00AD454A"/>
    <w:rsid w:val="00AD7AC4"/>
    <w:rsid w:val="00AE0CE6"/>
    <w:rsid w:val="00AE109C"/>
    <w:rsid w:val="00AE14D1"/>
    <w:rsid w:val="00AE2D51"/>
    <w:rsid w:val="00AE344D"/>
    <w:rsid w:val="00AE48F6"/>
    <w:rsid w:val="00AE5218"/>
    <w:rsid w:val="00AE607F"/>
    <w:rsid w:val="00AE6143"/>
    <w:rsid w:val="00AE6479"/>
    <w:rsid w:val="00AE65DE"/>
    <w:rsid w:val="00AF02D2"/>
    <w:rsid w:val="00AF0A8C"/>
    <w:rsid w:val="00AF0D11"/>
    <w:rsid w:val="00AF2EB1"/>
    <w:rsid w:val="00AF4159"/>
    <w:rsid w:val="00AF47F0"/>
    <w:rsid w:val="00AF4C17"/>
    <w:rsid w:val="00AF57C7"/>
    <w:rsid w:val="00AF7D17"/>
    <w:rsid w:val="00AF7E39"/>
    <w:rsid w:val="00B016AA"/>
    <w:rsid w:val="00B02CEA"/>
    <w:rsid w:val="00B03E42"/>
    <w:rsid w:val="00B04DB1"/>
    <w:rsid w:val="00B11414"/>
    <w:rsid w:val="00B2224D"/>
    <w:rsid w:val="00B228EA"/>
    <w:rsid w:val="00B26485"/>
    <w:rsid w:val="00B27103"/>
    <w:rsid w:val="00B27134"/>
    <w:rsid w:val="00B27466"/>
    <w:rsid w:val="00B31493"/>
    <w:rsid w:val="00B3468F"/>
    <w:rsid w:val="00B408F4"/>
    <w:rsid w:val="00B41A65"/>
    <w:rsid w:val="00B44146"/>
    <w:rsid w:val="00B5172B"/>
    <w:rsid w:val="00B5208F"/>
    <w:rsid w:val="00B5382A"/>
    <w:rsid w:val="00B54056"/>
    <w:rsid w:val="00B54F8A"/>
    <w:rsid w:val="00B5680A"/>
    <w:rsid w:val="00B608E3"/>
    <w:rsid w:val="00B6179A"/>
    <w:rsid w:val="00B63121"/>
    <w:rsid w:val="00B64886"/>
    <w:rsid w:val="00B6513B"/>
    <w:rsid w:val="00B66247"/>
    <w:rsid w:val="00B6671E"/>
    <w:rsid w:val="00B709E0"/>
    <w:rsid w:val="00B70A8E"/>
    <w:rsid w:val="00B71159"/>
    <w:rsid w:val="00B724F3"/>
    <w:rsid w:val="00B76833"/>
    <w:rsid w:val="00B76BE5"/>
    <w:rsid w:val="00B83888"/>
    <w:rsid w:val="00B8482A"/>
    <w:rsid w:val="00B852B1"/>
    <w:rsid w:val="00B85628"/>
    <w:rsid w:val="00B878AA"/>
    <w:rsid w:val="00B90814"/>
    <w:rsid w:val="00B90B33"/>
    <w:rsid w:val="00B91B56"/>
    <w:rsid w:val="00B94AC5"/>
    <w:rsid w:val="00B962D4"/>
    <w:rsid w:val="00B96B37"/>
    <w:rsid w:val="00BA1D36"/>
    <w:rsid w:val="00BA396F"/>
    <w:rsid w:val="00BA3CDF"/>
    <w:rsid w:val="00BA4D43"/>
    <w:rsid w:val="00BA74CC"/>
    <w:rsid w:val="00BB0B3D"/>
    <w:rsid w:val="00BB360E"/>
    <w:rsid w:val="00BB5F21"/>
    <w:rsid w:val="00BB5FAE"/>
    <w:rsid w:val="00BC1A71"/>
    <w:rsid w:val="00BC2783"/>
    <w:rsid w:val="00BC48DB"/>
    <w:rsid w:val="00BC4928"/>
    <w:rsid w:val="00BC5C22"/>
    <w:rsid w:val="00BC74E1"/>
    <w:rsid w:val="00BC78C9"/>
    <w:rsid w:val="00BD2CA3"/>
    <w:rsid w:val="00BD2EE6"/>
    <w:rsid w:val="00BD38E4"/>
    <w:rsid w:val="00BD4D26"/>
    <w:rsid w:val="00BD5352"/>
    <w:rsid w:val="00BD7446"/>
    <w:rsid w:val="00BE0F12"/>
    <w:rsid w:val="00BE1633"/>
    <w:rsid w:val="00BE1EA8"/>
    <w:rsid w:val="00BE21D5"/>
    <w:rsid w:val="00BE2488"/>
    <w:rsid w:val="00BE2B41"/>
    <w:rsid w:val="00BE5332"/>
    <w:rsid w:val="00BF3D5C"/>
    <w:rsid w:val="00C01687"/>
    <w:rsid w:val="00C02080"/>
    <w:rsid w:val="00C02627"/>
    <w:rsid w:val="00C03DE1"/>
    <w:rsid w:val="00C04314"/>
    <w:rsid w:val="00C049FB"/>
    <w:rsid w:val="00C072F6"/>
    <w:rsid w:val="00C07B07"/>
    <w:rsid w:val="00C10A57"/>
    <w:rsid w:val="00C111CD"/>
    <w:rsid w:val="00C11B1B"/>
    <w:rsid w:val="00C12647"/>
    <w:rsid w:val="00C12F52"/>
    <w:rsid w:val="00C2067F"/>
    <w:rsid w:val="00C2096F"/>
    <w:rsid w:val="00C21AEB"/>
    <w:rsid w:val="00C25898"/>
    <w:rsid w:val="00C266F1"/>
    <w:rsid w:val="00C270E3"/>
    <w:rsid w:val="00C31323"/>
    <w:rsid w:val="00C32230"/>
    <w:rsid w:val="00C33147"/>
    <w:rsid w:val="00C343E2"/>
    <w:rsid w:val="00C3722B"/>
    <w:rsid w:val="00C373A3"/>
    <w:rsid w:val="00C41A90"/>
    <w:rsid w:val="00C41BEC"/>
    <w:rsid w:val="00C41FA9"/>
    <w:rsid w:val="00C42277"/>
    <w:rsid w:val="00C44455"/>
    <w:rsid w:val="00C479BC"/>
    <w:rsid w:val="00C512AC"/>
    <w:rsid w:val="00C5272C"/>
    <w:rsid w:val="00C5397C"/>
    <w:rsid w:val="00C57474"/>
    <w:rsid w:val="00C6026E"/>
    <w:rsid w:val="00C61007"/>
    <w:rsid w:val="00C615D4"/>
    <w:rsid w:val="00C61726"/>
    <w:rsid w:val="00C641CA"/>
    <w:rsid w:val="00C6577C"/>
    <w:rsid w:val="00C667C1"/>
    <w:rsid w:val="00C674A0"/>
    <w:rsid w:val="00C71F89"/>
    <w:rsid w:val="00C72C1E"/>
    <w:rsid w:val="00C72F15"/>
    <w:rsid w:val="00C746CE"/>
    <w:rsid w:val="00C74B9A"/>
    <w:rsid w:val="00C77FD8"/>
    <w:rsid w:val="00C81DC4"/>
    <w:rsid w:val="00C84C6E"/>
    <w:rsid w:val="00C855AA"/>
    <w:rsid w:val="00C8671F"/>
    <w:rsid w:val="00C87192"/>
    <w:rsid w:val="00C96C41"/>
    <w:rsid w:val="00C97128"/>
    <w:rsid w:val="00CA086A"/>
    <w:rsid w:val="00CA1738"/>
    <w:rsid w:val="00CA1B4D"/>
    <w:rsid w:val="00CA245C"/>
    <w:rsid w:val="00CA3FFB"/>
    <w:rsid w:val="00CA4FE5"/>
    <w:rsid w:val="00CA575F"/>
    <w:rsid w:val="00CA5D7B"/>
    <w:rsid w:val="00CA6539"/>
    <w:rsid w:val="00CB0C8F"/>
    <w:rsid w:val="00CB1761"/>
    <w:rsid w:val="00CB3645"/>
    <w:rsid w:val="00CB3776"/>
    <w:rsid w:val="00CB4BED"/>
    <w:rsid w:val="00CC100D"/>
    <w:rsid w:val="00CC1CB3"/>
    <w:rsid w:val="00CC370C"/>
    <w:rsid w:val="00CC37F5"/>
    <w:rsid w:val="00CC4070"/>
    <w:rsid w:val="00CC477F"/>
    <w:rsid w:val="00CC4A5C"/>
    <w:rsid w:val="00CC5DA0"/>
    <w:rsid w:val="00CD05FA"/>
    <w:rsid w:val="00CD1509"/>
    <w:rsid w:val="00CD1574"/>
    <w:rsid w:val="00CD15DC"/>
    <w:rsid w:val="00CD4CE1"/>
    <w:rsid w:val="00CD5120"/>
    <w:rsid w:val="00CD674E"/>
    <w:rsid w:val="00CD6C86"/>
    <w:rsid w:val="00CD6CAD"/>
    <w:rsid w:val="00CD7100"/>
    <w:rsid w:val="00CE1BC2"/>
    <w:rsid w:val="00CE2E6F"/>
    <w:rsid w:val="00CE3C16"/>
    <w:rsid w:val="00CE6FB6"/>
    <w:rsid w:val="00CE7AD9"/>
    <w:rsid w:val="00CF32A8"/>
    <w:rsid w:val="00CF3576"/>
    <w:rsid w:val="00CF4740"/>
    <w:rsid w:val="00CF4781"/>
    <w:rsid w:val="00CF6826"/>
    <w:rsid w:val="00CF7A2E"/>
    <w:rsid w:val="00D00847"/>
    <w:rsid w:val="00D02590"/>
    <w:rsid w:val="00D03363"/>
    <w:rsid w:val="00D04AA5"/>
    <w:rsid w:val="00D1199A"/>
    <w:rsid w:val="00D14CB3"/>
    <w:rsid w:val="00D20C5C"/>
    <w:rsid w:val="00D23BB6"/>
    <w:rsid w:val="00D24377"/>
    <w:rsid w:val="00D25F8C"/>
    <w:rsid w:val="00D26829"/>
    <w:rsid w:val="00D279B4"/>
    <w:rsid w:val="00D304E2"/>
    <w:rsid w:val="00D30CFB"/>
    <w:rsid w:val="00D33AD3"/>
    <w:rsid w:val="00D350C0"/>
    <w:rsid w:val="00D374C7"/>
    <w:rsid w:val="00D37935"/>
    <w:rsid w:val="00D421C7"/>
    <w:rsid w:val="00D42928"/>
    <w:rsid w:val="00D430E2"/>
    <w:rsid w:val="00D43116"/>
    <w:rsid w:val="00D4494B"/>
    <w:rsid w:val="00D45D1A"/>
    <w:rsid w:val="00D467F5"/>
    <w:rsid w:val="00D46A25"/>
    <w:rsid w:val="00D50AE7"/>
    <w:rsid w:val="00D52B0A"/>
    <w:rsid w:val="00D52E58"/>
    <w:rsid w:val="00D549A2"/>
    <w:rsid w:val="00D55CF5"/>
    <w:rsid w:val="00D55F9D"/>
    <w:rsid w:val="00D5707F"/>
    <w:rsid w:val="00D573C6"/>
    <w:rsid w:val="00D601FB"/>
    <w:rsid w:val="00D618F4"/>
    <w:rsid w:val="00D642C9"/>
    <w:rsid w:val="00D66FB7"/>
    <w:rsid w:val="00D71592"/>
    <w:rsid w:val="00D72413"/>
    <w:rsid w:val="00D7265F"/>
    <w:rsid w:val="00D737DF"/>
    <w:rsid w:val="00D7688C"/>
    <w:rsid w:val="00D769DE"/>
    <w:rsid w:val="00D76D20"/>
    <w:rsid w:val="00D81C37"/>
    <w:rsid w:val="00D82CD2"/>
    <w:rsid w:val="00D85F52"/>
    <w:rsid w:val="00D867C7"/>
    <w:rsid w:val="00D938B2"/>
    <w:rsid w:val="00D944DF"/>
    <w:rsid w:val="00DA023F"/>
    <w:rsid w:val="00DA249D"/>
    <w:rsid w:val="00DA62C7"/>
    <w:rsid w:val="00DA739D"/>
    <w:rsid w:val="00DB0BBB"/>
    <w:rsid w:val="00DB1340"/>
    <w:rsid w:val="00DB18EF"/>
    <w:rsid w:val="00DB23D8"/>
    <w:rsid w:val="00DB3FB2"/>
    <w:rsid w:val="00DB46C8"/>
    <w:rsid w:val="00DB4B8D"/>
    <w:rsid w:val="00DB52B1"/>
    <w:rsid w:val="00DB56B5"/>
    <w:rsid w:val="00DB696D"/>
    <w:rsid w:val="00DB7068"/>
    <w:rsid w:val="00DC4D1B"/>
    <w:rsid w:val="00DC4D9B"/>
    <w:rsid w:val="00DC5596"/>
    <w:rsid w:val="00DD013F"/>
    <w:rsid w:val="00DD0A11"/>
    <w:rsid w:val="00DD17D3"/>
    <w:rsid w:val="00DD3FB1"/>
    <w:rsid w:val="00DD4E42"/>
    <w:rsid w:val="00DD5814"/>
    <w:rsid w:val="00DD59F2"/>
    <w:rsid w:val="00DD6C53"/>
    <w:rsid w:val="00DE123F"/>
    <w:rsid w:val="00DE2C67"/>
    <w:rsid w:val="00DE45BC"/>
    <w:rsid w:val="00DE5638"/>
    <w:rsid w:val="00DE7182"/>
    <w:rsid w:val="00DF02C6"/>
    <w:rsid w:val="00DF11F5"/>
    <w:rsid w:val="00DF26D8"/>
    <w:rsid w:val="00DF3656"/>
    <w:rsid w:val="00DF3A80"/>
    <w:rsid w:val="00DF3EA7"/>
    <w:rsid w:val="00DF4586"/>
    <w:rsid w:val="00DF5B5D"/>
    <w:rsid w:val="00DF5D92"/>
    <w:rsid w:val="00DF65B2"/>
    <w:rsid w:val="00DF73F4"/>
    <w:rsid w:val="00E001D9"/>
    <w:rsid w:val="00E03ACF"/>
    <w:rsid w:val="00E03B2B"/>
    <w:rsid w:val="00E03DEE"/>
    <w:rsid w:val="00E04498"/>
    <w:rsid w:val="00E04709"/>
    <w:rsid w:val="00E048FB"/>
    <w:rsid w:val="00E05026"/>
    <w:rsid w:val="00E0701D"/>
    <w:rsid w:val="00E12785"/>
    <w:rsid w:val="00E1306D"/>
    <w:rsid w:val="00E136E8"/>
    <w:rsid w:val="00E14C82"/>
    <w:rsid w:val="00E151D8"/>
    <w:rsid w:val="00E15522"/>
    <w:rsid w:val="00E159C7"/>
    <w:rsid w:val="00E1752B"/>
    <w:rsid w:val="00E213AB"/>
    <w:rsid w:val="00E215AB"/>
    <w:rsid w:val="00E22BDB"/>
    <w:rsid w:val="00E261F0"/>
    <w:rsid w:val="00E263BE"/>
    <w:rsid w:val="00E3394F"/>
    <w:rsid w:val="00E3640D"/>
    <w:rsid w:val="00E370BD"/>
    <w:rsid w:val="00E379E2"/>
    <w:rsid w:val="00E402DD"/>
    <w:rsid w:val="00E4041E"/>
    <w:rsid w:val="00E43AF2"/>
    <w:rsid w:val="00E43B06"/>
    <w:rsid w:val="00E45A9D"/>
    <w:rsid w:val="00E46D21"/>
    <w:rsid w:val="00E507E2"/>
    <w:rsid w:val="00E51D4F"/>
    <w:rsid w:val="00E55076"/>
    <w:rsid w:val="00E5522B"/>
    <w:rsid w:val="00E554E7"/>
    <w:rsid w:val="00E62869"/>
    <w:rsid w:val="00E63216"/>
    <w:rsid w:val="00E70FDF"/>
    <w:rsid w:val="00E71E33"/>
    <w:rsid w:val="00E73AEE"/>
    <w:rsid w:val="00E74ABE"/>
    <w:rsid w:val="00E8199F"/>
    <w:rsid w:val="00E81C2D"/>
    <w:rsid w:val="00E826D9"/>
    <w:rsid w:val="00E849B4"/>
    <w:rsid w:val="00E84C89"/>
    <w:rsid w:val="00E85DFB"/>
    <w:rsid w:val="00E8633D"/>
    <w:rsid w:val="00E87852"/>
    <w:rsid w:val="00E90F4F"/>
    <w:rsid w:val="00E91B7A"/>
    <w:rsid w:val="00E920B9"/>
    <w:rsid w:val="00E92C09"/>
    <w:rsid w:val="00E9413C"/>
    <w:rsid w:val="00E94676"/>
    <w:rsid w:val="00E96BF3"/>
    <w:rsid w:val="00EA0C3B"/>
    <w:rsid w:val="00EA1755"/>
    <w:rsid w:val="00EA18DE"/>
    <w:rsid w:val="00EA4F01"/>
    <w:rsid w:val="00EA6C57"/>
    <w:rsid w:val="00EB0A8D"/>
    <w:rsid w:val="00EB2CBD"/>
    <w:rsid w:val="00EB32D8"/>
    <w:rsid w:val="00EB7AB1"/>
    <w:rsid w:val="00EC2397"/>
    <w:rsid w:val="00EC45E5"/>
    <w:rsid w:val="00EC4F83"/>
    <w:rsid w:val="00ED0D9B"/>
    <w:rsid w:val="00ED15BD"/>
    <w:rsid w:val="00ED1947"/>
    <w:rsid w:val="00ED1C7D"/>
    <w:rsid w:val="00ED22B7"/>
    <w:rsid w:val="00ED2808"/>
    <w:rsid w:val="00ED3396"/>
    <w:rsid w:val="00ED487B"/>
    <w:rsid w:val="00ED558D"/>
    <w:rsid w:val="00EE04AC"/>
    <w:rsid w:val="00EE0F77"/>
    <w:rsid w:val="00EE20BA"/>
    <w:rsid w:val="00EE2E85"/>
    <w:rsid w:val="00EE370B"/>
    <w:rsid w:val="00EE3A4F"/>
    <w:rsid w:val="00EE422B"/>
    <w:rsid w:val="00EE6014"/>
    <w:rsid w:val="00EE69E7"/>
    <w:rsid w:val="00EF16BA"/>
    <w:rsid w:val="00EF2298"/>
    <w:rsid w:val="00EF23EC"/>
    <w:rsid w:val="00EF4317"/>
    <w:rsid w:val="00EF50C5"/>
    <w:rsid w:val="00EF560F"/>
    <w:rsid w:val="00F044CF"/>
    <w:rsid w:val="00F0522D"/>
    <w:rsid w:val="00F06AEE"/>
    <w:rsid w:val="00F10C79"/>
    <w:rsid w:val="00F13AE7"/>
    <w:rsid w:val="00F1422F"/>
    <w:rsid w:val="00F14F28"/>
    <w:rsid w:val="00F151A1"/>
    <w:rsid w:val="00F15F50"/>
    <w:rsid w:val="00F174E5"/>
    <w:rsid w:val="00F20358"/>
    <w:rsid w:val="00F21628"/>
    <w:rsid w:val="00F21902"/>
    <w:rsid w:val="00F22728"/>
    <w:rsid w:val="00F23FE1"/>
    <w:rsid w:val="00F244B7"/>
    <w:rsid w:val="00F24546"/>
    <w:rsid w:val="00F249B5"/>
    <w:rsid w:val="00F24BD8"/>
    <w:rsid w:val="00F25629"/>
    <w:rsid w:val="00F25AE9"/>
    <w:rsid w:val="00F25FC8"/>
    <w:rsid w:val="00F26F38"/>
    <w:rsid w:val="00F27C4E"/>
    <w:rsid w:val="00F302AC"/>
    <w:rsid w:val="00F304B9"/>
    <w:rsid w:val="00F30E12"/>
    <w:rsid w:val="00F30F24"/>
    <w:rsid w:val="00F3364F"/>
    <w:rsid w:val="00F33F8B"/>
    <w:rsid w:val="00F343CD"/>
    <w:rsid w:val="00F37864"/>
    <w:rsid w:val="00F431A3"/>
    <w:rsid w:val="00F43AE5"/>
    <w:rsid w:val="00F44EFF"/>
    <w:rsid w:val="00F45A96"/>
    <w:rsid w:val="00F45C23"/>
    <w:rsid w:val="00F463B6"/>
    <w:rsid w:val="00F5041F"/>
    <w:rsid w:val="00F529D3"/>
    <w:rsid w:val="00F535D6"/>
    <w:rsid w:val="00F54753"/>
    <w:rsid w:val="00F5535C"/>
    <w:rsid w:val="00F55A1E"/>
    <w:rsid w:val="00F55A6D"/>
    <w:rsid w:val="00F56BE9"/>
    <w:rsid w:val="00F612B8"/>
    <w:rsid w:val="00F61515"/>
    <w:rsid w:val="00F6239F"/>
    <w:rsid w:val="00F63B33"/>
    <w:rsid w:val="00F65007"/>
    <w:rsid w:val="00F65257"/>
    <w:rsid w:val="00F66744"/>
    <w:rsid w:val="00F7009B"/>
    <w:rsid w:val="00F7137A"/>
    <w:rsid w:val="00F71665"/>
    <w:rsid w:val="00F73D48"/>
    <w:rsid w:val="00F75F0C"/>
    <w:rsid w:val="00F7625D"/>
    <w:rsid w:val="00F76A54"/>
    <w:rsid w:val="00F77CB4"/>
    <w:rsid w:val="00F827AA"/>
    <w:rsid w:val="00F85469"/>
    <w:rsid w:val="00F855E3"/>
    <w:rsid w:val="00F857AF"/>
    <w:rsid w:val="00F86D07"/>
    <w:rsid w:val="00F86F0B"/>
    <w:rsid w:val="00F877F8"/>
    <w:rsid w:val="00F87AC8"/>
    <w:rsid w:val="00F87B12"/>
    <w:rsid w:val="00F90BB7"/>
    <w:rsid w:val="00F91A27"/>
    <w:rsid w:val="00F926F7"/>
    <w:rsid w:val="00F94E51"/>
    <w:rsid w:val="00F9692B"/>
    <w:rsid w:val="00FA15C6"/>
    <w:rsid w:val="00FA3B2F"/>
    <w:rsid w:val="00FA3C67"/>
    <w:rsid w:val="00FA4722"/>
    <w:rsid w:val="00FA4BE6"/>
    <w:rsid w:val="00FA52DE"/>
    <w:rsid w:val="00FA5BCA"/>
    <w:rsid w:val="00FA5F22"/>
    <w:rsid w:val="00FA616D"/>
    <w:rsid w:val="00FB4062"/>
    <w:rsid w:val="00FB44A9"/>
    <w:rsid w:val="00FB625A"/>
    <w:rsid w:val="00FB69F4"/>
    <w:rsid w:val="00FC0078"/>
    <w:rsid w:val="00FC3127"/>
    <w:rsid w:val="00FC59A5"/>
    <w:rsid w:val="00FD1F23"/>
    <w:rsid w:val="00FD28AB"/>
    <w:rsid w:val="00FD3E41"/>
    <w:rsid w:val="00FD4001"/>
    <w:rsid w:val="00FD4A9E"/>
    <w:rsid w:val="00FD55B1"/>
    <w:rsid w:val="00FD6717"/>
    <w:rsid w:val="00FE0D9E"/>
    <w:rsid w:val="00FE1EE7"/>
    <w:rsid w:val="00FE5A7E"/>
    <w:rsid w:val="00FF3198"/>
    <w:rsid w:val="00FF5A34"/>
    <w:rsid w:val="00FF6F04"/>
    <w:rsid w:val="010033FE"/>
    <w:rsid w:val="01285229"/>
    <w:rsid w:val="01F81427"/>
    <w:rsid w:val="03295346"/>
    <w:rsid w:val="032A648D"/>
    <w:rsid w:val="03D76B09"/>
    <w:rsid w:val="03F93561"/>
    <w:rsid w:val="05D34727"/>
    <w:rsid w:val="05D9297D"/>
    <w:rsid w:val="07650D44"/>
    <w:rsid w:val="07DB5C37"/>
    <w:rsid w:val="08931933"/>
    <w:rsid w:val="0A8F0E99"/>
    <w:rsid w:val="0B4A1776"/>
    <w:rsid w:val="0BD50265"/>
    <w:rsid w:val="0BEC010D"/>
    <w:rsid w:val="0C786503"/>
    <w:rsid w:val="0D1A04C9"/>
    <w:rsid w:val="0DA43FD6"/>
    <w:rsid w:val="0DCB77B4"/>
    <w:rsid w:val="0ED75CD8"/>
    <w:rsid w:val="0FF539C8"/>
    <w:rsid w:val="100A1485"/>
    <w:rsid w:val="10757130"/>
    <w:rsid w:val="112B34AD"/>
    <w:rsid w:val="11FF5827"/>
    <w:rsid w:val="18090C43"/>
    <w:rsid w:val="18FB5F15"/>
    <w:rsid w:val="1B321622"/>
    <w:rsid w:val="1BDC2BFF"/>
    <w:rsid w:val="1E180D89"/>
    <w:rsid w:val="1E452027"/>
    <w:rsid w:val="1EEB1A56"/>
    <w:rsid w:val="1F9C38D3"/>
    <w:rsid w:val="1FB7696A"/>
    <w:rsid w:val="20767551"/>
    <w:rsid w:val="20E720DE"/>
    <w:rsid w:val="212705BE"/>
    <w:rsid w:val="21AC2FA2"/>
    <w:rsid w:val="21DB64E2"/>
    <w:rsid w:val="221C4C30"/>
    <w:rsid w:val="22A70B6C"/>
    <w:rsid w:val="22AD65CC"/>
    <w:rsid w:val="23C14303"/>
    <w:rsid w:val="23FF4622"/>
    <w:rsid w:val="24FF7EBF"/>
    <w:rsid w:val="25A217AC"/>
    <w:rsid w:val="26A479CD"/>
    <w:rsid w:val="26F473FB"/>
    <w:rsid w:val="27432BC1"/>
    <w:rsid w:val="27F0275A"/>
    <w:rsid w:val="28580092"/>
    <w:rsid w:val="28BC23D4"/>
    <w:rsid w:val="2AA10ED5"/>
    <w:rsid w:val="2ADA0518"/>
    <w:rsid w:val="2C921974"/>
    <w:rsid w:val="2DBE14C9"/>
    <w:rsid w:val="2E2339E2"/>
    <w:rsid w:val="2E2B31E3"/>
    <w:rsid w:val="2ED77388"/>
    <w:rsid w:val="2F380CDF"/>
    <w:rsid w:val="2F6A64D8"/>
    <w:rsid w:val="30616EA9"/>
    <w:rsid w:val="31A44D82"/>
    <w:rsid w:val="320C1026"/>
    <w:rsid w:val="32BE120D"/>
    <w:rsid w:val="32E22A0E"/>
    <w:rsid w:val="330C0EF9"/>
    <w:rsid w:val="33506DE6"/>
    <w:rsid w:val="33B73EB0"/>
    <w:rsid w:val="34004E73"/>
    <w:rsid w:val="34973C0D"/>
    <w:rsid w:val="349B054D"/>
    <w:rsid w:val="35194EAC"/>
    <w:rsid w:val="35A54CED"/>
    <w:rsid w:val="36DD7E2B"/>
    <w:rsid w:val="37534CA7"/>
    <w:rsid w:val="37C157A9"/>
    <w:rsid w:val="37D824F1"/>
    <w:rsid w:val="39B918B5"/>
    <w:rsid w:val="3B0C4DFA"/>
    <w:rsid w:val="3C4D26C6"/>
    <w:rsid w:val="3D044EFC"/>
    <w:rsid w:val="3E6946AD"/>
    <w:rsid w:val="3EB60CB3"/>
    <w:rsid w:val="3EC436F9"/>
    <w:rsid w:val="3F740895"/>
    <w:rsid w:val="3FB93DC6"/>
    <w:rsid w:val="402A691C"/>
    <w:rsid w:val="422E66F3"/>
    <w:rsid w:val="4275164D"/>
    <w:rsid w:val="430A3262"/>
    <w:rsid w:val="44265D88"/>
    <w:rsid w:val="444020E6"/>
    <w:rsid w:val="46A824B9"/>
    <w:rsid w:val="46BB170B"/>
    <w:rsid w:val="47510906"/>
    <w:rsid w:val="495D70F7"/>
    <w:rsid w:val="497349FC"/>
    <w:rsid w:val="498C1364"/>
    <w:rsid w:val="4B6974A4"/>
    <w:rsid w:val="4B7D5F80"/>
    <w:rsid w:val="4BF40741"/>
    <w:rsid w:val="4C5E019B"/>
    <w:rsid w:val="4F64249F"/>
    <w:rsid w:val="4F6E1200"/>
    <w:rsid w:val="4FEE189E"/>
    <w:rsid w:val="500B7C38"/>
    <w:rsid w:val="5345653C"/>
    <w:rsid w:val="53F038EA"/>
    <w:rsid w:val="549F2962"/>
    <w:rsid w:val="54E01333"/>
    <w:rsid w:val="54EC7E91"/>
    <w:rsid w:val="5668599A"/>
    <w:rsid w:val="59BA69E3"/>
    <w:rsid w:val="5A661DF4"/>
    <w:rsid w:val="5ACF0178"/>
    <w:rsid w:val="5B9E3DE4"/>
    <w:rsid w:val="5BE42A48"/>
    <w:rsid w:val="5C3E17F9"/>
    <w:rsid w:val="5C483ABC"/>
    <w:rsid w:val="5D052980"/>
    <w:rsid w:val="5D3A6920"/>
    <w:rsid w:val="5D8135CC"/>
    <w:rsid w:val="5DF10A2F"/>
    <w:rsid w:val="5ED57F57"/>
    <w:rsid w:val="5EF534F9"/>
    <w:rsid w:val="600446EC"/>
    <w:rsid w:val="600D2EE6"/>
    <w:rsid w:val="61D4087B"/>
    <w:rsid w:val="621760F6"/>
    <w:rsid w:val="62246B60"/>
    <w:rsid w:val="628A2B7E"/>
    <w:rsid w:val="644F1ACD"/>
    <w:rsid w:val="64751744"/>
    <w:rsid w:val="668E2F31"/>
    <w:rsid w:val="67060D39"/>
    <w:rsid w:val="67FF1998"/>
    <w:rsid w:val="680D1D99"/>
    <w:rsid w:val="68CC686B"/>
    <w:rsid w:val="69431270"/>
    <w:rsid w:val="6A147DD2"/>
    <w:rsid w:val="6A7F4F75"/>
    <w:rsid w:val="6ACA16F9"/>
    <w:rsid w:val="6B16774A"/>
    <w:rsid w:val="6C467142"/>
    <w:rsid w:val="6CB03B45"/>
    <w:rsid w:val="6ECE2681"/>
    <w:rsid w:val="6ED12033"/>
    <w:rsid w:val="72340F9C"/>
    <w:rsid w:val="763243C9"/>
    <w:rsid w:val="774152C9"/>
    <w:rsid w:val="775D6EE2"/>
    <w:rsid w:val="776A3FFF"/>
    <w:rsid w:val="793070F8"/>
    <w:rsid w:val="79D825C1"/>
    <w:rsid w:val="7B5D131E"/>
    <w:rsid w:val="7B641EE9"/>
    <w:rsid w:val="7D950234"/>
    <w:rsid w:val="7DB41B16"/>
    <w:rsid w:val="7DEB79E2"/>
    <w:rsid w:val="7DFC5027"/>
    <w:rsid w:val="7E002D54"/>
    <w:rsid w:val="7FFA27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7"/>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38"/>
    <w:qFormat/>
    <w:uiPriority w:val="9"/>
    <w:pPr>
      <w:keepNext/>
      <w:keepLines/>
      <w:spacing w:before="260" w:after="260" w:line="416" w:lineRule="auto"/>
      <w:outlineLvl w:val="1"/>
    </w:pPr>
    <w:rPr>
      <w:rFonts w:ascii="Cambria" w:hAnsi="Cambria" w:eastAsia="宋体" w:cs="Times New Roman"/>
      <w:b/>
      <w:bCs/>
      <w:sz w:val="32"/>
      <w:szCs w:val="32"/>
    </w:rPr>
  </w:style>
  <w:style w:type="paragraph" w:styleId="4">
    <w:name w:val="heading 3"/>
    <w:basedOn w:val="1"/>
    <w:next w:val="1"/>
    <w:link w:val="39"/>
    <w:qFormat/>
    <w:uiPriority w:val="9"/>
    <w:pPr>
      <w:keepNext/>
      <w:keepLines/>
      <w:spacing w:before="260" w:after="260" w:line="416" w:lineRule="auto"/>
      <w:outlineLvl w:val="2"/>
    </w:pPr>
    <w:rPr>
      <w:rFonts w:ascii="Times New Roman" w:hAnsi="Times New Roman" w:eastAsia="宋体" w:cs="Times New Roman"/>
      <w:b/>
      <w:bCs/>
      <w:sz w:val="32"/>
      <w:szCs w:val="32"/>
    </w:rPr>
  </w:style>
  <w:style w:type="character" w:default="1" w:styleId="25">
    <w:name w:val="Default Paragraph Font"/>
    <w:semiHidden/>
    <w:unhideWhenUsed/>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5">
    <w:name w:val="List Number"/>
    <w:basedOn w:val="1"/>
    <w:qFormat/>
    <w:uiPriority w:val="0"/>
    <w:pPr>
      <w:widowControl/>
      <w:numPr>
        <w:ilvl w:val="0"/>
        <w:numId w:val="1"/>
      </w:numPr>
      <w:tabs>
        <w:tab w:val="left" w:pos="454"/>
        <w:tab w:val="clear" w:pos="720"/>
      </w:tabs>
      <w:spacing w:after="156" w:afterLines="50"/>
      <w:ind w:left="454" w:hanging="284"/>
      <w:jc w:val="left"/>
    </w:pPr>
    <w:rPr>
      <w:rFonts w:ascii="Times New Roman" w:hAnsi="Times New Roman" w:eastAsia="宋体" w:cs="Times New Roman"/>
      <w:kern w:val="0"/>
      <w:sz w:val="24"/>
      <w:szCs w:val="20"/>
    </w:rPr>
  </w:style>
  <w:style w:type="paragraph" w:styleId="6">
    <w:name w:val="Normal Indent"/>
    <w:basedOn w:val="1"/>
    <w:link w:val="46"/>
    <w:qFormat/>
    <w:uiPriority w:val="0"/>
    <w:pPr>
      <w:ind w:firstLine="420"/>
    </w:pPr>
    <w:rPr>
      <w:rFonts w:eastAsia="宋体"/>
    </w:rPr>
  </w:style>
  <w:style w:type="paragraph" w:styleId="7">
    <w:name w:val="caption"/>
    <w:basedOn w:val="1"/>
    <w:next w:val="1"/>
    <w:qFormat/>
    <w:uiPriority w:val="0"/>
    <w:pPr>
      <w:spacing w:before="152" w:after="160"/>
    </w:pPr>
    <w:rPr>
      <w:rFonts w:ascii="Arial" w:hAnsi="Arial" w:eastAsia="黑体" w:cs="Arial"/>
      <w:sz w:val="20"/>
      <w:szCs w:val="20"/>
    </w:rPr>
  </w:style>
  <w:style w:type="paragraph" w:styleId="8">
    <w:name w:val="Document Map"/>
    <w:basedOn w:val="1"/>
    <w:link w:val="43"/>
    <w:unhideWhenUsed/>
    <w:qFormat/>
    <w:uiPriority w:val="99"/>
    <w:rPr>
      <w:rFonts w:ascii="宋体"/>
      <w:sz w:val="18"/>
      <w:szCs w:val="18"/>
    </w:rPr>
  </w:style>
  <w:style w:type="paragraph" w:styleId="9">
    <w:name w:val="annotation text"/>
    <w:basedOn w:val="1"/>
    <w:link w:val="80"/>
    <w:unhideWhenUsed/>
    <w:qFormat/>
    <w:uiPriority w:val="99"/>
    <w:pPr>
      <w:jc w:val="left"/>
    </w:pPr>
  </w:style>
  <w:style w:type="paragraph" w:styleId="10">
    <w:name w:val="Body Text"/>
    <w:basedOn w:val="1"/>
    <w:next w:val="1"/>
    <w:link w:val="83"/>
    <w:unhideWhenUsed/>
    <w:qFormat/>
    <w:uiPriority w:val="99"/>
    <w:pPr>
      <w:spacing w:after="120"/>
    </w:pPr>
    <w:rPr>
      <w:rFonts w:ascii="Times New Roman" w:hAnsi="Times New Roman" w:eastAsia="宋体" w:cs="Times New Roman"/>
      <w:sz w:val="28"/>
      <w:szCs w:val="24"/>
    </w:rPr>
  </w:style>
  <w:style w:type="paragraph" w:styleId="11">
    <w:name w:val="Body Text Indent"/>
    <w:basedOn w:val="1"/>
    <w:link w:val="70"/>
    <w:qFormat/>
    <w:uiPriority w:val="0"/>
    <w:pPr>
      <w:spacing w:line="200" w:lineRule="atLeast"/>
      <w:ind w:firstLine="301"/>
    </w:pPr>
    <w:rPr>
      <w:rFonts w:ascii="宋体" w:hAnsi="Courier New"/>
      <w:spacing w:val="-4"/>
      <w:sz w:val="18"/>
    </w:rPr>
  </w:style>
  <w:style w:type="paragraph" w:styleId="12">
    <w:name w:val="List 2"/>
    <w:basedOn w:val="1"/>
    <w:unhideWhenUsed/>
    <w:qFormat/>
    <w:uiPriority w:val="99"/>
    <w:pPr>
      <w:ind w:left="100" w:leftChars="200" w:hanging="200" w:hangingChars="200"/>
      <w:contextualSpacing/>
    </w:pPr>
    <w:rPr>
      <w:rFonts w:ascii="Times New Roman" w:hAnsi="Times New Roman" w:eastAsia="宋体" w:cs="Times New Roman"/>
      <w:sz w:val="28"/>
      <w:szCs w:val="24"/>
    </w:rPr>
  </w:style>
  <w:style w:type="paragraph" w:styleId="13">
    <w:name w:val="Plain Text"/>
    <w:basedOn w:val="1"/>
    <w:link w:val="55"/>
    <w:qFormat/>
    <w:uiPriority w:val="99"/>
    <w:pPr>
      <w:spacing w:before="156" w:beforeLines="50" w:after="156" w:afterLines="50" w:line="400" w:lineRule="atLeast"/>
    </w:pPr>
    <w:rPr>
      <w:rFonts w:ascii="宋体" w:hAnsi="Courier New"/>
      <w:sz w:val="24"/>
      <w:szCs w:val="24"/>
    </w:rPr>
  </w:style>
  <w:style w:type="paragraph" w:styleId="14">
    <w:name w:val="Date"/>
    <w:basedOn w:val="1"/>
    <w:next w:val="1"/>
    <w:link w:val="86"/>
    <w:qFormat/>
    <w:uiPriority w:val="0"/>
    <w:pPr>
      <w:ind w:left="2500" w:leftChars="2500"/>
    </w:pPr>
    <w:rPr>
      <w:rFonts w:ascii="Times New Roman" w:hAnsi="Times New Roman" w:eastAsia="楷体_GB2312" w:cs="Times New Roman"/>
      <w:sz w:val="32"/>
      <w:szCs w:val="20"/>
    </w:rPr>
  </w:style>
  <w:style w:type="paragraph" w:styleId="15">
    <w:name w:val="Balloon Text"/>
    <w:basedOn w:val="1"/>
    <w:link w:val="84"/>
    <w:qFormat/>
    <w:uiPriority w:val="0"/>
    <w:rPr>
      <w:rFonts w:ascii="Times New Roman" w:hAnsi="Times New Roman" w:eastAsia="宋体" w:cs="Times New Roman"/>
      <w:sz w:val="18"/>
      <w:szCs w:val="18"/>
    </w:rPr>
  </w:style>
  <w:style w:type="paragraph" w:styleId="16">
    <w:name w:val="footer"/>
    <w:basedOn w:val="1"/>
    <w:link w:val="36"/>
    <w:unhideWhenUsed/>
    <w:qFormat/>
    <w:uiPriority w:val="99"/>
    <w:pPr>
      <w:tabs>
        <w:tab w:val="center" w:pos="4153"/>
        <w:tab w:val="right" w:pos="8306"/>
      </w:tabs>
      <w:snapToGrid w:val="0"/>
      <w:jc w:val="left"/>
    </w:pPr>
    <w:rPr>
      <w:sz w:val="18"/>
      <w:szCs w:val="18"/>
    </w:rPr>
  </w:style>
  <w:style w:type="paragraph" w:styleId="17">
    <w:name w:val="header"/>
    <w:basedOn w:val="1"/>
    <w:link w:val="35"/>
    <w:unhideWhenUsed/>
    <w:qFormat/>
    <w:uiPriority w:val="99"/>
    <w:pPr>
      <w:pBdr>
        <w:bottom w:val="single" w:color="auto" w:sz="6" w:space="1"/>
      </w:pBdr>
      <w:tabs>
        <w:tab w:val="center" w:pos="4153"/>
        <w:tab w:val="right" w:pos="8306"/>
      </w:tabs>
      <w:snapToGrid w:val="0"/>
      <w:jc w:val="center"/>
    </w:pPr>
    <w:rPr>
      <w:sz w:val="18"/>
      <w:szCs w:val="18"/>
    </w:rPr>
  </w:style>
  <w:style w:type="paragraph" w:styleId="18">
    <w:name w:val="List"/>
    <w:basedOn w:val="1"/>
    <w:qFormat/>
    <w:uiPriority w:val="0"/>
    <w:pPr>
      <w:ind w:left="200" w:hanging="200" w:hangingChars="200"/>
    </w:pPr>
    <w:rPr>
      <w:rFonts w:ascii="Times New Roman" w:hAnsi="Times New Roman" w:eastAsia="宋体" w:cs="Times New Roman"/>
      <w:sz w:val="28"/>
      <w:szCs w:val="24"/>
    </w:rPr>
  </w:style>
  <w:style w:type="paragraph" w:styleId="19">
    <w:name w:val="Body Text 2"/>
    <w:basedOn w:val="1"/>
    <w:link w:val="72"/>
    <w:qFormat/>
    <w:uiPriority w:val="0"/>
    <w:pPr>
      <w:widowControl/>
      <w:snapToGrid w:val="0"/>
      <w:spacing w:before="50" w:after="156" w:afterLines="50" w:line="400" w:lineRule="atLeast"/>
      <w:jc w:val="left"/>
    </w:pPr>
    <w:rPr>
      <w:rFonts w:hint="eastAsia" w:ascii="宋体" w:hAnsi="宋体" w:eastAsia="宋体" w:cs="Times New Roman"/>
      <w:color w:val="000000"/>
      <w:sz w:val="24"/>
      <w:szCs w:val="24"/>
    </w:rPr>
  </w:style>
  <w:style w:type="paragraph" w:styleId="20">
    <w:name w:val="Normal (Web)"/>
    <w:basedOn w:val="1"/>
    <w:qFormat/>
    <w:uiPriority w:val="99"/>
    <w:pPr>
      <w:widowControl/>
      <w:spacing w:before="100" w:beforeAutospacing="1" w:after="100" w:afterAutospacing="1"/>
      <w:ind w:firstLine="420"/>
      <w:jc w:val="left"/>
    </w:pPr>
    <w:rPr>
      <w:rFonts w:ascii="宋体" w:hAnsi="宋体" w:eastAsia="宋体" w:cs="Times New Roman"/>
      <w:kern w:val="0"/>
      <w:sz w:val="20"/>
      <w:szCs w:val="20"/>
    </w:rPr>
  </w:style>
  <w:style w:type="paragraph" w:styleId="21">
    <w:name w:val="annotation subject"/>
    <w:basedOn w:val="9"/>
    <w:next w:val="9"/>
    <w:link w:val="56"/>
    <w:unhideWhenUsed/>
    <w:qFormat/>
    <w:uiPriority w:val="99"/>
    <w:rPr>
      <w:b/>
      <w:bCs/>
      <w:sz w:val="28"/>
      <w:szCs w:val="24"/>
    </w:rPr>
  </w:style>
  <w:style w:type="paragraph" w:styleId="22">
    <w:name w:val="Body Text First Indent 2"/>
    <w:basedOn w:val="11"/>
    <w:link w:val="88"/>
    <w:unhideWhenUsed/>
    <w:qFormat/>
    <w:uiPriority w:val="99"/>
    <w:pPr>
      <w:ind w:firstLine="420"/>
    </w:pPr>
  </w:style>
  <w:style w:type="table" w:styleId="24">
    <w:name w:val="Table Grid"/>
    <w:basedOn w:val="2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qFormat/>
    <w:uiPriority w:val="0"/>
    <w:rPr>
      <w:b/>
      <w:bCs/>
    </w:rPr>
  </w:style>
  <w:style w:type="character" w:styleId="27">
    <w:name w:val="page number"/>
    <w:basedOn w:val="25"/>
    <w:qFormat/>
    <w:uiPriority w:val="0"/>
  </w:style>
  <w:style w:type="character" w:styleId="28">
    <w:name w:val="FollowedHyperlink"/>
    <w:unhideWhenUsed/>
    <w:qFormat/>
    <w:uiPriority w:val="99"/>
    <w:rPr>
      <w:color w:val="5579A7"/>
      <w:u w:val="none"/>
    </w:rPr>
  </w:style>
  <w:style w:type="character" w:styleId="29">
    <w:name w:val="HTML Definition"/>
    <w:unhideWhenUsed/>
    <w:qFormat/>
    <w:uiPriority w:val="99"/>
    <w:rPr>
      <w:i/>
    </w:rPr>
  </w:style>
  <w:style w:type="character" w:styleId="30">
    <w:name w:val="Hyperlink"/>
    <w:qFormat/>
    <w:uiPriority w:val="0"/>
    <w:rPr>
      <w:color w:val="5579A7"/>
      <w:u w:val="none"/>
    </w:rPr>
  </w:style>
  <w:style w:type="character" w:styleId="31">
    <w:name w:val="HTML Code"/>
    <w:unhideWhenUsed/>
    <w:qFormat/>
    <w:uiPriority w:val="99"/>
    <w:rPr>
      <w:rFonts w:ascii="-apple-system" w:hAnsi="-apple-system" w:eastAsia="-apple-system" w:cs="-apple-system"/>
      <w:sz w:val="21"/>
      <w:szCs w:val="21"/>
    </w:rPr>
  </w:style>
  <w:style w:type="character" w:styleId="32">
    <w:name w:val="annotation reference"/>
    <w:unhideWhenUsed/>
    <w:qFormat/>
    <w:uiPriority w:val="99"/>
    <w:rPr>
      <w:sz w:val="21"/>
      <w:szCs w:val="21"/>
    </w:rPr>
  </w:style>
  <w:style w:type="character" w:styleId="33">
    <w:name w:val="HTML Keyboard"/>
    <w:unhideWhenUsed/>
    <w:qFormat/>
    <w:uiPriority w:val="99"/>
    <w:rPr>
      <w:rFonts w:hint="default" w:ascii="-apple-system" w:hAnsi="-apple-system" w:eastAsia="-apple-system" w:cs="-apple-system"/>
      <w:sz w:val="21"/>
      <w:szCs w:val="21"/>
    </w:rPr>
  </w:style>
  <w:style w:type="character" w:styleId="34">
    <w:name w:val="HTML Sample"/>
    <w:unhideWhenUsed/>
    <w:qFormat/>
    <w:uiPriority w:val="99"/>
    <w:rPr>
      <w:rFonts w:hint="default" w:ascii="-apple-system" w:hAnsi="-apple-system" w:eastAsia="-apple-system" w:cs="-apple-system"/>
      <w:sz w:val="21"/>
      <w:szCs w:val="21"/>
    </w:rPr>
  </w:style>
  <w:style w:type="character" w:customStyle="1" w:styleId="35">
    <w:name w:val="页眉 字符"/>
    <w:basedOn w:val="25"/>
    <w:link w:val="17"/>
    <w:qFormat/>
    <w:uiPriority w:val="99"/>
    <w:rPr>
      <w:sz w:val="18"/>
      <w:szCs w:val="18"/>
    </w:rPr>
  </w:style>
  <w:style w:type="character" w:customStyle="1" w:styleId="36">
    <w:name w:val="页脚 字符"/>
    <w:basedOn w:val="25"/>
    <w:link w:val="16"/>
    <w:qFormat/>
    <w:uiPriority w:val="99"/>
    <w:rPr>
      <w:sz w:val="18"/>
      <w:szCs w:val="18"/>
    </w:rPr>
  </w:style>
  <w:style w:type="character" w:customStyle="1" w:styleId="37">
    <w:name w:val="标题 1 字符"/>
    <w:basedOn w:val="25"/>
    <w:link w:val="2"/>
    <w:qFormat/>
    <w:uiPriority w:val="9"/>
    <w:rPr>
      <w:rFonts w:ascii="Times New Roman" w:hAnsi="Times New Roman" w:eastAsia="宋体" w:cs="Times New Roman"/>
      <w:b/>
      <w:bCs/>
      <w:kern w:val="44"/>
      <w:sz w:val="44"/>
      <w:szCs w:val="44"/>
    </w:rPr>
  </w:style>
  <w:style w:type="character" w:customStyle="1" w:styleId="38">
    <w:name w:val="标题 2 字符"/>
    <w:basedOn w:val="25"/>
    <w:link w:val="3"/>
    <w:qFormat/>
    <w:uiPriority w:val="9"/>
    <w:rPr>
      <w:rFonts w:ascii="Cambria" w:hAnsi="Cambria" w:eastAsia="宋体" w:cs="Times New Roman"/>
      <w:b/>
      <w:bCs/>
      <w:sz w:val="32"/>
      <w:szCs w:val="32"/>
    </w:rPr>
  </w:style>
  <w:style w:type="character" w:customStyle="1" w:styleId="39">
    <w:name w:val="标题 3 字符"/>
    <w:basedOn w:val="25"/>
    <w:link w:val="4"/>
    <w:qFormat/>
    <w:uiPriority w:val="9"/>
    <w:rPr>
      <w:rFonts w:ascii="Times New Roman" w:hAnsi="Times New Roman" w:eastAsia="宋体" w:cs="Times New Roman"/>
      <w:b/>
      <w:bCs/>
      <w:sz w:val="32"/>
      <w:szCs w:val="32"/>
    </w:rPr>
  </w:style>
  <w:style w:type="character" w:customStyle="1" w:styleId="40">
    <w:name w:val="jbox-icon-none"/>
    <w:qFormat/>
    <w:uiPriority w:val="0"/>
    <w:rPr>
      <w:vanish/>
    </w:rPr>
  </w:style>
  <w:style w:type="character" w:customStyle="1" w:styleId="41">
    <w:name w:val="z-窗体底端 字符"/>
    <w:link w:val="42"/>
    <w:qFormat/>
    <w:uiPriority w:val="99"/>
    <w:rPr>
      <w:rFonts w:ascii="Arial" w:hAnsi="Arial"/>
      <w:vanish/>
      <w:sz w:val="16"/>
      <w:szCs w:val="16"/>
    </w:rPr>
  </w:style>
  <w:style w:type="paragraph" w:customStyle="1" w:styleId="42">
    <w:name w:val="z-窗体底端1"/>
    <w:basedOn w:val="1"/>
    <w:next w:val="1"/>
    <w:link w:val="41"/>
    <w:unhideWhenUsed/>
    <w:qFormat/>
    <w:uiPriority w:val="99"/>
    <w:pPr>
      <w:widowControl/>
      <w:pBdr>
        <w:top w:val="single" w:color="auto" w:sz="6" w:space="1"/>
      </w:pBdr>
      <w:jc w:val="center"/>
    </w:pPr>
    <w:rPr>
      <w:rFonts w:ascii="Arial" w:hAnsi="Arial"/>
      <w:vanish/>
      <w:sz w:val="16"/>
      <w:szCs w:val="16"/>
    </w:rPr>
  </w:style>
  <w:style w:type="character" w:customStyle="1" w:styleId="43">
    <w:name w:val="文档结构图 字符"/>
    <w:link w:val="8"/>
    <w:qFormat/>
    <w:uiPriority w:val="99"/>
    <w:rPr>
      <w:rFonts w:ascii="宋体"/>
      <w:sz w:val="18"/>
      <w:szCs w:val="18"/>
    </w:rPr>
  </w:style>
  <w:style w:type="character" w:customStyle="1" w:styleId="44">
    <w:name w:val="black601"/>
    <w:qFormat/>
    <w:uiPriority w:val="0"/>
    <w:rPr>
      <w:color w:val="666666"/>
    </w:rPr>
  </w:style>
  <w:style w:type="character" w:customStyle="1" w:styleId="45">
    <w:name w:val="hour_pm"/>
    <w:basedOn w:val="25"/>
    <w:qFormat/>
    <w:uiPriority w:val="0"/>
  </w:style>
  <w:style w:type="character" w:customStyle="1" w:styleId="46">
    <w:name w:val="正文缩进 字符"/>
    <w:link w:val="6"/>
    <w:qFormat/>
    <w:uiPriority w:val="0"/>
    <w:rPr>
      <w:rFonts w:eastAsia="宋体"/>
    </w:rPr>
  </w:style>
  <w:style w:type="character" w:customStyle="1" w:styleId="47">
    <w:name w:val="标题 1 Char Char"/>
    <w:qFormat/>
    <w:uiPriority w:val="0"/>
    <w:rPr>
      <w:rFonts w:eastAsia="宋体"/>
      <w:b/>
      <w:spacing w:val="-2"/>
      <w:sz w:val="24"/>
      <w:lang w:val="en-US" w:eastAsia="zh-CN" w:bidi="ar-SA"/>
    </w:rPr>
  </w:style>
  <w:style w:type="character" w:customStyle="1" w:styleId="48">
    <w:name w:val="jbox-icon-info"/>
    <w:basedOn w:val="25"/>
    <w:qFormat/>
    <w:uiPriority w:val="0"/>
  </w:style>
  <w:style w:type="character" w:customStyle="1" w:styleId="49">
    <w:name w:val="hover9"/>
    <w:qFormat/>
    <w:uiPriority w:val="0"/>
    <w:rPr>
      <w:shd w:val="clear" w:color="auto" w:fill="EEEEEE"/>
    </w:rPr>
  </w:style>
  <w:style w:type="character" w:customStyle="1" w:styleId="50">
    <w:name w:val="maywed421"/>
    <w:qFormat/>
    <w:uiPriority w:val="0"/>
    <w:rPr>
      <w:color w:val="366FB6"/>
      <w:u w:val="none"/>
    </w:rPr>
  </w:style>
  <w:style w:type="character" w:customStyle="1" w:styleId="51">
    <w:name w:val="old"/>
    <w:qFormat/>
    <w:uiPriority w:val="0"/>
    <w:rPr>
      <w:color w:val="999999"/>
    </w:rPr>
  </w:style>
  <w:style w:type="character" w:customStyle="1" w:styleId="52">
    <w:name w:val="jbox-icon-warning"/>
    <w:basedOn w:val="25"/>
    <w:qFormat/>
    <w:uiPriority w:val="0"/>
  </w:style>
  <w:style w:type="character" w:customStyle="1" w:styleId="53">
    <w:name w:val="z-窗体顶端 字符"/>
    <w:link w:val="54"/>
    <w:qFormat/>
    <w:uiPriority w:val="99"/>
    <w:rPr>
      <w:rFonts w:ascii="Arial" w:hAnsi="Arial"/>
      <w:vanish/>
      <w:sz w:val="16"/>
      <w:szCs w:val="16"/>
    </w:rPr>
  </w:style>
  <w:style w:type="paragraph" w:customStyle="1" w:styleId="54">
    <w:name w:val="z-窗体顶端1"/>
    <w:basedOn w:val="1"/>
    <w:next w:val="1"/>
    <w:link w:val="53"/>
    <w:unhideWhenUsed/>
    <w:qFormat/>
    <w:uiPriority w:val="99"/>
    <w:pPr>
      <w:widowControl/>
      <w:pBdr>
        <w:bottom w:val="single" w:color="auto" w:sz="6" w:space="1"/>
      </w:pBdr>
      <w:jc w:val="center"/>
    </w:pPr>
    <w:rPr>
      <w:rFonts w:ascii="Arial" w:hAnsi="Arial"/>
      <w:vanish/>
      <w:sz w:val="16"/>
      <w:szCs w:val="16"/>
    </w:rPr>
  </w:style>
  <w:style w:type="character" w:customStyle="1" w:styleId="55">
    <w:name w:val="纯文本 字符1"/>
    <w:link w:val="13"/>
    <w:qFormat/>
    <w:uiPriority w:val="99"/>
    <w:rPr>
      <w:rFonts w:ascii="宋体" w:hAnsi="Courier New"/>
      <w:sz w:val="24"/>
      <w:szCs w:val="24"/>
    </w:rPr>
  </w:style>
  <w:style w:type="character" w:customStyle="1" w:styleId="56">
    <w:name w:val="批注主题 字符"/>
    <w:link w:val="21"/>
    <w:qFormat/>
    <w:uiPriority w:val="99"/>
    <w:rPr>
      <w:b/>
      <w:bCs/>
      <w:sz w:val="28"/>
      <w:szCs w:val="24"/>
    </w:rPr>
  </w:style>
  <w:style w:type="character" w:customStyle="1" w:styleId="57">
    <w:name w:val="jbox-icon-loading"/>
    <w:basedOn w:val="25"/>
    <w:qFormat/>
    <w:uiPriority w:val="0"/>
  </w:style>
  <w:style w:type="character" w:customStyle="1" w:styleId="58">
    <w:name w:val="正文文本缩进 字符"/>
    <w:qFormat/>
    <w:uiPriority w:val="0"/>
    <w:rPr>
      <w:rFonts w:ascii="宋体" w:hAnsi="Courier New"/>
      <w:spacing w:val="-4"/>
      <w:kern w:val="2"/>
      <w:sz w:val="18"/>
    </w:rPr>
  </w:style>
  <w:style w:type="character" w:customStyle="1" w:styleId="59">
    <w:name w:val="正文文本缩进 字符1"/>
    <w:qFormat/>
    <w:uiPriority w:val="0"/>
    <w:rPr>
      <w:rFonts w:ascii="宋体" w:hAnsi="Courier New"/>
      <w:spacing w:val="-4"/>
      <w:kern w:val="2"/>
      <w:sz w:val="18"/>
    </w:rPr>
  </w:style>
  <w:style w:type="character" w:customStyle="1" w:styleId="60">
    <w:name w:val="纯文本 字符"/>
    <w:qFormat/>
    <w:uiPriority w:val="99"/>
    <w:rPr>
      <w:rFonts w:ascii="宋体" w:hAnsi="Courier New"/>
      <w:kern w:val="2"/>
      <w:sz w:val="24"/>
      <w:szCs w:val="24"/>
    </w:rPr>
  </w:style>
  <w:style w:type="character" w:customStyle="1" w:styleId="61">
    <w:name w:val="jbox-icon-question"/>
    <w:basedOn w:val="25"/>
    <w:qFormat/>
    <w:uiPriority w:val="0"/>
  </w:style>
  <w:style w:type="character" w:customStyle="1" w:styleId="62">
    <w:name w:val="jbox-icon"/>
    <w:basedOn w:val="25"/>
    <w:qFormat/>
    <w:uiPriority w:val="0"/>
  </w:style>
  <w:style w:type="character" w:customStyle="1" w:styleId="63">
    <w:name w:val="纯文本 字符2"/>
    <w:qFormat/>
    <w:uiPriority w:val="99"/>
    <w:rPr>
      <w:rFonts w:ascii="宋体" w:hAnsi="Courier New"/>
      <w:kern w:val="2"/>
      <w:sz w:val="24"/>
      <w:szCs w:val="24"/>
    </w:rPr>
  </w:style>
  <w:style w:type="character" w:customStyle="1" w:styleId="64">
    <w:name w:val="hour_am"/>
    <w:basedOn w:val="25"/>
    <w:qFormat/>
    <w:uiPriority w:val="0"/>
  </w:style>
  <w:style w:type="character" w:customStyle="1" w:styleId="65">
    <w:name w:val="jbox-icon-success"/>
    <w:basedOn w:val="25"/>
    <w:qFormat/>
    <w:uiPriority w:val="0"/>
  </w:style>
  <w:style w:type="character" w:customStyle="1" w:styleId="66">
    <w:name w:val="批注文字 字符"/>
    <w:qFormat/>
    <w:uiPriority w:val="99"/>
    <w:rPr>
      <w:kern w:val="2"/>
      <w:sz w:val="28"/>
      <w:szCs w:val="24"/>
    </w:rPr>
  </w:style>
  <w:style w:type="character" w:customStyle="1" w:styleId="67">
    <w:name w:val="纯文本 Char1"/>
    <w:qFormat/>
    <w:uiPriority w:val="0"/>
    <w:rPr>
      <w:rFonts w:ascii="宋体" w:hAnsi="Courier New"/>
      <w:kern w:val="2"/>
      <w:sz w:val="21"/>
    </w:rPr>
  </w:style>
  <w:style w:type="character" w:customStyle="1" w:styleId="68">
    <w:name w:val="纯文本 Char"/>
    <w:qFormat/>
    <w:uiPriority w:val="99"/>
    <w:rPr>
      <w:rFonts w:ascii="宋体" w:hAnsi="Courier New"/>
      <w:kern w:val="2"/>
      <w:sz w:val="24"/>
      <w:szCs w:val="24"/>
    </w:rPr>
  </w:style>
  <w:style w:type="character" w:customStyle="1" w:styleId="69">
    <w:name w:val="sub_title s0"/>
    <w:basedOn w:val="25"/>
    <w:qFormat/>
    <w:uiPriority w:val="0"/>
  </w:style>
  <w:style w:type="character" w:customStyle="1" w:styleId="70">
    <w:name w:val="正文文本缩进 字符2"/>
    <w:link w:val="11"/>
    <w:qFormat/>
    <w:uiPriority w:val="0"/>
    <w:rPr>
      <w:rFonts w:ascii="宋体" w:hAnsi="Courier New"/>
      <w:spacing w:val="-4"/>
      <w:sz w:val="18"/>
    </w:rPr>
  </w:style>
  <w:style w:type="character" w:customStyle="1" w:styleId="71">
    <w:name w:val="jbox-icon-error"/>
    <w:basedOn w:val="25"/>
    <w:qFormat/>
    <w:uiPriority w:val="0"/>
  </w:style>
  <w:style w:type="character" w:customStyle="1" w:styleId="72">
    <w:name w:val="正文文本 2 字符"/>
    <w:basedOn w:val="25"/>
    <w:link w:val="19"/>
    <w:qFormat/>
    <w:uiPriority w:val="0"/>
    <w:rPr>
      <w:rFonts w:ascii="宋体" w:hAnsi="宋体" w:eastAsia="宋体" w:cs="Times New Roman"/>
      <w:color w:val="000000"/>
      <w:sz w:val="24"/>
      <w:szCs w:val="24"/>
    </w:rPr>
  </w:style>
  <w:style w:type="paragraph" w:customStyle="1" w:styleId="73">
    <w:name w:val="默认段落字体 Para Char Char Char Char Char Char Char Char Char1 Char Char Char Char"/>
    <w:basedOn w:val="1"/>
    <w:qFormat/>
    <w:uiPriority w:val="0"/>
    <w:rPr>
      <w:rFonts w:ascii="Tahoma" w:hAnsi="Tahoma" w:eastAsia="宋体" w:cs="Times New Roman"/>
      <w:sz w:val="24"/>
      <w:szCs w:val="20"/>
    </w:rPr>
  </w:style>
  <w:style w:type="paragraph" w:customStyle="1" w:styleId="74">
    <w:name w:val="xl25"/>
    <w:basedOn w:val="1"/>
    <w:qFormat/>
    <w:uiPriority w:val="0"/>
    <w:pPr>
      <w:widowControl/>
      <w:spacing w:before="100" w:beforeAutospacing="1" w:after="100" w:afterAutospacing="1"/>
      <w:jc w:val="center"/>
      <w:textAlignment w:val="center"/>
    </w:pPr>
    <w:rPr>
      <w:rFonts w:hint="eastAsia" w:ascii="楷体_GB2312" w:hAnsi="宋体" w:eastAsia="楷体_GB2312" w:cs="Times New Roman"/>
      <w:kern w:val="0"/>
      <w:sz w:val="24"/>
      <w:szCs w:val="24"/>
    </w:rPr>
  </w:style>
  <w:style w:type="paragraph" w:customStyle="1" w:styleId="75">
    <w:name w:val="Char Char 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76">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77">
    <w:name w:val="z-窗体顶端 字符1"/>
    <w:basedOn w:val="25"/>
    <w:semiHidden/>
    <w:qFormat/>
    <w:uiPriority w:val="99"/>
    <w:rPr>
      <w:rFonts w:ascii="Arial" w:hAnsi="Arial" w:cs="Arial"/>
      <w:vanish/>
      <w:sz w:val="16"/>
      <w:szCs w:val="16"/>
    </w:rPr>
  </w:style>
  <w:style w:type="paragraph" w:customStyle="1" w:styleId="78">
    <w:name w:val="正文段"/>
    <w:basedOn w:val="1"/>
    <w:qFormat/>
    <w:uiPriority w:val="0"/>
    <w:pPr>
      <w:widowControl/>
      <w:snapToGrid w:val="0"/>
      <w:spacing w:after="156" w:afterLines="50"/>
      <w:ind w:firstLine="200" w:firstLineChars="200"/>
    </w:pPr>
    <w:rPr>
      <w:rFonts w:ascii="Times New Roman" w:hAnsi="Times New Roman" w:eastAsia="宋体" w:cs="Times New Roman"/>
      <w:kern w:val="0"/>
      <w:sz w:val="24"/>
      <w:szCs w:val="20"/>
    </w:rPr>
  </w:style>
  <w:style w:type="paragraph" w:customStyle="1" w:styleId="79">
    <w:name w:val="Default"/>
    <w:next w:val="76"/>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character" w:customStyle="1" w:styleId="80">
    <w:name w:val="批注文字 字符1"/>
    <w:basedOn w:val="25"/>
    <w:link w:val="9"/>
    <w:semiHidden/>
    <w:qFormat/>
    <w:uiPriority w:val="99"/>
  </w:style>
  <w:style w:type="character" w:customStyle="1" w:styleId="81">
    <w:name w:val="批注主题 字符1"/>
    <w:basedOn w:val="80"/>
    <w:semiHidden/>
    <w:qFormat/>
    <w:uiPriority w:val="99"/>
    <w:rPr>
      <w:b/>
      <w:bCs/>
    </w:rPr>
  </w:style>
  <w:style w:type="character" w:customStyle="1" w:styleId="82">
    <w:name w:val="文档结构图 字符1"/>
    <w:basedOn w:val="25"/>
    <w:semiHidden/>
    <w:qFormat/>
    <w:uiPriority w:val="99"/>
    <w:rPr>
      <w:rFonts w:ascii="Microsoft YaHei UI" w:eastAsia="Microsoft YaHei UI"/>
      <w:sz w:val="18"/>
      <w:szCs w:val="18"/>
    </w:rPr>
  </w:style>
  <w:style w:type="character" w:customStyle="1" w:styleId="83">
    <w:name w:val="正文文本 字符"/>
    <w:basedOn w:val="25"/>
    <w:link w:val="10"/>
    <w:qFormat/>
    <w:uiPriority w:val="99"/>
    <w:rPr>
      <w:rFonts w:ascii="Times New Roman" w:hAnsi="Times New Roman" w:eastAsia="宋体" w:cs="Times New Roman"/>
      <w:sz w:val="28"/>
      <w:szCs w:val="24"/>
    </w:rPr>
  </w:style>
  <w:style w:type="character" w:customStyle="1" w:styleId="84">
    <w:name w:val="批注框文本 字符"/>
    <w:basedOn w:val="25"/>
    <w:link w:val="15"/>
    <w:qFormat/>
    <w:uiPriority w:val="0"/>
    <w:rPr>
      <w:rFonts w:ascii="Times New Roman" w:hAnsi="Times New Roman" w:eastAsia="宋体" w:cs="Times New Roman"/>
      <w:sz w:val="18"/>
      <w:szCs w:val="18"/>
    </w:rPr>
  </w:style>
  <w:style w:type="character" w:customStyle="1" w:styleId="85">
    <w:name w:val="正文文本缩进 字符3"/>
    <w:basedOn w:val="25"/>
    <w:semiHidden/>
    <w:qFormat/>
    <w:uiPriority w:val="99"/>
  </w:style>
  <w:style w:type="character" w:customStyle="1" w:styleId="86">
    <w:name w:val="日期 字符"/>
    <w:basedOn w:val="25"/>
    <w:link w:val="14"/>
    <w:qFormat/>
    <w:uiPriority w:val="0"/>
    <w:rPr>
      <w:rFonts w:ascii="Times New Roman" w:hAnsi="Times New Roman" w:eastAsia="楷体_GB2312" w:cs="Times New Roman"/>
      <w:sz w:val="32"/>
      <w:szCs w:val="20"/>
    </w:rPr>
  </w:style>
  <w:style w:type="character" w:customStyle="1" w:styleId="87">
    <w:name w:val="纯文本 字符3"/>
    <w:basedOn w:val="25"/>
    <w:semiHidden/>
    <w:qFormat/>
    <w:uiPriority w:val="99"/>
    <w:rPr>
      <w:rFonts w:hAnsi="Courier New" w:cs="Courier New" w:asciiTheme="minorEastAsia"/>
    </w:rPr>
  </w:style>
  <w:style w:type="character" w:customStyle="1" w:styleId="88">
    <w:name w:val="正文文本首行缩进 2 字符"/>
    <w:basedOn w:val="85"/>
    <w:link w:val="22"/>
    <w:qFormat/>
    <w:uiPriority w:val="99"/>
    <w:rPr>
      <w:rFonts w:ascii="宋体" w:hAnsi="Courier New"/>
      <w:spacing w:val="-4"/>
      <w:sz w:val="18"/>
    </w:rPr>
  </w:style>
  <w:style w:type="character" w:customStyle="1" w:styleId="89">
    <w:name w:val="z-窗体底端 字符1"/>
    <w:basedOn w:val="25"/>
    <w:semiHidden/>
    <w:qFormat/>
    <w:uiPriority w:val="99"/>
    <w:rPr>
      <w:rFonts w:ascii="Arial" w:hAnsi="Arial" w:cs="Arial"/>
      <w:vanish/>
      <w:sz w:val="16"/>
      <w:szCs w:val="16"/>
    </w:rPr>
  </w:style>
  <w:style w:type="paragraph" w:customStyle="1" w:styleId="90">
    <w:name w:val="此正文"/>
    <w:basedOn w:val="1"/>
    <w:qFormat/>
    <w:uiPriority w:val="0"/>
    <w:pPr>
      <w:spacing w:line="360" w:lineRule="auto"/>
      <w:ind w:firstLine="200" w:firstLineChars="200"/>
    </w:pPr>
    <w:rPr>
      <w:rFonts w:ascii="Times New Roman" w:hAnsi="Times New Roman" w:eastAsia="宋体" w:cs="Times New Roman"/>
      <w:sz w:val="24"/>
      <w:szCs w:val="24"/>
    </w:rPr>
  </w:style>
  <w:style w:type="paragraph" w:customStyle="1" w:styleId="91">
    <w:name w:val="表内文字"/>
    <w:basedOn w:val="1"/>
    <w:qFormat/>
    <w:uiPriority w:val="0"/>
    <w:pPr>
      <w:tabs>
        <w:tab w:val="left" w:pos="1418"/>
      </w:tabs>
      <w:spacing w:line="360" w:lineRule="auto"/>
      <w:jc w:val="center"/>
    </w:pPr>
    <w:rPr>
      <w:rFonts w:hint="eastAsia" w:ascii="仿宋_GB2312" w:hAnsi="Times New Roman" w:eastAsia="仿宋_GB2312" w:cs="Times New Roman"/>
      <w:spacing w:val="-20"/>
      <w:kern w:val="0"/>
      <w:sz w:val="24"/>
      <w:szCs w:val="24"/>
    </w:rPr>
  </w:style>
  <w:style w:type="paragraph" w:customStyle="1" w:styleId="92">
    <w:name w:val="正文 A"/>
    <w:qFormat/>
    <w:uiPriority w:val="0"/>
    <w:pPr>
      <w:widowControl w:val="0"/>
      <w:jc w:val="both"/>
    </w:pPr>
    <w:rPr>
      <w:rFonts w:hint="eastAsia" w:ascii="Arial Unicode MS" w:hAnsi="Arial Unicode MS" w:eastAsia="Times New Roman" w:cs="Arial Unicode MS"/>
      <w:color w:val="000000"/>
      <w:kern w:val="2"/>
      <w:sz w:val="28"/>
      <w:szCs w:val="28"/>
      <w:u w:color="000000"/>
      <w:lang w:val="en-US" w:eastAsia="zh-CN" w:bidi="ar-SA"/>
    </w:rPr>
  </w:style>
  <w:style w:type="paragraph" w:customStyle="1" w:styleId="93">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94">
    <w:name w:val="正文1"/>
    <w:qFormat/>
    <w:uiPriority w:val="0"/>
    <w:pPr>
      <w:suppressAutoHyphens/>
      <w:spacing w:after="180" w:line="312" w:lineRule="auto"/>
    </w:pPr>
    <w:rPr>
      <w:rFonts w:ascii="Helvetica Neue Light" w:hAnsi="Helvetica Neue Light" w:eastAsia="ヒラギノ角ゴ Pro W3" w:cs="Times New Roman"/>
      <w:color w:val="000000"/>
      <w:sz w:val="18"/>
      <w:lang w:val="en-US" w:eastAsia="zh-CN" w:bidi="ar-SA"/>
    </w:rPr>
  </w:style>
  <w:style w:type="paragraph" w:customStyle="1" w:styleId="95">
    <w:name w:val="Char Char Char Char1"/>
    <w:basedOn w:val="1"/>
    <w:qFormat/>
    <w:uiPriority w:val="0"/>
    <w:rPr>
      <w:rFonts w:ascii="Tahoma" w:hAnsi="Tahoma" w:eastAsia="宋体" w:cs="Times New Roman"/>
      <w:sz w:val="24"/>
      <w:szCs w:val="20"/>
    </w:rPr>
  </w:style>
  <w:style w:type="paragraph" w:customStyle="1" w:styleId="96">
    <w:name w:val="彩色列表 - 强调文字颜色 11"/>
    <w:basedOn w:val="1"/>
    <w:qFormat/>
    <w:uiPriority w:val="34"/>
    <w:pPr>
      <w:ind w:firstLine="420" w:firstLineChars="200"/>
    </w:pPr>
    <w:rPr>
      <w:rFonts w:ascii="Calibri" w:hAnsi="Calibri" w:eastAsia="宋体" w:cs="Times New Roman"/>
    </w:rPr>
  </w:style>
  <w:style w:type="paragraph" w:customStyle="1" w:styleId="97">
    <w:name w:val="Proposals body"/>
    <w:basedOn w:val="1"/>
    <w:next w:val="1"/>
    <w:qFormat/>
    <w:uiPriority w:val="0"/>
    <w:pPr>
      <w:widowControl/>
      <w:spacing w:line="460" w:lineRule="exact"/>
      <w:jc w:val="left"/>
    </w:pPr>
    <w:rPr>
      <w:rFonts w:ascii="仿宋_GB2312" w:hAnsi="Times New Roman" w:eastAsia="仿宋_GB2312" w:cs="Times New Roman"/>
      <w:snapToGrid w:val="0"/>
      <w:kern w:val="0"/>
      <w:sz w:val="24"/>
      <w:szCs w:val="24"/>
    </w:rPr>
  </w:style>
  <w:style w:type="paragraph" w:customStyle="1" w:styleId="98">
    <w:name w:val="正文2"/>
    <w:basedOn w:val="1"/>
    <w:link w:val="107"/>
    <w:qFormat/>
    <w:uiPriority w:val="0"/>
    <w:pPr>
      <w:spacing w:before="156" w:line="360" w:lineRule="auto"/>
      <w:ind w:firstLine="510" w:firstLineChars="200"/>
    </w:pPr>
    <w:rPr>
      <w:rFonts w:ascii="Times New Roman" w:hAnsi="Times New Roman" w:eastAsia="宋体" w:cs="Times New Roman"/>
      <w:sz w:val="24"/>
      <w:szCs w:val="20"/>
    </w:rPr>
  </w:style>
  <w:style w:type="paragraph" w:customStyle="1" w:styleId="99">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sz w:val="21"/>
      <w:szCs w:val="22"/>
      <w:lang w:val="en-US" w:eastAsia="zh-CN" w:bidi="ar-SA"/>
    </w:rPr>
  </w:style>
  <w:style w:type="paragraph" w:customStyle="1" w:styleId="100">
    <w:name w:val="无间距"/>
    <w:qFormat/>
    <w:uiPriority w:val="0"/>
    <w:pPr>
      <w:widowControl w:val="0"/>
      <w:jc w:val="both"/>
    </w:pPr>
    <w:rPr>
      <w:rFonts w:ascii="Calibri" w:hAnsi="Calibri" w:eastAsia="宋体" w:cs="Times New Roman"/>
      <w:kern w:val="2"/>
      <w:sz w:val="21"/>
      <w:szCs w:val="22"/>
      <w:lang w:val="en-US" w:eastAsia="zh-CN" w:bidi="ar-SA"/>
    </w:rPr>
  </w:style>
  <w:style w:type="paragraph" w:styleId="101">
    <w:name w:val="List Paragraph"/>
    <w:basedOn w:val="1"/>
    <w:qFormat/>
    <w:uiPriority w:val="34"/>
    <w:pPr>
      <w:ind w:left="720"/>
      <w:contextualSpacing/>
    </w:pPr>
    <w:rPr>
      <w:rFonts w:ascii="Times New Roman" w:hAnsi="Times New Roman" w:eastAsia="宋体" w:cs="Times New Roman"/>
      <w:sz w:val="28"/>
      <w:szCs w:val="20"/>
    </w:rPr>
  </w:style>
  <w:style w:type="paragraph" w:customStyle="1" w:styleId="102">
    <w:name w:val="List Paragraph1"/>
    <w:basedOn w:val="1"/>
    <w:qFormat/>
    <w:uiPriority w:val="0"/>
    <w:pPr>
      <w:ind w:firstLine="420" w:firstLineChars="200"/>
    </w:pPr>
    <w:rPr>
      <w:rFonts w:ascii="Times New Roman" w:hAnsi="Times New Roman" w:eastAsia="宋体" w:cs="Times New Roman"/>
      <w:szCs w:val="24"/>
    </w:rPr>
  </w:style>
  <w:style w:type="paragraph" w:customStyle="1" w:styleId="103">
    <w:name w:val="标题 10"/>
    <w:basedOn w:val="3"/>
    <w:qFormat/>
    <w:uiPriority w:val="0"/>
    <w:pPr>
      <w:jc w:val="center"/>
    </w:pPr>
    <w:rPr>
      <w:kern w:val="0"/>
    </w:rPr>
  </w:style>
  <w:style w:type="character" w:customStyle="1" w:styleId="104">
    <w:name w:val="未处理的提及1"/>
    <w:semiHidden/>
    <w:unhideWhenUsed/>
    <w:qFormat/>
    <w:uiPriority w:val="99"/>
    <w:rPr>
      <w:color w:val="605E5C"/>
      <w:shd w:val="clear" w:color="auto" w:fill="E1DFDD"/>
    </w:rPr>
  </w:style>
  <w:style w:type="character" w:customStyle="1" w:styleId="105">
    <w:name w:val="未处理的提及2"/>
    <w:basedOn w:val="25"/>
    <w:semiHidden/>
    <w:unhideWhenUsed/>
    <w:qFormat/>
    <w:uiPriority w:val="99"/>
    <w:rPr>
      <w:color w:val="605E5C"/>
      <w:shd w:val="clear" w:color="auto" w:fill="E1DFDD"/>
    </w:rPr>
  </w:style>
  <w:style w:type="character" w:customStyle="1" w:styleId="106">
    <w:name w:val="未处理的提及3"/>
    <w:basedOn w:val="25"/>
    <w:semiHidden/>
    <w:unhideWhenUsed/>
    <w:qFormat/>
    <w:uiPriority w:val="99"/>
    <w:rPr>
      <w:color w:val="605E5C"/>
      <w:shd w:val="clear" w:color="auto" w:fill="E1DFDD"/>
    </w:rPr>
  </w:style>
  <w:style w:type="character" w:customStyle="1" w:styleId="107">
    <w:name w:val="正文2 Char Char"/>
    <w:link w:val="98"/>
    <w:qFormat/>
    <w:uiPriority w:val="0"/>
    <w:rPr>
      <w:kern w:val="2"/>
      <w:sz w:val="24"/>
    </w:rPr>
  </w:style>
  <w:style w:type="table" w:customStyle="1" w:styleId="108">
    <w:name w:val="网格型1"/>
    <w:basedOn w:val="23"/>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8771ED-AAF5-4F08-BBE3-7B9D42BBFEA7}">
  <ds:schemaRefs/>
</ds:datastoreItem>
</file>

<file path=docProps/app.xml><?xml version="1.0" encoding="utf-8"?>
<Properties xmlns="http://schemas.openxmlformats.org/officeDocument/2006/extended-properties" xmlns:vt="http://schemas.openxmlformats.org/officeDocument/2006/docPropsVTypes">
  <Template>Normal</Template>
  <Pages>54</Pages>
  <Words>32214</Words>
  <Characters>34112</Characters>
  <Lines>1085</Lines>
  <Paragraphs>1121</Paragraphs>
  <TotalTime>10</TotalTime>
  <ScaleCrop>false</ScaleCrop>
  <LinksUpToDate>false</LinksUpToDate>
  <CharactersWithSpaces>34629</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2025-09-29T07:30:00Z</dcterms:created>
  <dc:creator>hj j</dc:creator>
  <cp:lastModifiedBy>yubin</cp:lastModifiedBy>
  <cp:lastPrinted>2022-10-31T00:58:00Z</cp:lastPrinted>
  <dcterms:modified xsi:type="dcterms:W3CDTF">2025-10-09T02:18:33Z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B363B45C01FF4C5A8AB2573BD522DAF7</vt:lpwstr>
  </property>
  <property fmtid="{D5CDD505-2E9C-101B-9397-08002B2CF9AE}" pid="4" name="KSOTemplateDocerSaveRecord">
    <vt:lpwstr>eyJoZGlkIjoiNDA1NjJhY2YzNGY0NzY5M2ZmM2Y0ZjcwMmY2ODQ2YTYiLCJ1c2VySWQiOiIxNjEzNTQ4OTc4In0=</vt:lpwstr>
  </property>
</Properties>
</file>