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263330">
      <w:pPr>
        <w:pStyle w:val="145"/>
        <w:widowControl w:val="0"/>
        <w:snapToGrid w:val="0"/>
        <w:spacing w:line="470" w:lineRule="atLeast"/>
        <w:ind w:firstLine="0"/>
        <w:jc w:val="center"/>
        <w:rPr>
          <w:rFonts w:ascii="黑体" w:hAnsi="宋体" w:eastAsia="黑体"/>
          <w:b w:val="0"/>
          <w:color w:val="auto"/>
          <w:sz w:val="32"/>
        </w:rPr>
      </w:pPr>
      <w:bookmarkStart w:id="807" w:name="_GoBack"/>
      <w:bookmarkStart w:id="0" w:name="_Toc171394914"/>
    </w:p>
    <w:p w14:paraId="55659057">
      <w:pPr>
        <w:pStyle w:val="145"/>
        <w:widowControl w:val="0"/>
        <w:snapToGrid w:val="0"/>
        <w:spacing w:line="470" w:lineRule="atLeast"/>
        <w:ind w:firstLine="0"/>
        <w:jc w:val="center"/>
        <w:rPr>
          <w:rFonts w:ascii="黑体" w:hAnsi="宋体" w:eastAsia="黑体"/>
          <w:b w:val="0"/>
          <w:color w:val="auto"/>
          <w:sz w:val="32"/>
        </w:rPr>
      </w:pPr>
    </w:p>
    <w:p w14:paraId="72E45C95">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35B7950E">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绍兴校区电脑多媒体、实验室及设备、机房运维驻校服务项目</w:t>
      </w:r>
    </w:p>
    <w:p w14:paraId="6B77B118">
      <w:pPr>
        <w:pStyle w:val="145"/>
        <w:widowControl w:val="0"/>
        <w:snapToGrid w:val="0"/>
        <w:spacing w:line="470" w:lineRule="atLeast"/>
        <w:ind w:firstLine="0"/>
        <w:jc w:val="center"/>
        <w:rPr>
          <w:rFonts w:ascii="黑体" w:eastAsia="黑体"/>
          <w:b w:val="0"/>
          <w:color w:val="auto"/>
          <w:sz w:val="36"/>
          <w:szCs w:val="36"/>
        </w:rPr>
      </w:pPr>
    </w:p>
    <w:p w14:paraId="0DA72F36">
      <w:pPr>
        <w:pStyle w:val="145"/>
        <w:widowControl w:val="0"/>
        <w:snapToGrid w:val="0"/>
        <w:spacing w:line="470" w:lineRule="atLeast"/>
        <w:ind w:firstLine="0"/>
        <w:jc w:val="center"/>
        <w:rPr>
          <w:rFonts w:ascii="黑体" w:eastAsia="黑体"/>
          <w:b w:val="0"/>
          <w:color w:val="auto"/>
          <w:sz w:val="36"/>
        </w:rPr>
      </w:pPr>
    </w:p>
    <w:p w14:paraId="0EBEF7EA">
      <w:pPr>
        <w:pStyle w:val="145"/>
        <w:widowControl w:val="0"/>
        <w:snapToGrid w:val="0"/>
        <w:spacing w:line="470" w:lineRule="atLeast"/>
        <w:ind w:firstLine="0"/>
        <w:jc w:val="center"/>
        <w:rPr>
          <w:rFonts w:ascii="黑体" w:eastAsia="黑体"/>
          <w:b w:val="0"/>
          <w:color w:val="auto"/>
          <w:sz w:val="36"/>
        </w:rPr>
      </w:pPr>
    </w:p>
    <w:p w14:paraId="64044F01">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1139F5BE">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4F5D1443">
      <w:pPr>
        <w:pStyle w:val="145"/>
        <w:widowControl w:val="0"/>
        <w:snapToGrid w:val="0"/>
        <w:spacing w:line="360" w:lineRule="auto"/>
        <w:ind w:firstLine="2400" w:firstLineChars="750"/>
        <w:rPr>
          <w:rFonts w:ascii="黑体" w:hAnsi="宋体" w:eastAsia="黑体"/>
          <w:b w:val="0"/>
          <w:color w:val="auto"/>
          <w:sz w:val="32"/>
        </w:rPr>
      </w:pPr>
    </w:p>
    <w:p w14:paraId="2F7F58C6">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r>
        <w:rPr>
          <w:rFonts w:hint="eastAsia" w:ascii="黑体" w:hAnsi="宋体" w:eastAsia="黑体"/>
          <w:b w:val="0"/>
          <w:color w:val="auto"/>
          <w:sz w:val="32"/>
          <w:lang w:val="en-US" w:eastAsia="zh-CN"/>
        </w:rPr>
        <w:t>13</w:t>
      </w:r>
    </w:p>
    <w:p w14:paraId="17ADEA79">
      <w:pPr>
        <w:pStyle w:val="145"/>
        <w:widowControl w:val="0"/>
        <w:snapToGrid w:val="0"/>
        <w:spacing w:line="470" w:lineRule="atLeast"/>
        <w:ind w:firstLine="0"/>
        <w:jc w:val="center"/>
        <w:rPr>
          <w:color w:val="auto"/>
        </w:rPr>
      </w:pPr>
    </w:p>
    <w:p w14:paraId="2E001076">
      <w:pPr>
        <w:pStyle w:val="145"/>
        <w:widowControl w:val="0"/>
        <w:snapToGrid w:val="0"/>
        <w:spacing w:line="470" w:lineRule="atLeast"/>
        <w:ind w:firstLine="0"/>
        <w:jc w:val="center"/>
        <w:rPr>
          <w:color w:val="auto"/>
        </w:rPr>
      </w:pPr>
    </w:p>
    <w:p w14:paraId="738754C6">
      <w:pPr>
        <w:pStyle w:val="145"/>
        <w:widowControl w:val="0"/>
        <w:snapToGrid w:val="0"/>
        <w:spacing w:line="470" w:lineRule="atLeast"/>
        <w:ind w:firstLine="0"/>
        <w:jc w:val="center"/>
        <w:rPr>
          <w:color w:val="auto"/>
        </w:rPr>
      </w:pPr>
    </w:p>
    <w:p w14:paraId="16D25EA5">
      <w:pPr>
        <w:pStyle w:val="145"/>
        <w:widowControl w:val="0"/>
        <w:snapToGrid w:val="0"/>
        <w:spacing w:line="470" w:lineRule="atLeast"/>
        <w:ind w:firstLine="0"/>
        <w:jc w:val="center"/>
        <w:rPr>
          <w:color w:val="auto"/>
        </w:rPr>
      </w:pPr>
    </w:p>
    <w:p w14:paraId="04E68213">
      <w:pPr>
        <w:pStyle w:val="145"/>
        <w:widowControl w:val="0"/>
        <w:snapToGrid w:val="0"/>
        <w:spacing w:line="470" w:lineRule="atLeast"/>
        <w:ind w:firstLine="0"/>
        <w:jc w:val="center"/>
        <w:rPr>
          <w:color w:val="auto"/>
        </w:rPr>
      </w:pPr>
    </w:p>
    <w:p w14:paraId="5E53BD61">
      <w:pPr>
        <w:pStyle w:val="145"/>
        <w:widowControl w:val="0"/>
        <w:snapToGrid w:val="0"/>
        <w:spacing w:line="470" w:lineRule="atLeast"/>
        <w:ind w:firstLine="0"/>
        <w:jc w:val="center"/>
        <w:rPr>
          <w:color w:val="auto"/>
        </w:rPr>
      </w:pPr>
    </w:p>
    <w:p w14:paraId="1CCC8D0B">
      <w:pPr>
        <w:pStyle w:val="145"/>
        <w:widowControl w:val="0"/>
        <w:snapToGrid w:val="0"/>
        <w:spacing w:line="470" w:lineRule="atLeast"/>
        <w:ind w:firstLine="0"/>
        <w:jc w:val="center"/>
        <w:rPr>
          <w:color w:val="auto"/>
        </w:rPr>
      </w:pPr>
    </w:p>
    <w:p w14:paraId="15AEC8A1">
      <w:pPr>
        <w:pStyle w:val="145"/>
        <w:widowControl w:val="0"/>
        <w:snapToGrid w:val="0"/>
        <w:spacing w:line="470" w:lineRule="atLeast"/>
        <w:ind w:firstLine="0"/>
        <w:jc w:val="center"/>
        <w:rPr>
          <w:color w:val="auto"/>
        </w:rPr>
      </w:pPr>
    </w:p>
    <w:p w14:paraId="1CD077D1">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02640F1F">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9</w:t>
      </w:r>
      <w:r>
        <w:rPr>
          <w:rFonts w:hint="eastAsia" w:ascii="黑体" w:eastAsia="黑体"/>
          <w:b w:val="0"/>
          <w:color w:val="auto"/>
          <w:sz w:val="32"/>
          <w:szCs w:val="32"/>
        </w:rPr>
        <w:t>月</w:t>
      </w:r>
      <w:r>
        <w:rPr>
          <w:rFonts w:hint="default" w:ascii="黑体" w:eastAsia="黑体"/>
          <w:b w:val="0"/>
          <w:color w:val="auto"/>
          <w:sz w:val="32"/>
          <w:szCs w:val="32"/>
          <w:woUserID w:val="1"/>
        </w:rPr>
        <w:t>21</w:t>
      </w:r>
      <w:r>
        <w:rPr>
          <w:rFonts w:hint="eastAsia" w:ascii="黑体" w:eastAsia="黑体"/>
          <w:b w:val="0"/>
          <w:color w:val="auto"/>
          <w:sz w:val="32"/>
          <w:szCs w:val="32"/>
        </w:rPr>
        <w:t>日</w:t>
      </w:r>
    </w:p>
    <w:p w14:paraId="07F8CF28">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18692E5C">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95061098"/>
        <w:docPartObj>
          <w:docPartGallery w:val="Table of Contents"/>
          <w:docPartUnique/>
        </w:docPartObj>
      </w:sdtPr>
      <w:sdtEndPr>
        <w:rPr>
          <w:rFonts w:ascii="宋体" w:hAnsi="宋体" w:eastAsia="宋体" w:cs="Times New Roman"/>
          <w:color w:val="auto"/>
          <w:sz w:val="20"/>
          <w:szCs w:val="20"/>
          <w:lang w:val="en-US" w:eastAsia="zh-CN" w:bidi="ar-SA"/>
        </w:rPr>
      </w:sdtEndPr>
      <w:sdtContent>
        <w:p w14:paraId="7E5A97F7">
          <w:pPr>
            <w:spacing w:before="0" w:beforeLines="0" w:after="0" w:afterLines="0" w:line="240" w:lineRule="auto"/>
            <w:ind w:left="0" w:leftChars="0" w:right="0" w:rightChars="0" w:firstLine="0" w:firstLineChars="0"/>
            <w:jc w:val="center"/>
            <w:rPr>
              <w:color w:val="auto"/>
            </w:rPr>
          </w:pPr>
          <w:bookmarkStart w:id="1" w:name="_Toc5830_WPSOffice_Type1"/>
        </w:p>
        <w:p w14:paraId="0A484334">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_Toc32138_WPSOffice_Level1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147473752"/>
              <w:placeholder>
                <w:docPart w:val="{c70e4125-199f-48cf-be44-cadb8ce617d3}"/>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黑体" w:cs="Times New Roman"/>
                  <w:color w:val="auto"/>
                  <w:sz w:val="28"/>
                  <w:szCs w:val="28"/>
                </w:rPr>
                <w:t>第一部分</w:t>
              </w:r>
              <w:r>
                <w:rPr>
                  <w:rFonts w:ascii="Times New Roman" w:hAnsi="Times New Roman" w:eastAsia="黑体" w:cs="Times New Roman"/>
                  <w:color w:val="auto"/>
                  <w:sz w:val="28"/>
                  <w:szCs w:val="28"/>
                </w:rPr>
                <w:t xml:space="preserve"> </w:t>
              </w:r>
              <w:r>
                <w:rPr>
                  <w:rFonts w:hint="eastAsia" w:ascii="Times New Roman" w:hAnsi="Times New Roman" w:eastAsia="黑体" w:cs="Times New Roman"/>
                  <w:color w:val="auto"/>
                  <w:sz w:val="28"/>
                  <w:szCs w:val="28"/>
                </w:rPr>
                <w:t>竞争性磋商公告</w:t>
              </w:r>
            </w:sdtContent>
          </w:sdt>
          <w:r>
            <w:rPr>
              <w:color w:val="auto"/>
              <w:sz w:val="28"/>
              <w:szCs w:val="28"/>
            </w:rPr>
            <w:tab/>
          </w:r>
          <w:bookmarkStart w:id="2" w:name="_Toc32138_WPSOffice_Level1Page"/>
          <w:r>
            <w:rPr>
              <w:color w:val="auto"/>
              <w:sz w:val="28"/>
              <w:szCs w:val="28"/>
            </w:rPr>
            <w:t>3</w:t>
          </w:r>
          <w:bookmarkEnd w:id="2"/>
          <w:r>
            <w:rPr>
              <w:color w:val="auto"/>
              <w:sz w:val="28"/>
              <w:szCs w:val="28"/>
            </w:rPr>
            <w:fldChar w:fldCharType="end"/>
          </w:r>
        </w:p>
        <w:p w14:paraId="0F39D658">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_Toc5830_WPSOffice_Level1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174410979"/>
              <w:placeholder>
                <w:docPart w:val="{1e4ec77c-59c3-46b1-8996-b446a3c46b75}"/>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黑体" w:cs="Times New Roman"/>
                  <w:color w:val="auto"/>
                  <w:sz w:val="28"/>
                  <w:szCs w:val="28"/>
                </w:rPr>
                <w:t>第二部分 响应方须知</w:t>
              </w:r>
            </w:sdtContent>
          </w:sdt>
          <w:r>
            <w:rPr>
              <w:color w:val="auto"/>
              <w:sz w:val="28"/>
              <w:szCs w:val="28"/>
            </w:rPr>
            <w:tab/>
          </w:r>
          <w:bookmarkStart w:id="3" w:name="_Toc5830_WPSOffice_Level1Page"/>
          <w:r>
            <w:rPr>
              <w:color w:val="auto"/>
              <w:sz w:val="28"/>
              <w:szCs w:val="28"/>
            </w:rPr>
            <w:t>5</w:t>
          </w:r>
          <w:bookmarkEnd w:id="3"/>
          <w:r>
            <w:rPr>
              <w:color w:val="auto"/>
              <w:sz w:val="28"/>
              <w:szCs w:val="28"/>
            </w:rPr>
            <w:fldChar w:fldCharType="end"/>
          </w:r>
        </w:p>
        <w:p w14:paraId="504DD0F2">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_Toc1437_WPSOffice_Level1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870948626"/>
              <w:placeholder>
                <w:docPart w:val="{6f033159-34c0-4bdd-bfc1-99f54d55f563}"/>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黑体" w:cs="Times New Roman"/>
                  <w:color w:val="auto"/>
                  <w:sz w:val="28"/>
                  <w:szCs w:val="28"/>
                </w:rPr>
                <w:t>第三部分 采购需求</w:t>
              </w:r>
            </w:sdtContent>
          </w:sdt>
          <w:r>
            <w:rPr>
              <w:color w:val="auto"/>
              <w:sz w:val="28"/>
              <w:szCs w:val="28"/>
            </w:rPr>
            <w:tab/>
          </w:r>
          <w:bookmarkStart w:id="4" w:name="_Toc1437_WPSOffice_Level1Page"/>
          <w:r>
            <w:rPr>
              <w:color w:val="auto"/>
              <w:sz w:val="28"/>
              <w:szCs w:val="28"/>
            </w:rPr>
            <w:t>15</w:t>
          </w:r>
          <w:bookmarkEnd w:id="4"/>
          <w:r>
            <w:rPr>
              <w:color w:val="auto"/>
              <w:sz w:val="28"/>
              <w:szCs w:val="28"/>
            </w:rPr>
            <w:fldChar w:fldCharType="end"/>
          </w:r>
        </w:p>
        <w:p w14:paraId="5D3FBAE1">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_Toc14638_WPSOffice_Level1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791322798"/>
              <w:placeholder>
                <w:docPart w:val="{5874f372-ff24-437d-9d38-d3dd8f1dfc24}"/>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黑体" w:cs="Times New Roman"/>
                  <w:color w:val="auto"/>
                  <w:sz w:val="28"/>
                  <w:szCs w:val="28"/>
                </w:rPr>
                <w:t>第四部分 评审办法与评分标准</w:t>
              </w:r>
            </w:sdtContent>
          </w:sdt>
          <w:r>
            <w:rPr>
              <w:color w:val="auto"/>
              <w:sz w:val="28"/>
              <w:szCs w:val="28"/>
            </w:rPr>
            <w:tab/>
          </w:r>
          <w:bookmarkStart w:id="5" w:name="_Toc14638_WPSOffice_Level1Page"/>
          <w:r>
            <w:rPr>
              <w:color w:val="auto"/>
              <w:sz w:val="28"/>
              <w:szCs w:val="28"/>
            </w:rPr>
            <w:t>20</w:t>
          </w:r>
          <w:bookmarkEnd w:id="5"/>
          <w:r>
            <w:rPr>
              <w:color w:val="auto"/>
              <w:sz w:val="28"/>
              <w:szCs w:val="28"/>
            </w:rPr>
            <w:fldChar w:fldCharType="end"/>
          </w:r>
        </w:p>
        <w:p w14:paraId="50AB9B2D">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_Toc9516_WPSOffice_Level1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934533777"/>
              <w:placeholder>
                <w:docPart w:val="{1f334bce-b592-4ed8-983f-c9f50fef6980}"/>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黑体" w:cs="Times New Roman"/>
                  <w:color w:val="auto"/>
                  <w:sz w:val="28"/>
                  <w:szCs w:val="28"/>
                </w:rPr>
                <w:t>第五部分 合同基本条款</w:t>
              </w:r>
            </w:sdtContent>
          </w:sdt>
          <w:r>
            <w:rPr>
              <w:color w:val="auto"/>
              <w:sz w:val="28"/>
              <w:szCs w:val="28"/>
            </w:rPr>
            <w:tab/>
          </w:r>
          <w:bookmarkStart w:id="6" w:name="_Toc9516_WPSOffice_Level1Page"/>
          <w:r>
            <w:rPr>
              <w:color w:val="auto"/>
              <w:sz w:val="28"/>
              <w:szCs w:val="28"/>
            </w:rPr>
            <w:t>23</w:t>
          </w:r>
          <w:bookmarkEnd w:id="6"/>
          <w:r>
            <w:rPr>
              <w:color w:val="auto"/>
              <w:sz w:val="28"/>
              <w:szCs w:val="28"/>
            </w:rPr>
            <w:fldChar w:fldCharType="end"/>
          </w:r>
        </w:p>
        <w:p w14:paraId="6105AB27">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_Toc30799_WPSOffice_Level1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556942205"/>
              <w:placeholder>
                <w:docPart w:val="{eac66ea6-81d2-415e-a71e-2cf6b14295a1}"/>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黑体" w:cs="Times New Roman"/>
                  <w:color w:val="auto"/>
                  <w:sz w:val="28"/>
                  <w:szCs w:val="28"/>
                </w:rPr>
                <w:t>第六部分</w:t>
              </w:r>
              <w:r>
                <w:rPr>
                  <w:rFonts w:ascii="Times New Roman" w:hAnsi="Times New Roman" w:eastAsia="黑体" w:cs="Times New Roman"/>
                  <w:color w:val="auto"/>
                  <w:sz w:val="28"/>
                  <w:szCs w:val="28"/>
                </w:rPr>
                <w:t xml:space="preserve"> </w:t>
              </w:r>
              <w:r>
                <w:rPr>
                  <w:rFonts w:hint="eastAsia" w:ascii="Times New Roman" w:hAnsi="Times New Roman" w:eastAsia="黑体" w:cs="Times New Roman"/>
                  <w:color w:val="auto"/>
                  <w:sz w:val="28"/>
                  <w:szCs w:val="28"/>
                </w:rPr>
                <w:t>响应文件格式</w:t>
              </w:r>
            </w:sdtContent>
          </w:sdt>
          <w:r>
            <w:rPr>
              <w:color w:val="auto"/>
              <w:sz w:val="28"/>
              <w:szCs w:val="28"/>
            </w:rPr>
            <w:tab/>
          </w:r>
          <w:bookmarkStart w:id="7" w:name="_Toc30799_WPSOffice_Level1Page"/>
          <w:r>
            <w:rPr>
              <w:color w:val="auto"/>
              <w:sz w:val="28"/>
              <w:szCs w:val="28"/>
            </w:rPr>
            <w:t>27</w:t>
          </w:r>
          <w:bookmarkEnd w:id="7"/>
          <w:r>
            <w:rPr>
              <w:color w:val="auto"/>
              <w:sz w:val="28"/>
              <w:szCs w:val="28"/>
            </w:rPr>
            <w:fldChar w:fldCharType="end"/>
          </w:r>
        </w:p>
        <w:p w14:paraId="0F17B59B">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_Toc24992_WPSOffice_Level1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935545978"/>
              <w:placeholder>
                <w:docPart w:val="{66051e8e-dbc3-4790-aea2-0475df2a7f29}"/>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宋体" w:cs="Times New Roman"/>
                  <w:color w:val="auto"/>
                  <w:sz w:val="28"/>
                  <w:szCs w:val="28"/>
                </w:rPr>
                <w:t>资格文件</w:t>
              </w:r>
            </w:sdtContent>
          </w:sdt>
          <w:r>
            <w:rPr>
              <w:color w:val="auto"/>
              <w:sz w:val="28"/>
              <w:szCs w:val="28"/>
            </w:rPr>
            <w:tab/>
          </w:r>
          <w:bookmarkStart w:id="8" w:name="_Toc24992_WPSOffice_Level1Page"/>
          <w:r>
            <w:rPr>
              <w:color w:val="auto"/>
              <w:sz w:val="28"/>
              <w:szCs w:val="28"/>
            </w:rPr>
            <w:t>28</w:t>
          </w:r>
          <w:bookmarkEnd w:id="8"/>
          <w:r>
            <w:rPr>
              <w:color w:val="auto"/>
              <w:sz w:val="28"/>
              <w:szCs w:val="28"/>
            </w:rPr>
            <w:fldChar w:fldCharType="end"/>
          </w:r>
        </w:p>
        <w:p w14:paraId="20FC1142">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_Toc30357_WPSOffice_Level1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65290821"/>
              <w:placeholder>
                <w:docPart w:val="{a5658488-2a04-47f2-b77d-445479a13b1c}"/>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1）有效的法人或者其他组织的营业执照等证明文件，自然人的身份证明</w:t>
              </w:r>
            </w:sdtContent>
          </w:sdt>
          <w:r>
            <w:rPr>
              <w:color w:val="auto"/>
              <w:sz w:val="28"/>
              <w:szCs w:val="28"/>
            </w:rPr>
            <w:tab/>
          </w:r>
          <w:bookmarkStart w:id="9" w:name="_Toc30357_WPSOffice_Level1Page"/>
          <w:r>
            <w:rPr>
              <w:color w:val="auto"/>
              <w:sz w:val="28"/>
              <w:szCs w:val="28"/>
            </w:rPr>
            <w:t>28</w:t>
          </w:r>
          <w:bookmarkEnd w:id="9"/>
          <w:r>
            <w:rPr>
              <w:color w:val="auto"/>
              <w:sz w:val="28"/>
              <w:szCs w:val="28"/>
            </w:rPr>
            <w:fldChar w:fldCharType="end"/>
          </w:r>
        </w:p>
        <w:p w14:paraId="4633229E">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_Toc5762_WPSOffice_Level1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325975567"/>
              <w:placeholder>
                <w:docPart w:val="{f3db3106-2b5a-488d-95a1-26d424adfedb}"/>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2）资格条件承诺函</w:t>
              </w:r>
            </w:sdtContent>
          </w:sdt>
          <w:r>
            <w:rPr>
              <w:color w:val="auto"/>
              <w:sz w:val="28"/>
              <w:szCs w:val="28"/>
            </w:rPr>
            <w:tab/>
          </w:r>
          <w:bookmarkStart w:id="10" w:name="_Toc5762_WPSOffice_Level1Page"/>
          <w:r>
            <w:rPr>
              <w:color w:val="auto"/>
              <w:sz w:val="28"/>
              <w:szCs w:val="28"/>
            </w:rPr>
            <w:t>29</w:t>
          </w:r>
          <w:bookmarkEnd w:id="10"/>
          <w:r>
            <w:rPr>
              <w:color w:val="auto"/>
              <w:sz w:val="28"/>
              <w:szCs w:val="28"/>
            </w:rPr>
            <w:fldChar w:fldCharType="end"/>
          </w:r>
        </w:p>
        <w:p w14:paraId="78CE28AD">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_Toc337_WPSOffice_Level1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77884722"/>
              <w:placeholder>
                <w:docPart w:val="{1b6088a2-425e-42aa-ac25-82a27fd6fbc4}"/>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宋体" w:cs="Times New Roman"/>
                  <w:color w:val="auto"/>
                  <w:sz w:val="28"/>
                  <w:szCs w:val="28"/>
                </w:rPr>
                <w:t>报价文件</w:t>
              </w:r>
            </w:sdtContent>
          </w:sdt>
          <w:r>
            <w:rPr>
              <w:color w:val="auto"/>
              <w:sz w:val="28"/>
              <w:szCs w:val="28"/>
            </w:rPr>
            <w:tab/>
          </w:r>
          <w:bookmarkStart w:id="11" w:name="_Toc337_WPSOffice_Level1Page"/>
          <w:r>
            <w:rPr>
              <w:color w:val="auto"/>
              <w:sz w:val="28"/>
              <w:szCs w:val="28"/>
            </w:rPr>
            <w:t>30</w:t>
          </w:r>
          <w:bookmarkEnd w:id="11"/>
          <w:r>
            <w:rPr>
              <w:color w:val="auto"/>
              <w:sz w:val="28"/>
              <w:szCs w:val="28"/>
            </w:rPr>
            <w:fldChar w:fldCharType="end"/>
          </w:r>
        </w:p>
        <w:p w14:paraId="345C1429">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_Toc14612_WPSOffice_Level1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952778840"/>
              <w:placeholder>
                <w:docPart w:val="{c67ce902-064b-4b1f-8c6a-769371a984ab}"/>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（1）初次报价一览表</w:t>
              </w:r>
            </w:sdtContent>
          </w:sdt>
          <w:r>
            <w:rPr>
              <w:color w:val="auto"/>
              <w:sz w:val="28"/>
              <w:szCs w:val="28"/>
            </w:rPr>
            <w:tab/>
          </w:r>
          <w:bookmarkStart w:id="12" w:name="_Toc14612_WPSOffice_Level1Page"/>
          <w:r>
            <w:rPr>
              <w:color w:val="auto"/>
              <w:sz w:val="28"/>
              <w:szCs w:val="28"/>
            </w:rPr>
            <w:t>30</w:t>
          </w:r>
          <w:bookmarkEnd w:id="12"/>
          <w:r>
            <w:rPr>
              <w:color w:val="auto"/>
              <w:sz w:val="28"/>
              <w:szCs w:val="28"/>
            </w:rPr>
            <w:fldChar w:fldCharType="end"/>
          </w:r>
        </w:p>
        <w:p w14:paraId="7DC2870F">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_Toc24936_WPSOffice_Level1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587901297"/>
              <w:placeholder>
                <w:docPart w:val="{5ab5f6e9-b00d-46f7-90c3-5a2e51893f5c}"/>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（2）中小企业声明函（若属于中小企业）</w:t>
              </w:r>
            </w:sdtContent>
          </w:sdt>
          <w:r>
            <w:rPr>
              <w:color w:val="auto"/>
              <w:sz w:val="28"/>
              <w:szCs w:val="28"/>
            </w:rPr>
            <w:tab/>
          </w:r>
          <w:bookmarkStart w:id="13" w:name="_Toc24936_WPSOffice_Level1Page"/>
          <w:r>
            <w:rPr>
              <w:color w:val="auto"/>
              <w:sz w:val="28"/>
              <w:szCs w:val="28"/>
            </w:rPr>
            <w:t>31</w:t>
          </w:r>
          <w:bookmarkEnd w:id="13"/>
          <w:r>
            <w:rPr>
              <w:color w:val="auto"/>
              <w:sz w:val="28"/>
              <w:szCs w:val="28"/>
            </w:rPr>
            <w:fldChar w:fldCharType="end"/>
          </w:r>
        </w:p>
        <w:p w14:paraId="7EB21EEB">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_Toc4351_WPSOffice_Level1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5932323"/>
              <w:placeholder>
                <w:docPart w:val="{2bf07ef0-a86f-4cd1-b1cb-4a1e5f82eb69}"/>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（3）属于监狱企业的证明文件（若属于监狱企业）</w:t>
              </w:r>
            </w:sdtContent>
          </w:sdt>
          <w:r>
            <w:rPr>
              <w:color w:val="auto"/>
              <w:sz w:val="28"/>
              <w:szCs w:val="28"/>
            </w:rPr>
            <w:tab/>
          </w:r>
          <w:bookmarkStart w:id="14" w:name="_Toc4351_WPSOffice_Level1Page"/>
          <w:r>
            <w:rPr>
              <w:color w:val="auto"/>
              <w:sz w:val="28"/>
              <w:szCs w:val="28"/>
            </w:rPr>
            <w:t>33</w:t>
          </w:r>
          <w:bookmarkEnd w:id="14"/>
          <w:r>
            <w:rPr>
              <w:color w:val="auto"/>
              <w:sz w:val="28"/>
              <w:szCs w:val="28"/>
            </w:rPr>
            <w:fldChar w:fldCharType="end"/>
          </w:r>
        </w:p>
        <w:p w14:paraId="4ED3E8ED">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_Toc562_WPSOffice_Level1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648121274"/>
              <w:placeholder>
                <w:docPart w:val="{33da92fc-00c9-449c-864f-2c62a6b7a7d5}"/>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（4）残疾人福利性单位声明函（若属于残疾人福利性单位）</w:t>
              </w:r>
            </w:sdtContent>
          </w:sdt>
          <w:r>
            <w:rPr>
              <w:color w:val="auto"/>
              <w:sz w:val="28"/>
              <w:szCs w:val="28"/>
            </w:rPr>
            <w:tab/>
          </w:r>
          <w:bookmarkStart w:id="15" w:name="_Toc562_WPSOffice_Level1Page"/>
          <w:r>
            <w:rPr>
              <w:color w:val="auto"/>
              <w:sz w:val="28"/>
              <w:szCs w:val="28"/>
            </w:rPr>
            <w:t>34</w:t>
          </w:r>
          <w:bookmarkEnd w:id="15"/>
          <w:r>
            <w:rPr>
              <w:color w:val="auto"/>
              <w:sz w:val="28"/>
              <w:szCs w:val="28"/>
            </w:rPr>
            <w:fldChar w:fldCharType="end"/>
          </w:r>
        </w:p>
        <w:p w14:paraId="03A2F7F0">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_Toc419_WPSOffice_Level1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342887205"/>
              <w:placeholder>
                <w:docPart w:val="{a73c858d-6ff1-4175-a68d-0a6897a523ad}"/>
              </w:placeholder>
            </w:sdtPr>
            <w:sdtEndPr>
              <w:rPr>
                <w:rFonts w:ascii="Times New Roman" w:hAnsi="Times New Roman" w:eastAsia="宋体" w:cs="Times New Roman"/>
                <w:color w:val="auto"/>
                <w:sz w:val="28"/>
                <w:szCs w:val="28"/>
                <w:lang w:val="en-US" w:eastAsia="zh-CN" w:bidi="ar-SA"/>
              </w:rPr>
            </w:sdtEndPr>
            <w:sdtContent>
              <w:r>
                <w:rPr>
                  <w:rFonts w:hint="eastAsia" w:ascii="Times New Roman" w:hAnsi="Times New Roman" w:eastAsia="宋体" w:cs="Times New Roman"/>
                  <w:color w:val="auto"/>
                  <w:sz w:val="28"/>
                  <w:szCs w:val="28"/>
                </w:rPr>
                <w:t>商务和技术文件</w:t>
              </w:r>
            </w:sdtContent>
          </w:sdt>
          <w:r>
            <w:rPr>
              <w:color w:val="auto"/>
              <w:sz w:val="28"/>
              <w:szCs w:val="28"/>
            </w:rPr>
            <w:tab/>
          </w:r>
          <w:bookmarkStart w:id="16" w:name="_Toc419_WPSOffice_Level1Page"/>
          <w:r>
            <w:rPr>
              <w:color w:val="auto"/>
              <w:sz w:val="28"/>
              <w:szCs w:val="28"/>
            </w:rPr>
            <w:t>35</w:t>
          </w:r>
          <w:bookmarkEnd w:id="16"/>
          <w:r>
            <w:rPr>
              <w:color w:val="auto"/>
              <w:sz w:val="28"/>
              <w:szCs w:val="28"/>
            </w:rPr>
            <w:fldChar w:fldCharType="end"/>
          </w:r>
        </w:p>
        <w:p w14:paraId="0AC234F0">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_Toc20838_WPSOffice_Level1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78820365"/>
              <w:placeholder>
                <w:docPart w:val="{2152d906-b0a6-4a3e-9e55-7d16396591a7}"/>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（1）磋商响应函</w:t>
              </w:r>
            </w:sdtContent>
          </w:sdt>
          <w:r>
            <w:rPr>
              <w:color w:val="auto"/>
              <w:sz w:val="28"/>
              <w:szCs w:val="28"/>
            </w:rPr>
            <w:tab/>
          </w:r>
          <w:bookmarkStart w:id="17" w:name="_Toc20838_WPSOffice_Level1Page"/>
          <w:r>
            <w:rPr>
              <w:color w:val="auto"/>
              <w:sz w:val="28"/>
              <w:szCs w:val="28"/>
            </w:rPr>
            <w:t>35</w:t>
          </w:r>
          <w:bookmarkEnd w:id="17"/>
          <w:r>
            <w:rPr>
              <w:color w:val="auto"/>
              <w:sz w:val="28"/>
              <w:szCs w:val="28"/>
            </w:rPr>
            <w:fldChar w:fldCharType="end"/>
          </w:r>
        </w:p>
        <w:p w14:paraId="4E99C1BE">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_Toc25157_WPSOffice_Level1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627541544"/>
              <w:placeholder>
                <w:docPart w:val="{487bb09b-b8c9-4dd3-9d41-49b8d8acc1d5}"/>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（2）法定代表人授权书（非法定代表人参加时提供）</w:t>
              </w:r>
            </w:sdtContent>
          </w:sdt>
          <w:r>
            <w:rPr>
              <w:color w:val="auto"/>
              <w:sz w:val="28"/>
              <w:szCs w:val="28"/>
            </w:rPr>
            <w:tab/>
          </w:r>
          <w:bookmarkStart w:id="18" w:name="_Toc25157_WPSOffice_Level1Page"/>
          <w:r>
            <w:rPr>
              <w:color w:val="auto"/>
              <w:sz w:val="28"/>
              <w:szCs w:val="28"/>
            </w:rPr>
            <w:t>36</w:t>
          </w:r>
          <w:bookmarkEnd w:id="18"/>
          <w:r>
            <w:rPr>
              <w:color w:val="auto"/>
              <w:sz w:val="28"/>
              <w:szCs w:val="28"/>
            </w:rPr>
            <w:fldChar w:fldCharType="end"/>
          </w:r>
        </w:p>
        <w:p w14:paraId="329B33D8">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_Toc12256_WPSOffice_Level1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152575663"/>
              <w:placeholder>
                <w:docPart w:val="{3071e06a-d8ea-417a-a8ac-f5645698cff1}"/>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（3）授权代表社保缴纳证明</w:t>
              </w:r>
            </w:sdtContent>
          </w:sdt>
          <w:r>
            <w:rPr>
              <w:color w:val="auto"/>
              <w:sz w:val="28"/>
              <w:szCs w:val="28"/>
            </w:rPr>
            <w:tab/>
          </w:r>
          <w:bookmarkStart w:id="19" w:name="_Toc12256_WPSOffice_Level1Page"/>
          <w:r>
            <w:rPr>
              <w:color w:val="auto"/>
              <w:sz w:val="28"/>
              <w:szCs w:val="28"/>
            </w:rPr>
            <w:t>37</w:t>
          </w:r>
          <w:bookmarkEnd w:id="19"/>
          <w:r>
            <w:rPr>
              <w:color w:val="auto"/>
              <w:sz w:val="28"/>
              <w:szCs w:val="28"/>
            </w:rPr>
            <w:fldChar w:fldCharType="end"/>
          </w:r>
        </w:p>
        <w:p w14:paraId="772E582B">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_Toc1116_WPSOffice_Level1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198373912"/>
              <w:placeholder>
                <w:docPart w:val="{21f0030d-eb70-423c-98ff-4c1e214fcfbf}"/>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（4）法定代表人资格证明书（法定代表人参加时提供）</w:t>
              </w:r>
            </w:sdtContent>
          </w:sdt>
          <w:r>
            <w:rPr>
              <w:color w:val="auto"/>
              <w:sz w:val="28"/>
              <w:szCs w:val="28"/>
            </w:rPr>
            <w:tab/>
          </w:r>
          <w:bookmarkStart w:id="20" w:name="_Toc1116_WPSOffice_Level1Page"/>
          <w:r>
            <w:rPr>
              <w:color w:val="auto"/>
              <w:sz w:val="28"/>
              <w:szCs w:val="28"/>
            </w:rPr>
            <w:t>38</w:t>
          </w:r>
          <w:bookmarkEnd w:id="20"/>
          <w:r>
            <w:rPr>
              <w:color w:val="auto"/>
              <w:sz w:val="28"/>
              <w:szCs w:val="28"/>
            </w:rPr>
            <w:fldChar w:fldCharType="end"/>
          </w:r>
        </w:p>
        <w:p w14:paraId="2DAF467F">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_Toc21811_WPSOffice_Level1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140784546"/>
              <w:placeholder>
                <w:docPart w:val="{a1940d72-9749-4bb9-a518-601e075fc85f}"/>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（5）采购需求偏离表</w:t>
              </w:r>
            </w:sdtContent>
          </w:sdt>
          <w:r>
            <w:rPr>
              <w:color w:val="auto"/>
              <w:sz w:val="28"/>
              <w:szCs w:val="28"/>
            </w:rPr>
            <w:tab/>
          </w:r>
          <w:bookmarkStart w:id="21" w:name="_Toc21811_WPSOffice_Level1Page"/>
          <w:r>
            <w:rPr>
              <w:color w:val="auto"/>
              <w:sz w:val="28"/>
              <w:szCs w:val="28"/>
            </w:rPr>
            <w:t>39</w:t>
          </w:r>
          <w:bookmarkEnd w:id="21"/>
          <w:r>
            <w:rPr>
              <w:color w:val="auto"/>
              <w:sz w:val="28"/>
              <w:szCs w:val="28"/>
            </w:rPr>
            <w:fldChar w:fldCharType="end"/>
          </w:r>
        </w:p>
        <w:p w14:paraId="3ED27322">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_Toc9528_WPSOffice_Level1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227027654"/>
              <w:placeholder>
                <w:docPart w:val="{c135d540-d41a-40ba-9529-b08cce67a737}"/>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（6）响应方基本情况表</w:t>
              </w:r>
            </w:sdtContent>
          </w:sdt>
          <w:r>
            <w:rPr>
              <w:color w:val="auto"/>
              <w:sz w:val="28"/>
              <w:szCs w:val="28"/>
            </w:rPr>
            <w:tab/>
          </w:r>
          <w:bookmarkStart w:id="22" w:name="_Toc9528_WPSOffice_Level1Page"/>
          <w:r>
            <w:rPr>
              <w:color w:val="auto"/>
              <w:sz w:val="28"/>
              <w:szCs w:val="28"/>
            </w:rPr>
            <w:t>40</w:t>
          </w:r>
          <w:bookmarkEnd w:id="22"/>
          <w:r>
            <w:rPr>
              <w:color w:val="auto"/>
              <w:sz w:val="28"/>
              <w:szCs w:val="28"/>
            </w:rPr>
            <w:fldChar w:fldCharType="end"/>
          </w:r>
        </w:p>
        <w:p w14:paraId="2D34AFBF">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_Toc9529_WPSOffice_Level1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775165356"/>
              <w:placeholder>
                <w:docPart w:val="{0ca52b38-86f4-4a97-9d9c-5c4ebebf7776}"/>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（7）供应商同类合同一览表</w:t>
              </w:r>
            </w:sdtContent>
          </w:sdt>
          <w:r>
            <w:rPr>
              <w:color w:val="auto"/>
              <w:sz w:val="28"/>
              <w:szCs w:val="28"/>
            </w:rPr>
            <w:tab/>
          </w:r>
          <w:bookmarkStart w:id="23" w:name="_Toc9529_WPSOffice_Level1Page"/>
          <w:r>
            <w:rPr>
              <w:color w:val="auto"/>
              <w:sz w:val="28"/>
              <w:szCs w:val="28"/>
            </w:rPr>
            <w:t>41</w:t>
          </w:r>
          <w:bookmarkEnd w:id="23"/>
          <w:r>
            <w:rPr>
              <w:color w:val="auto"/>
              <w:sz w:val="28"/>
              <w:szCs w:val="28"/>
            </w:rPr>
            <w:fldChar w:fldCharType="end"/>
          </w:r>
        </w:p>
        <w:p w14:paraId="0C669E46">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_Toc28146_WPSOffice_Level1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413971238"/>
              <w:placeholder>
                <w:docPart w:val="{36f3d42f-148e-462f-a4e5-a38dd1fe4c97}"/>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（8）详细技术和服务方案</w:t>
              </w:r>
            </w:sdtContent>
          </w:sdt>
          <w:r>
            <w:rPr>
              <w:color w:val="auto"/>
              <w:sz w:val="28"/>
              <w:szCs w:val="28"/>
            </w:rPr>
            <w:tab/>
          </w:r>
          <w:bookmarkStart w:id="24" w:name="_Toc28146_WPSOffice_Level1Page"/>
          <w:r>
            <w:rPr>
              <w:color w:val="auto"/>
              <w:sz w:val="28"/>
              <w:szCs w:val="28"/>
            </w:rPr>
            <w:t>42</w:t>
          </w:r>
          <w:bookmarkEnd w:id="24"/>
          <w:r>
            <w:rPr>
              <w:color w:val="auto"/>
              <w:sz w:val="28"/>
              <w:szCs w:val="28"/>
            </w:rPr>
            <w:fldChar w:fldCharType="end"/>
          </w:r>
        </w:p>
        <w:p w14:paraId="41F23C4F">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_Toc11974_WPSOffice_Level1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364168551"/>
              <w:placeholder>
                <w:docPart w:val="{ce13949c-6bd8-4764-893f-202cc4386348}"/>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（9）项目组成员一览表</w:t>
              </w:r>
            </w:sdtContent>
          </w:sdt>
          <w:r>
            <w:rPr>
              <w:color w:val="auto"/>
              <w:sz w:val="28"/>
              <w:szCs w:val="28"/>
            </w:rPr>
            <w:tab/>
          </w:r>
          <w:bookmarkStart w:id="25" w:name="_Toc11974_WPSOffice_Level1Page"/>
          <w:r>
            <w:rPr>
              <w:color w:val="auto"/>
              <w:sz w:val="28"/>
              <w:szCs w:val="28"/>
            </w:rPr>
            <w:t>42</w:t>
          </w:r>
          <w:bookmarkEnd w:id="25"/>
          <w:r>
            <w:rPr>
              <w:color w:val="auto"/>
              <w:sz w:val="28"/>
              <w:szCs w:val="28"/>
            </w:rPr>
            <w:fldChar w:fldCharType="end"/>
          </w:r>
        </w:p>
        <w:p w14:paraId="77141C64">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_Toc31682_WPSOffice_Level1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510931928"/>
              <w:placeholder>
                <w:docPart w:val="{93e466d3-1bb6-49fd-811b-1a159b098459}"/>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（10）关于对磋商文件中有关条款的拒绝声明(如有)</w:t>
              </w:r>
            </w:sdtContent>
          </w:sdt>
          <w:r>
            <w:rPr>
              <w:color w:val="auto"/>
              <w:sz w:val="28"/>
              <w:szCs w:val="28"/>
            </w:rPr>
            <w:tab/>
          </w:r>
          <w:bookmarkStart w:id="26" w:name="_Toc31682_WPSOffice_Level1Page"/>
          <w:r>
            <w:rPr>
              <w:color w:val="auto"/>
              <w:sz w:val="28"/>
              <w:szCs w:val="28"/>
            </w:rPr>
            <w:t>42</w:t>
          </w:r>
          <w:bookmarkEnd w:id="26"/>
          <w:r>
            <w:rPr>
              <w:color w:val="auto"/>
              <w:sz w:val="28"/>
              <w:szCs w:val="28"/>
            </w:rPr>
            <w:fldChar w:fldCharType="end"/>
          </w:r>
        </w:p>
        <w:p w14:paraId="307B1944">
          <w:pPr>
            <w:pStyle w:val="196"/>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8"/>
              <w:szCs w:val="28"/>
            </w:rPr>
          </w:pPr>
          <w:r>
            <w:rPr>
              <w:color w:val="auto"/>
              <w:sz w:val="28"/>
              <w:szCs w:val="28"/>
            </w:rPr>
            <w:fldChar w:fldCharType="begin"/>
          </w:r>
          <w:r>
            <w:rPr>
              <w:color w:val="auto"/>
              <w:sz w:val="28"/>
              <w:szCs w:val="28"/>
            </w:rPr>
            <w:instrText xml:space="preserve"> HYPERLINK \l _Toc1301_WPSOffice_Level1 </w:instrText>
          </w:r>
          <w:r>
            <w:rPr>
              <w:color w:val="auto"/>
              <w:sz w:val="28"/>
              <w:szCs w:val="28"/>
            </w:rPr>
            <w:fldChar w:fldCharType="separate"/>
          </w:r>
          <w:sdt>
            <w:sdtPr>
              <w:rPr>
                <w:rFonts w:ascii="Times New Roman" w:hAnsi="Times New Roman" w:eastAsia="宋体" w:cs="Times New Roman"/>
                <w:color w:val="auto"/>
                <w:sz w:val="28"/>
                <w:szCs w:val="28"/>
                <w:lang w:val="en-US" w:eastAsia="zh-CN" w:bidi="ar-SA"/>
              </w:rPr>
              <w:id w:val="246213884"/>
              <w:placeholder>
                <w:docPart w:val="{61183371-60a9-4584-9612-3bdd2e86048c}"/>
              </w:placeholder>
            </w:sdtPr>
            <w:sdtEndPr>
              <w:rPr>
                <w:rFonts w:ascii="Times New Roman" w:hAnsi="Times New Roman" w:eastAsia="宋体" w:cs="Times New Roman"/>
                <w:color w:val="auto"/>
                <w:sz w:val="28"/>
                <w:szCs w:val="28"/>
                <w:lang w:val="en-US" w:eastAsia="zh-CN" w:bidi="ar-SA"/>
              </w:rPr>
            </w:sdtEndPr>
            <w:sdtContent>
              <w:r>
                <w:rPr>
                  <w:rFonts w:hint="eastAsia" w:ascii="宋体" w:hAnsi="Times New Roman" w:eastAsia="宋体" w:cs="Times New Roman"/>
                  <w:color w:val="auto"/>
                  <w:sz w:val="28"/>
                  <w:szCs w:val="28"/>
                </w:rPr>
                <w:t>评分标准索引表</w:t>
              </w:r>
            </w:sdtContent>
          </w:sdt>
          <w:r>
            <w:rPr>
              <w:color w:val="auto"/>
              <w:sz w:val="28"/>
              <w:szCs w:val="28"/>
            </w:rPr>
            <w:tab/>
          </w:r>
          <w:bookmarkStart w:id="27" w:name="_Toc1301_WPSOffice_Level1Page"/>
          <w:r>
            <w:rPr>
              <w:color w:val="auto"/>
              <w:sz w:val="28"/>
              <w:szCs w:val="28"/>
            </w:rPr>
            <w:t>43</w:t>
          </w:r>
          <w:bookmarkEnd w:id="27"/>
          <w:r>
            <w:rPr>
              <w:color w:val="auto"/>
              <w:sz w:val="28"/>
              <w:szCs w:val="28"/>
            </w:rPr>
            <w:fldChar w:fldCharType="end"/>
          </w:r>
        </w:p>
        <w:bookmarkEnd w:id="1"/>
        <w:p w14:paraId="0DD9EA5B">
          <w:pPr>
            <w:pStyle w:val="196"/>
            <w:tabs>
              <w:tab w:val="right" w:leader="dot" w:pos="9413"/>
            </w:tabs>
            <w:rPr>
              <w:color w:val="auto"/>
            </w:rPr>
          </w:pPr>
        </w:p>
      </w:sdtContent>
    </w:sdt>
    <w:p w14:paraId="600F8405">
      <w:pPr>
        <w:pStyle w:val="26"/>
        <w:tabs>
          <w:tab w:val="right" w:leader="dot" w:pos="9413"/>
        </w:tabs>
        <w:outlineLvl w:val="1"/>
        <w:rPr>
          <w:color w:val="auto"/>
          <w:sz w:val="28"/>
          <w:szCs w:val="28"/>
        </w:rPr>
      </w:pPr>
      <w:r>
        <w:rPr>
          <w:color w:val="auto"/>
          <w:sz w:val="28"/>
          <w:szCs w:val="28"/>
        </w:rPr>
        <w:fldChar w:fldCharType="begin"/>
      </w:r>
      <w:r>
        <w:rPr>
          <w:color w:val="auto"/>
          <w:sz w:val="28"/>
          <w:szCs w:val="28"/>
        </w:rPr>
        <w:instrText xml:space="preserve">TOC \o "1-3" \h \u </w:instrText>
      </w:r>
      <w:r>
        <w:rPr>
          <w:color w:val="auto"/>
          <w:sz w:val="28"/>
          <w:szCs w:val="28"/>
        </w:rPr>
        <w:fldChar w:fldCharType="separate"/>
      </w:r>
    </w:p>
    <w:p w14:paraId="210184A7">
      <w:pPr>
        <w:rPr>
          <w:color w:val="auto"/>
        </w:rPr>
      </w:pPr>
      <w:r>
        <w:rPr>
          <w:color w:val="auto"/>
          <w:sz w:val="28"/>
          <w:szCs w:val="28"/>
        </w:rPr>
        <w:fldChar w:fldCharType="end"/>
      </w:r>
    </w:p>
    <w:p w14:paraId="60CAD35A">
      <w:pPr>
        <w:pStyle w:val="2"/>
        <w:tabs>
          <w:tab w:val="right" w:leader="dot" w:pos="9000"/>
        </w:tabs>
        <w:snapToGrid w:val="0"/>
        <w:spacing w:before="0" w:after="0"/>
        <w:outlineLvl w:val="0"/>
        <w:rPr>
          <w:rStyle w:val="55"/>
          <w:b/>
          <w:color w:val="auto"/>
        </w:rPr>
      </w:pPr>
      <w:r>
        <w:rPr>
          <w:color w:val="auto"/>
          <w:sz w:val="24"/>
        </w:rPr>
        <w:br w:type="page"/>
      </w:r>
      <w:bookmarkStart w:id="28" w:name="_Toc118516209"/>
      <w:bookmarkStart w:id="29" w:name="_Toc171394907"/>
      <w:bookmarkStart w:id="30" w:name="_Toc7321"/>
      <w:bookmarkStart w:id="31" w:name="_Toc25841"/>
      <w:bookmarkStart w:id="32" w:name="_Toc32138_WPSOffice_Level1"/>
      <w:bookmarkStart w:id="33" w:name="_Toc14546"/>
      <w:bookmarkStart w:id="34" w:name="_Toc17969"/>
      <w:bookmarkStart w:id="35" w:name="_Toc433537961"/>
      <w:bookmarkStart w:id="36" w:name="_Toc20259"/>
      <w:bookmarkStart w:id="37" w:name="_Toc10391"/>
      <w:bookmarkStart w:id="38" w:name="_Toc4547"/>
      <w:bookmarkStart w:id="39" w:name="_Toc12052"/>
      <w:bookmarkStart w:id="40" w:name="_Toc10026"/>
      <w:bookmarkStart w:id="41" w:name="_Toc3034"/>
      <w:bookmarkStart w:id="42" w:name="_Toc938"/>
      <w:bookmarkStart w:id="43" w:name="_Toc23298"/>
      <w:bookmarkStart w:id="44" w:name="_Toc25143"/>
      <w:bookmarkStart w:id="45" w:name="_Toc29438"/>
      <w:bookmarkStart w:id="46" w:name="_Toc9769"/>
      <w:bookmarkStart w:id="47" w:name="_Toc24330"/>
      <w:bookmarkStart w:id="48" w:name="_Toc440"/>
      <w:bookmarkStart w:id="49" w:name="_Toc6441"/>
      <w:bookmarkStart w:id="50" w:name="_Toc7090"/>
      <w:bookmarkStart w:id="51" w:name="_Toc9280"/>
      <w:bookmarkStart w:id="52" w:name="_Toc14280"/>
      <w:bookmarkStart w:id="53" w:name="_Toc13062"/>
      <w:bookmarkStart w:id="54" w:name="_Toc4488"/>
      <w:bookmarkStart w:id="55" w:name="_Toc15311"/>
      <w:bookmarkStart w:id="56" w:name="_Toc27478"/>
      <w:bookmarkStart w:id="57" w:name="_Toc29876"/>
      <w:bookmarkStart w:id="58" w:name="_Toc32381"/>
      <w:bookmarkStart w:id="59" w:name="_Toc32496"/>
      <w:bookmarkStart w:id="60" w:name="_Toc3154"/>
      <w:bookmarkStart w:id="61" w:name="_Toc12840"/>
      <w:bookmarkStart w:id="62" w:name="_Toc16674"/>
      <w:bookmarkStart w:id="63" w:name="_Toc9372"/>
      <w:r>
        <w:rPr>
          <w:rStyle w:val="55"/>
          <w:rFonts w:hint="eastAsia"/>
          <w:b/>
          <w:color w:val="auto"/>
        </w:rPr>
        <w:t>第一部分</w:t>
      </w:r>
      <w:bookmarkEnd w:id="28"/>
      <w:r>
        <w:rPr>
          <w:rStyle w:val="55"/>
          <w:b/>
          <w:color w:val="auto"/>
        </w:rPr>
        <w:t xml:space="preserve"> </w:t>
      </w:r>
      <w:r>
        <w:rPr>
          <w:rStyle w:val="55"/>
          <w:rFonts w:hint="eastAsia"/>
          <w:b/>
          <w:color w:val="auto"/>
        </w:rPr>
        <w:t>竞争性磋商</w:t>
      </w:r>
      <w:bookmarkEnd w:id="29"/>
      <w:r>
        <w:rPr>
          <w:rStyle w:val="55"/>
          <w:rFonts w:hint="eastAsia"/>
          <w:b/>
          <w:color w:val="auto"/>
        </w:rPr>
        <w:t>公告</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4AC926C5">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64" w:name="_Toc171394908"/>
      <w:bookmarkStart w:id="65" w:name="_Toc309064919"/>
      <w:bookmarkStart w:id="66" w:name="_Toc171394910"/>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w:t>
      </w:r>
      <w:r>
        <w:rPr>
          <w:rFonts w:hint="eastAsia" w:asciiTheme="minorEastAsia" w:hAnsiTheme="minorEastAsia" w:eastAsiaTheme="minorEastAsia" w:cstheme="minorEastAsia"/>
          <w:color w:val="auto"/>
          <w:sz w:val="24"/>
          <w:szCs w:val="24"/>
        </w:rPr>
        <w:t>府采购法实施条例》、《政府采购竞争性磋商采购方式管理暂行办法》、《浙江省政府采购活动现场组织管理办法》等法律法规部分相关条款，现就杭州电子科技大学绍兴校区电脑多媒体、实验室及设备、机房运维驻校服务项目进行竞争性磋商(简称磋商)采购，欢迎国内合格的供应商前来参加。</w:t>
      </w:r>
    </w:p>
    <w:p w14:paraId="4A705374">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67" w:name="_Toc28017"/>
      <w:bookmarkStart w:id="68" w:name="_Toc6517"/>
      <w:bookmarkStart w:id="69" w:name="_Toc21083"/>
      <w:bookmarkStart w:id="70" w:name="_Toc25225"/>
      <w:bookmarkStart w:id="71" w:name="_Toc10031"/>
      <w:bookmarkStart w:id="72" w:name="_Toc19591"/>
      <w:bookmarkStart w:id="73" w:name="_Toc12969"/>
      <w:bookmarkStart w:id="74" w:name="_Toc433537963"/>
      <w:bookmarkStart w:id="75" w:name="_Toc183786415"/>
      <w:r>
        <w:rPr>
          <w:rFonts w:hint="eastAsia" w:asciiTheme="minorEastAsia" w:hAnsiTheme="minorEastAsia" w:eastAsiaTheme="minorEastAsia" w:cstheme="minorEastAsia"/>
          <w:b/>
          <w:bCs/>
          <w:color w:val="auto"/>
          <w:sz w:val="24"/>
          <w:szCs w:val="24"/>
        </w:rPr>
        <w:t>一、</w:t>
      </w:r>
      <w:bookmarkEnd w:id="64"/>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w:t>
      </w:r>
      <w:r>
        <w:rPr>
          <w:rFonts w:hint="eastAsia" w:asciiTheme="minorEastAsia" w:hAnsiTheme="minorEastAsia" w:eastAsiaTheme="minorEastAsia" w:cstheme="minorEastAsia"/>
          <w:color w:val="auto"/>
          <w:sz w:val="24"/>
          <w:szCs w:val="24"/>
          <w:lang w:val="en-US" w:eastAsia="zh-CN"/>
        </w:rPr>
        <w:t>13</w:t>
      </w:r>
    </w:p>
    <w:p w14:paraId="31805AC4">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1EB9FDB4">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3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3060"/>
        <w:gridCol w:w="2205"/>
        <w:gridCol w:w="1230"/>
        <w:gridCol w:w="2040"/>
      </w:tblGrid>
      <w:tr w14:paraId="7B3C4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59" w:type="dxa"/>
            <w:vAlign w:val="center"/>
          </w:tcPr>
          <w:p w14:paraId="0588D987">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序号</w:t>
            </w:r>
          </w:p>
        </w:tc>
        <w:tc>
          <w:tcPr>
            <w:tcW w:w="3060" w:type="dxa"/>
            <w:tcBorders>
              <w:right w:val="single" w:color="auto" w:sz="4" w:space="0"/>
            </w:tcBorders>
            <w:vAlign w:val="center"/>
          </w:tcPr>
          <w:p w14:paraId="4FC04200">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项目名称</w:t>
            </w:r>
          </w:p>
        </w:tc>
        <w:tc>
          <w:tcPr>
            <w:tcW w:w="2205" w:type="dxa"/>
            <w:tcBorders>
              <w:right w:val="single" w:color="000000" w:sz="4" w:space="0"/>
            </w:tcBorders>
            <w:vAlign w:val="center"/>
          </w:tcPr>
          <w:p w14:paraId="6E3F5C2D">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简述</w:t>
            </w:r>
          </w:p>
        </w:tc>
        <w:tc>
          <w:tcPr>
            <w:tcW w:w="1230" w:type="dxa"/>
            <w:tcBorders>
              <w:left w:val="single" w:color="000000" w:sz="4" w:space="0"/>
            </w:tcBorders>
            <w:vAlign w:val="center"/>
          </w:tcPr>
          <w:p w14:paraId="197606D1">
            <w:pPr>
              <w:spacing w:line="400" w:lineRule="exact"/>
              <w:jc w:val="center"/>
              <w:rPr>
                <w:rFonts w:hint="default" w:ascii="宋体" w:hAnsi="宋体" w:eastAsia="宋体" w:cs="宋体"/>
                <w:bCs/>
                <w:color w:val="auto"/>
                <w:spacing w:val="-6"/>
                <w:sz w:val="24"/>
                <w:lang w:val="en-US" w:eastAsia="zh-CN"/>
              </w:rPr>
            </w:pPr>
            <w:r>
              <w:rPr>
                <w:rFonts w:hint="eastAsia" w:ascii="宋体" w:hAnsi="宋体" w:cs="宋体"/>
                <w:bCs/>
                <w:color w:val="auto"/>
                <w:spacing w:val="-6"/>
                <w:sz w:val="24"/>
                <w:lang w:val="en-US" w:eastAsia="zh-CN"/>
              </w:rPr>
              <w:t>服务期限</w:t>
            </w:r>
          </w:p>
        </w:tc>
        <w:tc>
          <w:tcPr>
            <w:tcW w:w="2040" w:type="dxa"/>
            <w:vAlign w:val="center"/>
          </w:tcPr>
          <w:p w14:paraId="0F780AB4">
            <w:pPr>
              <w:spacing w:line="400" w:lineRule="exact"/>
              <w:ind w:firstLine="211"/>
              <w:jc w:val="center"/>
              <w:rPr>
                <w:rFonts w:ascii="宋体" w:hAnsi="宋体" w:cs="宋体"/>
                <w:bCs/>
                <w:color w:val="auto"/>
                <w:spacing w:val="-6"/>
                <w:sz w:val="24"/>
              </w:rPr>
            </w:pPr>
            <w:r>
              <w:rPr>
                <w:rFonts w:hint="eastAsia" w:ascii="宋体" w:hAnsi="宋体" w:cs="宋体"/>
                <w:bCs/>
                <w:color w:val="auto"/>
                <w:spacing w:val="-6"/>
                <w:sz w:val="24"/>
              </w:rPr>
              <w:t>预算</w:t>
            </w:r>
          </w:p>
        </w:tc>
      </w:tr>
      <w:tr w14:paraId="4BBBB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859" w:type="dxa"/>
            <w:vAlign w:val="center"/>
          </w:tcPr>
          <w:p w14:paraId="75122AAC">
            <w:pPr>
              <w:spacing w:line="420" w:lineRule="exact"/>
              <w:jc w:val="center"/>
              <w:rPr>
                <w:rFonts w:ascii="宋体" w:hAnsi="宋体"/>
                <w:color w:val="auto"/>
                <w:kern w:val="0"/>
                <w:sz w:val="24"/>
              </w:rPr>
            </w:pPr>
            <w:r>
              <w:rPr>
                <w:rFonts w:hint="eastAsia" w:ascii="宋体" w:hAnsi="宋体"/>
                <w:color w:val="auto"/>
                <w:kern w:val="0"/>
                <w:sz w:val="24"/>
              </w:rPr>
              <w:t>1</w:t>
            </w:r>
          </w:p>
        </w:tc>
        <w:tc>
          <w:tcPr>
            <w:tcW w:w="3060" w:type="dxa"/>
            <w:tcBorders>
              <w:right w:val="single" w:color="auto" w:sz="4" w:space="0"/>
            </w:tcBorders>
            <w:vAlign w:val="center"/>
          </w:tcPr>
          <w:p w14:paraId="616B8DFA">
            <w:pPr>
              <w:spacing w:line="420" w:lineRule="exact"/>
              <w:jc w:val="center"/>
              <w:rPr>
                <w:rFonts w:ascii="宋体" w:hAnsi="宋体"/>
                <w:color w:val="auto"/>
                <w:kern w:val="0"/>
                <w:sz w:val="24"/>
              </w:rPr>
            </w:pPr>
            <w:r>
              <w:rPr>
                <w:rFonts w:hint="eastAsia" w:ascii="宋体" w:hAnsi="宋体"/>
                <w:color w:val="auto"/>
                <w:kern w:val="0"/>
                <w:sz w:val="24"/>
              </w:rPr>
              <w:t>杭州电子科技大学绍兴校区电脑多媒体、实验室及设备、机房运维驻校服务</w:t>
            </w:r>
          </w:p>
        </w:tc>
        <w:tc>
          <w:tcPr>
            <w:tcW w:w="2205" w:type="dxa"/>
            <w:tcBorders>
              <w:right w:val="single" w:color="000000" w:sz="4" w:space="0"/>
            </w:tcBorders>
            <w:vAlign w:val="center"/>
          </w:tcPr>
          <w:p w14:paraId="1ED61B87">
            <w:pPr>
              <w:spacing w:line="420" w:lineRule="exact"/>
              <w:jc w:val="center"/>
              <w:rPr>
                <w:rFonts w:hint="default" w:ascii="宋体" w:hAnsi="宋体" w:eastAsia="宋体"/>
                <w:color w:val="auto"/>
                <w:kern w:val="0"/>
                <w:sz w:val="24"/>
                <w:lang w:val="en-US" w:eastAsia="zh-CN"/>
              </w:rPr>
            </w:pPr>
            <w:r>
              <w:rPr>
                <w:rFonts w:hint="eastAsia" w:ascii="宋体" w:hAnsi="宋体"/>
                <w:color w:val="auto"/>
                <w:kern w:val="0"/>
                <w:sz w:val="24"/>
                <w:lang w:val="en-US" w:eastAsia="zh-CN"/>
              </w:rPr>
              <w:t>详见采购需求</w:t>
            </w:r>
          </w:p>
        </w:tc>
        <w:tc>
          <w:tcPr>
            <w:tcW w:w="1230" w:type="dxa"/>
            <w:tcBorders>
              <w:left w:val="single" w:color="000000" w:sz="4" w:space="0"/>
            </w:tcBorders>
            <w:vAlign w:val="center"/>
          </w:tcPr>
          <w:p w14:paraId="0AC033CB">
            <w:pPr>
              <w:spacing w:line="420" w:lineRule="exact"/>
              <w:jc w:val="center"/>
              <w:rPr>
                <w:rFonts w:hint="default" w:ascii="宋体" w:hAnsi="宋体" w:eastAsia="宋体"/>
                <w:color w:val="auto"/>
                <w:kern w:val="0"/>
                <w:sz w:val="24"/>
                <w:lang w:val="en-US" w:eastAsia="zh-CN"/>
              </w:rPr>
            </w:pPr>
            <w:r>
              <w:rPr>
                <w:rFonts w:hint="eastAsia" w:ascii="宋体" w:hAnsi="宋体"/>
                <w:color w:val="auto"/>
                <w:kern w:val="0"/>
                <w:sz w:val="24"/>
                <w:lang w:val="en-US" w:eastAsia="zh-CN"/>
              </w:rPr>
              <w:t>1年</w:t>
            </w:r>
          </w:p>
        </w:tc>
        <w:tc>
          <w:tcPr>
            <w:tcW w:w="2040" w:type="dxa"/>
            <w:vAlign w:val="center"/>
          </w:tcPr>
          <w:p w14:paraId="0A296C7A">
            <w:pPr>
              <w:spacing w:line="420" w:lineRule="exact"/>
              <w:jc w:val="center"/>
              <w:rPr>
                <w:rFonts w:hint="eastAsia" w:ascii="宋体" w:hAnsi="宋体" w:eastAsia="宋体"/>
                <w:color w:val="auto"/>
                <w:kern w:val="0"/>
                <w:sz w:val="24"/>
                <w:lang w:val="en-US" w:eastAsia="zh-CN"/>
              </w:rPr>
            </w:pPr>
            <w:r>
              <w:rPr>
                <w:rFonts w:hint="eastAsia" w:ascii="宋体" w:hAnsi="宋体" w:cs="宋体"/>
                <w:color w:val="auto"/>
                <w:sz w:val="24"/>
              </w:rPr>
              <w:t>480000</w:t>
            </w:r>
            <w:r>
              <w:rPr>
                <w:rFonts w:hint="eastAsia" w:ascii="宋体" w:hAnsi="宋体" w:cs="宋体"/>
                <w:color w:val="auto"/>
                <w:sz w:val="24"/>
                <w:lang w:val="en-US" w:eastAsia="zh-CN"/>
              </w:rPr>
              <w:t>元</w:t>
            </w:r>
          </w:p>
        </w:tc>
      </w:tr>
    </w:tbl>
    <w:p w14:paraId="39FD3656">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65"/>
      <w:bookmarkEnd w:id="66"/>
    </w:p>
    <w:p w14:paraId="6F26DFC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671982B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76" w:name="_Toc171394913"/>
      <w:r>
        <w:rPr>
          <w:rFonts w:hint="eastAsia" w:ascii="宋体" w:hAnsi="宋体"/>
          <w:color w:val="auto"/>
          <w:sz w:val="24"/>
          <w:szCs w:val="24"/>
        </w:rPr>
        <w:t>2.落实政府采购政策需满足的资格要求：无。</w:t>
      </w:r>
    </w:p>
    <w:p w14:paraId="3BDF1210">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339ECC4F">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6AA9B131">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9</w:t>
      </w:r>
      <w:r>
        <w:rPr>
          <w:rFonts w:hint="eastAsia" w:ascii="宋体" w:hAnsi="宋体"/>
          <w:color w:val="auto"/>
          <w:sz w:val="24"/>
          <w:szCs w:val="24"/>
        </w:rPr>
        <w:t>月</w:t>
      </w:r>
      <w:r>
        <w:rPr>
          <w:rFonts w:hint="eastAsia" w:ascii="宋体" w:hAnsi="宋体"/>
          <w:color w:val="auto"/>
          <w:sz w:val="24"/>
          <w:szCs w:val="24"/>
          <w:lang w:val="en-US" w:eastAsia="zh-CN"/>
        </w:rPr>
        <w:t>2</w:t>
      </w:r>
      <w:r>
        <w:rPr>
          <w:rFonts w:hint="default" w:ascii="宋体" w:hAnsi="宋体"/>
          <w:color w:val="auto"/>
          <w:sz w:val="24"/>
          <w:szCs w:val="24"/>
          <w:woUserID w:val="1"/>
        </w:rPr>
        <w:t>1</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10</w:t>
      </w:r>
      <w:r>
        <w:rPr>
          <w:rFonts w:hint="eastAsia" w:ascii="宋体" w:hAnsi="宋体"/>
          <w:color w:val="auto"/>
          <w:sz w:val="24"/>
          <w:szCs w:val="24"/>
        </w:rPr>
        <w:t>月</w:t>
      </w:r>
      <w:r>
        <w:rPr>
          <w:rFonts w:hint="default" w:ascii="宋体" w:hAnsi="宋体"/>
          <w:color w:val="auto"/>
          <w:sz w:val="24"/>
          <w:szCs w:val="24"/>
          <w:woUserID w:val="1"/>
        </w:rPr>
        <w:t>9</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6A468683">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68A459E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w:t>
      </w:r>
      <w:r>
        <w:rPr>
          <w:rFonts w:hint="eastAsia" w:ascii="宋体" w:hAnsi="宋体"/>
          <w:color w:val="auto"/>
          <w:sz w:val="24"/>
          <w:szCs w:val="24"/>
        </w:rPr>
        <w:t>购”应用，在获取采购文件菜单中选择项目，申请获取采购文件。</w:t>
      </w:r>
    </w:p>
    <w:p w14:paraId="09CA5DF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14:paraId="0423313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14D3158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655A96B7">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3F1458C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10</w:t>
      </w:r>
      <w:r>
        <w:rPr>
          <w:rFonts w:hint="eastAsia" w:ascii="宋体" w:hAnsi="宋体"/>
          <w:b/>
          <w:bCs/>
          <w:color w:val="auto"/>
          <w:sz w:val="24"/>
          <w:szCs w:val="24"/>
        </w:rPr>
        <w:t>月</w:t>
      </w:r>
      <w:r>
        <w:rPr>
          <w:rFonts w:hint="default" w:ascii="宋体" w:hAnsi="宋体"/>
          <w:b/>
          <w:bCs/>
          <w:color w:val="auto"/>
          <w:sz w:val="24"/>
          <w:szCs w:val="24"/>
          <w:woUserID w:val="1"/>
        </w:rPr>
        <w:t>9</w:t>
      </w:r>
      <w:r>
        <w:rPr>
          <w:rFonts w:hint="eastAsia" w:ascii="宋体" w:hAnsi="宋体"/>
          <w:b/>
          <w:bCs/>
          <w:color w:val="auto"/>
          <w:sz w:val="24"/>
          <w:szCs w:val="24"/>
        </w:rPr>
        <w:t>日</w:t>
      </w:r>
      <w:r>
        <w:rPr>
          <w:rFonts w:hint="eastAsia" w:ascii="宋体" w:hAnsi="宋体"/>
          <w:b/>
          <w:bCs/>
          <w:color w:val="auto"/>
          <w:sz w:val="24"/>
          <w:szCs w:val="24"/>
        </w:rPr>
        <w:t xml:space="preserve">上午9时 </w:t>
      </w:r>
    </w:p>
    <w:p w14:paraId="4BBF9A9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65FBEE2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2AD9BF33">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10</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9</w:t>
      </w:r>
      <w:r>
        <w:rPr>
          <w:rFonts w:hint="eastAsia" w:ascii="宋体" w:hAnsi="宋体"/>
          <w:b/>
          <w:bCs/>
          <w:color w:val="auto"/>
          <w:sz w:val="24"/>
          <w:szCs w:val="24"/>
          <w:lang w:val="en-US" w:eastAsia="zh-CN"/>
        </w:rPr>
        <w:t>日</w:t>
      </w:r>
      <w:r>
        <w:rPr>
          <w:rFonts w:hint="eastAsia" w:ascii="宋体" w:hAnsi="宋体"/>
          <w:b/>
          <w:bCs/>
          <w:color w:val="auto"/>
          <w:sz w:val="24"/>
          <w:szCs w:val="24"/>
          <w:lang w:val="en-US" w:eastAsia="zh-CN"/>
        </w:rPr>
        <w:t xml:space="preserve">上午9时 </w:t>
      </w:r>
    </w:p>
    <w:p w14:paraId="4F0455DC">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430BDE0B">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77" w:name="OLE_LINK5"/>
      <w:r>
        <w:rPr>
          <w:rFonts w:hint="eastAsia" w:asciiTheme="minorEastAsia" w:hAnsiTheme="minorEastAsia" w:eastAsiaTheme="minorEastAsia" w:cstheme="minorEastAsia"/>
          <w:b/>
          <w:bCs/>
          <w:color w:val="auto"/>
          <w:sz w:val="24"/>
          <w:szCs w:val="24"/>
        </w:rPr>
        <w:t>公告期限</w:t>
      </w:r>
      <w:bookmarkEnd w:id="77"/>
    </w:p>
    <w:p w14:paraId="66531D81">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34A75B1A">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w:t>
      </w:r>
      <w:r>
        <w:rPr>
          <w:rFonts w:hint="eastAsia" w:asciiTheme="minorEastAsia" w:hAnsiTheme="minorEastAsia" w:eastAsiaTheme="minorEastAsia" w:cstheme="minorEastAsia"/>
          <w:b/>
          <w:bCs/>
          <w:color w:val="auto"/>
          <w:sz w:val="24"/>
          <w:szCs w:val="24"/>
        </w:rPr>
        <w:t>式</w:t>
      </w:r>
    </w:p>
    <w:p w14:paraId="1E850543">
      <w:pPr>
        <w:widowControl/>
        <w:spacing w:line="288" w:lineRule="auto"/>
        <w:ind w:firstLine="480" w:firstLineChars="200"/>
        <w:jc w:val="left"/>
        <w:rPr>
          <w:rFonts w:hint="default" w:ascii="宋体" w:eastAsia="宋体"/>
          <w:color w:val="auto"/>
          <w:sz w:val="24"/>
          <w:szCs w:val="24"/>
          <w:lang w:val="en-US" w:eastAsia="zh-CN"/>
        </w:rPr>
      </w:pPr>
      <w:r>
        <w:rPr>
          <w:rFonts w:hint="eastAsia" w:ascii="宋体" w:hAnsi="宋体"/>
          <w:color w:val="auto"/>
          <w:sz w:val="24"/>
          <w:szCs w:val="24"/>
        </w:rPr>
        <w:t>采购人用户部门：杭州电子科技大学</w:t>
      </w:r>
      <w:r>
        <w:rPr>
          <w:rFonts w:hint="eastAsia" w:ascii="宋体" w:hAnsi="宋体"/>
          <w:color w:val="auto"/>
          <w:sz w:val="24"/>
          <w:szCs w:val="24"/>
          <w:lang w:val="en-US" w:eastAsia="zh-CN"/>
        </w:rPr>
        <w:t>信息技术中心</w:t>
      </w:r>
    </w:p>
    <w:p w14:paraId="5FE68B87">
      <w:pPr>
        <w:widowControl/>
        <w:spacing w:line="288" w:lineRule="auto"/>
        <w:ind w:firstLine="480" w:firstLineChars="200"/>
        <w:jc w:val="left"/>
        <w:rPr>
          <w:rFonts w:hint="eastAsia" w:ascii="宋体" w:eastAsia="宋体"/>
          <w:color w:val="auto"/>
          <w:sz w:val="24"/>
          <w:szCs w:val="24"/>
          <w:lang w:val="en-US" w:eastAsia="zh-CN"/>
        </w:rPr>
      </w:pPr>
      <w:r>
        <w:rPr>
          <w:rFonts w:hint="eastAsia" w:ascii="宋体" w:hAnsi="宋体"/>
          <w:color w:val="auto"/>
          <w:sz w:val="24"/>
          <w:szCs w:val="24"/>
        </w:rPr>
        <w:t>采购需求联系人：</w:t>
      </w:r>
      <w:r>
        <w:rPr>
          <w:rFonts w:hint="eastAsia"/>
          <w:color w:val="auto"/>
          <w:sz w:val="24"/>
          <w:u w:val="single"/>
        </w:rPr>
        <w:t xml:space="preserve"> </w:t>
      </w:r>
      <w:r>
        <w:rPr>
          <w:rFonts w:hint="eastAsia"/>
          <w:color w:val="auto"/>
          <w:sz w:val="24"/>
          <w:u w:val="single"/>
          <w:lang w:val="en-US" w:eastAsia="zh-CN"/>
        </w:rPr>
        <w:t>袁</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0571-86878568</w:t>
      </w:r>
      <w:r>
        <w:rPr>
          <w:rFonts w:hint="eastAsia" w:ascii="宋体" w:hAnsi="宋体"/>
          <w:color w:val="auto"/>
          <w:sz w:val="24"/>
          <w:szCs w:val="24"/>
          <w:u w:val="single"/>
          <w:lang w:val="en-US" w:eastAsia="zh-CN"/>
        </w:rPr>
        <w:t xml:space="preserve"> </w:t>
      </w:r>
    </w:p>
    <w:p w14:paraId="2EF203BA">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298E9431">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7B149F11">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020F7EDA">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2C7A32DB">
      <w:pPr>
        <w:pStyle w:val="53"/>
        <w:rPr>
          <w:color w:val="auto"/>
        </w:rPr>
      </w:pPr>
    </w:p>
    <w:p w14:paraId="665C6537">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w:t>
      </w:r>
      <w:r>
        <w:rPr>
          <w:rFonts w:hint="eastAsia" w:ascii="宋体" w:hAnsi="宋体"/>
          <w:color w:val="auto"/>
          <w:sz w:val="24"/>
          <w:szCs w:val="24"/>
        </w:rPr>
        <w:t>cygov.cn/），点击右侧咨询小采，获取采小蜜智能服务管家帮助，或拨打政采云服务热线400-881-7190获取热线服务帮助。</w:t>
      </w:r>
    </w:p>
    <w:p w14:paraId="687821A1">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0D1B3005">
      <w:pPr>
        <w:pStyle w:val="22"/>
        <w:rPr>
          <w:color w:val="auto"/>
        </w:rPr>
      </w:pPr>
    </w:p>
    <w:p w14:paraId="2E45A44B">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0CC9B1D4">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9</w:t>
      </w:r>
      <w:r>
        <w:rPr>
          <w:rFonts w:hint="eastAsia" w:ascii="宋体" w:hAnsi="宋体"/>
          <w:color w:val="auto"/>
          <w:sz w:val="24"/>
          <w:szCs w:val="24"/>
        </w:rPr>
        <w:t>月</w:t>
      </w:r>
      <w:r>
        <w:rPr>
          <w:rFonts w:hint="default" w:ascii="宋体" w:hAnsi="宋体"/>
          <w:color w:val="auto"/>
          <w:sz w:val="24"/>
          <w:szCs w:val="24"/>
          <w:woUserID w:val="1"/>
        </w:rPr>
        <w:t>21</w:t>
      </w:r>
      <w:r>
        <w:rPr>
          <w:rFonts w:hint="eastAsia" w:ascii="宋体" w:hAnsi="宋体"/>
          <w:color w:val="auto"/>
          <w:sz w:val="24"/>
          <w:szCs w:val="24"/>
        </w:rPr>
        <w:t>日</w:t>
      </w:r>
    </w:p>
    <w:p w14:paraId="6D9F4129">
      <w:pPr>
        <w:wordWrap w:val="0"/>
        <w:adjustRightInd w:val="0"/>
        <w:snapToGrid w:val="0"/>
        <w:spacing w:line="420" w:lineRule="exact"/>
        <w:ind w:left="31" w:right="480" w:hanging="31" w:hangingChars="13"/>
        <w:jc w:val="right"/>
        <w:rPr>
          <w:rFonts w:ascii="宋体"/>
          <w:color w:val="auto"/>
          <w:sz w:val="24"/>
          <w:szCs w:val="24"/>
        </w:rPr>
      </w:pPr>
    </w:p>
    <w:p w14:paraId="0D6B681E">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78" w:name="_Toc5830_WPSOffice_Level1"/>
      <w:bookmarkStart w:id="79" w:name="_Toc14615"/>
      <w:bookmarkStart w:id="80" w:name="_Toc9474"/>
      <w:bookmarkStart w:id="81" w:name="_Toc27007"/>
      <w:bookmarkStart w:id="82" w:name="_Toc14371"/>
      <w:bookmarkStart w:id="83" w:name="_Toc13468"/>
      <w:bookmarkStart w:id="84" w:name="_Toc11189"/>
      <w:bookmarkStart w:id="85" w:name="_Toc25903"/>
      <w:bookmarkStart w:id="86" w:name="_Toc19935"/>
      <w:bookmarkStart w:id="87" w:name="_Toc13359"/>
      <w:bookmarkStart w:id="88" w:name="_Toc27564"/>
      <w:bookmarkStart w:id="89" w:name="_Toc16190"/>
      <w:bookmarkStart w:id="90" w:name="_Toc14015"/>
      <w:bookmarkStart w:id="91" w:name="_Toc31392"/>
      <w:bookmarkStart w:id="92" w:name="_Toc5412"/>
      <w:bookmarkStart w:id="93" w:name="_Toc8413"/>
      <w:bookmarkStart w:id="94" w:name="_Toc18447"/>
      <w:bookmarkStart w:id="95" w:name="_Toc30984"/>
      <w:bookmarkStart w:id="96" w:name="_Toc30939"/>
      <w:bookmarkStart w:id="97" w:name="_Toc21096"/>
      <w:bookmarkStart w:id="98" w:name="_Toc25493"/>
      <w:bookmarkStart w:id="99" w:name="_Toc31424"/>
      <w:bookmarkStart w:id="100" w:name="_Toc20151"/>
      <w:bookmarkStart w:id="101" w:name="_Toc8774"/>
      <w:bookmarkStart w:id="102" w:name="_Toc15380"/>
      <w:bookmarkStart w:id="103" w:name="_Toc30864"/>
      <w:bookmarkStart w:id="104" w:name="_Toc28369"/>
      <w:bookmarkStart w:id="105" w:name="_Toc7205"/>
      <w:bookmarkStart w:id="106" w:name="_Toc10682"/>
      <w:bookmarkStart w:id="107" w:name="_Toc20175"/>
      <w:bookmarkStart w:id="108" w:name="_Toc31607"/>
      <w:bookmarkStart w:id="109" w:name="_Toc6139"/>
      <w:bookmarkStart w:id="110" w:name="_Toc8923"/>
      <w:r>
        <w:rPr>
          <w:rFonts w:hint="eastAsia" w:ascii="Times New Roman" w:hAnsi="Times New Roman" w:eastAsia="黑体" w:cs="Times New Roman"/>
          <w:b/>
          <w:color w:val="auto"/>
          <w:kern w:val="44"/>
          <w:sz w:val="36"/>
          <w:szCs w:val="22"/>
          <w:lang w:val="en-US" w:eastAsia="zh-CN" w:bidi="ar-SA"/>
        </w:rPr>
        <w:t>第二部分 响应方须知</w:t>
      </w:r>
      <w:bookmarkEnd w:id="78"/>
    </w:p>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14:paraId="13CB3D7E">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11" w:name="_Toc6421"/>
      <w:bookmarkStart w:id="112" w:name="_Toc1743"/>
      <w:bookmarkStart w:id="113" w:name="_Toc27500"/>
      <w:bookmarkStart w:id="114" w:name="_Toc10414"/>
      <w:bookmarkStart w:id="115" w:name="_Toc3269"/>
      <w:bookmarkStart w:id="116" w:name="_Toc32596"/>
      <w:bookmarkStart w:id="117" w:name="_Toc9123"/>
      <w:bookmarkStart w:id="118" w:name="_Toc12644"/>
      <w:bookmarkStart w:id="119" w:name="_Toc26853"/>
      <w:bookmarkStart w:id="120" w:name="_Toc23359"/>
      <w:bookmarkStart w:id="121" w:name="_Toc10657"/>
      <w:bookmarkStart w:id="122" w:name="_Toc30159"/>
      <w:bookmarkStart w:id="123" w:name="_Toc31880"/>
      <w:bookmarkStart w:id="124" w:name="_Toc23155"/>
      <w:bookmarkStart w:id="125" w:name="_Toc26073"/>
      <w:bookmarkStart w:id="126" w:name="_Toc29458"/>
      <w:bookmarkStart w:id="127" w:name="_Toc29793"/>
      <w:bookmarkStart w:id="128" w:name="_Toc16998"/>
      <w:bookmarkStart w:id="129" w:name="_Toc483"/>
      <w:bookmarkStart w:id="130" w:name="_Toc17697"/>
      <w:bookmarkStart w:id="131" w:name="_Toc9778"/>
      <w:bookmarkStart w:id="132" w:name="_Toc20573"/>
      <w:bookmarkStart w:id="133" w:name="_Toc1714"/>
      <w:bookmarkStart w:id="134" w:name="_Toc28079"/>
      <w:bookmarkStart w:id="135" w:name="_Toc10518"/>
      <w:bookmarkStart w:id="136" w:name="_Toc28026"/>
      <w:bookmarkStart w:id="137" w:name="_Toc6715"/>
      <w:bookmarkStart w:id="138" w:name="_Toc22339"/>
      <w:bookmarkStart w:id="139" w:name="_Toc20565"/>
      <w:bookmarkStart w:id="140" w:name="_Toc23420"/>
      <w:bookmarkStart w:id="141" w:name="_Toc26025"/>
      <w:bookmarkStart w:id="142" w:name="_Toc4505"/>
      <w:r>
        <w:rPr>
          <w:rFonts w:hint="eastAsia" w:ascii="楷体" w:hAnsi="楷体" w:eastAsia="楷体" w:cs="楷体"/>
          <w:snapToGrid w:val="0"/>
          <w:color w:val="auto"/>
          <w:kern w:val="44"/>
          <w:sz w:val="32"/>
          <w:szCs w:val="32"/>
        </w:rPr>
        <w:t>前附表</w:t>
      </w:r>
      <w:bookmarkEnd w:id="76"/>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Start w:id="143"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635F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5A2210CE">
            <w:pPr>
              <w:rPr>
                <w:rFonts w:ascii="宋体"/>
                <w:b/>
                <w:color w:val="auto"/>
                <w:sz w:val="24"/>
                <w:szCs w:val="24"/>
              </w:rPr>
            </w:pPr>
            <w:r>
              <w:rPr>
                <w:rFonts w:hint="eastAsia" w:ascii="宋体" w:hAnsi="宋体"/>
                <w:b/>
                <w:color w:val="auto"/>
                <w:sz w:val="24"/>
                <w:szCs w:val="24"/>
              </w:rPr>
              <w:t>序号</w:t>
            </w:r>
          </w:p>
        </w:tc>
        <w:tc>
          <w:tcPr>
            <w:tcW w:w="2043" w:type="dxa"/>
            <w:vAlign w:val="center"/>
          </w:tcPr>
          <w:p w14:paraId="3A0518E8">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17BBB383">
            <w:pPr>
              <w:jc w:val="center"/>
              <w:rPr>
                <w:rFonts w:ascii="宋体"/>
                <w:b/>
                <w:color w:val="auto"/>
                <w:sz w:val="24"/>
                <w:szCs w:val="24"/>
              </w:rPr>
            </w:pPr>
            <w:r>
              <w:rPr>
                <w:rFonts w:hint="eastAsia" w:ascii="宋体" w:hAnsi="宋体"/>
                <w:b/>
                <w:color w:val="auto"/>
                <w:sz w:val="24"/>
                <w:szCs w:val="24"/>
              </w:rPr>
              <w:t>内容</w:t>
            </w:r>
          </w:p>
        </w:tc>
      </w:tr>
      <w:tr w14:paraId="7FE9C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8720677">
            <w:pPr>
              <w:pStyle w:val="181"/>
              <w:adjustRightInd/>
              <w:spacing w:line="240" w:lineRule="auto"/>
              <w:rPr>
                <w:color w:val="auto"/>
                <w:szCs w:val="24"/>
              </w:rPr>
            </w:pPr>
            <w:r>
              <w:rPr>
                <w:rFonts w:hint="eastAsia"/>
                <w:color w:val="auto"/>
                <w:szCs w:val="24"/>
              </w:rPr>
              <w:t>1</w:t>
            </w:r>
          </w:p>
        </w:tc>
        <w:tc>
          <w:tcPr>
            <w:tcW w:w="2043" w:type="dxa"/>
            <w:vAlign w:val="center"/>
          </w:tcPr>
          <w:p w14:paraId="6070A4F5">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2924E470">
            <w:pPr>
              <w:rPr>
                <w:rFonts w:ascii="宋体"/>
                <w:color w:val="auto"/>
                <w:sz w:val="24"/>
                <w:szCs w:val="24"/>
              </w:rPr>
            </w:pPr>
            <w:r>
              <w:rPr>
                <w:rFonts w:hint="eastAsia" w:ascii="宋体" w:hAnsi="宋体"/>
                <w:color w:val="auto"/>
                <w:sz w:val="24"/>
                <w:szCs w:val="24"/>
              </w:rPr>
              <w:t>杭州电子科技大学绍兴校区电脑多媒体、实验室及设备、机房运维驻校服务</w:t>
            </w:r>
          </w:p>
        </w:tc>
      </w:tr>
      <w:tr w14:paraId="53A54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F8A7537">
            <w:pPr>
              <w:jc w:val="center"/>
              <w:rPr>
                <w:rFonts w:ascii="宋体" w:hAnsi="宋体"/>
                <w:color w:val="auto"/>
                <w:sz w:val="24"/>
                <w:szCs w:val="24"/>
              </w:rPr>
            </w:pPr>
          </w:p>
        </w:tc>
        <w:tc>
          <w:tcPr>
            <w:tcW w:w="2043" w:type="dxa"/>
            <w:vAlign w:val="center"/>
          </w:tcPr>
          <w:p w14:paraId="61A5F409">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755C6860">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其他未列明行业。</w:t>
            </w:r>
            <w:r>
              <w:rPr>
                <w:rFonts w:hint="eastAsia" w:ascii="宋体" w:hAnsi="宋体" w:cs="宋体"/>
                <w:b/>
                <w:bCs/>
                <w:color w:val="auto"/>
                <w:szCs w:val="21"/>
                <w:u w:val="none"/>
              </w:rPr>
              <w:t>从业人员300人以下的为中小微型企业。其中，从业人员100人及以上的为中型企业；从业人员10人及以上的为小型企业；从业人员10人以下的为微型企业。</w:t>
            </w:r>
          </w:p>
        </w:tc>
      </w:tr>
      <w:tr w14:paraId="1157F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482853F">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7F7F2A59">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63F7DA25">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w:t>
            </w:r>
            <w:r>
              <w:rPr>
                <w:rFonts w:hint="eastAsia" w:ascii="宋体" w:hAnsi="宋体"/>
                <w:color w:val="auto"/>
                <w:sz w:val="24"/>
                <w:szCs w:val="24"/>
                <w:lang w:val="en-US" w:eastAsia="zh-CN"/>
              </w:rPr>
              <w:t>13</w:t>
            </w:r>
          </w:p>
        </w:tc>
      </w:tr>
      <w:tr w14:paraId="6CE9F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E645E6E">
            <w:pPr>
              <w:jc w:val="center"/>
              <w:rPr>
                <w:rFonts w:ascii="宋体"/>
                <w:color w:val="auto"/>
                <w:sz w:val="24"/>
                <w:szCs w:val="24"/>
              </w:rPr>
            </w:pPr>
          </w:p>
        </w:tc>
        <w:tc>
          <w:tcPr>
            <w:tcW w:w="2043" w:type="dxa"/>
            <w:vAlign w:val="center"/>
          </w:tcPr>
          <w:p w14:paraId="2D70D938">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682EEF9B">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71D9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5A63EEC">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55C2CD16">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175D2666">
            <w:pPr>
              <w:pStyle w:val="28"/>
              <w:ind w:left="0" w:leftChars="0"/>
              <w:rPr>
                <w:rFonts w:hint="default" w:eastAsia="宋体"/>
                <w:color w:val="auto"/>
                <w:szCs w:val="24"/>
                <w:lang w:val="en-US" w:eastAsia="zh-CN"/>
              </w:rPr>
            </w:pPr>
            <w:r>
              <w:rPr>
                <w:rFonts w:hint="eastAsia"/>
                <w:color w:val="auto"/>
                <w:szCs w:val="24"/>
              </w:rPr>
              <w:t>杭州电子科技大学</w:t>
            </w:r>
            <w:r>
              <w:rPr>
                <w:rFonts w:hint="eastAsia"/>
                <w:color w:val="auto"/>
                <w:kern w:val="0"/>
                <w:szCs w:val="24"/>
                <w:lang w:val="en-US" w:eastAsia="zh-CN"/>
              </w:rPr>
              <w:t>信息技术中心</w:t>
            </w:r>
          </w:p>
        </w:tc>
      </w:tr>
      <w:tr w14:paraId="3B9CC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6E38CAA">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18D9DB64">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7205F2CE">
            <w:pPr>
              <w:rPr>
                <w:rFonts w:ascii="宋体"/>
                <w:color w:val="auto"/>
                <w:sz w:val="24"/>
                <w:szCs w:val="24"/>
              </w:rPr>
            </w:pPr>
            <w:r>
              <w:rPr>
                <w:rFonts w:hint="eastAsia" w:ascii="宋体" w:hAnsi="宋体"/>
                <w:color w:val="auto"/>
                <w:sz w:val="24"/>
                <w:szCs w:val="24"/>
              </w:rPr>
              <w:t>详见第三部分采购需求</w:t>
            </w:r>
          </w:p>
        </w:tc>
      </w:tr>
      <w:tr w14:paraId="6A658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702797B">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377D8CD1">
            <w:pPr>
              <w:jc w:val="center"/>
              <w:rPr>
                <w:color w:val="auto"/>
                <w:sz w:val="24"/>
              </w:rPr>
            </w:pPr>
            <w:r>
              <w:rPr>
                <w:rFonts w:hint="eastAsia"/>
                <w:color w:val="auto"/>
                <w:sz w:val="24"/>
              </w:rPr>
              <w:t>磋商报价及费用</w:t>
            </w:r>
          </w:p>
        </w:tc>
        <w:tc>
          <w:tcPr>
            <w:tcW w:w="6348" w:type="dxa"/>
            <w:vAlign w:val="center"/>
          </w:tcPr>
          <w:p w14:paraId="2F75B72E">
            <w:pPr>
              <w:rPr>
                <w:color w:val="auto"/>
                <w:sz w:val="24"/>
              </w:rPr>
            </w:pPr>
            <w:r>
              <w:rPr>
                <w:rFonts w:hint="eastAsia"/>
                <w:color w:val="auto"/>
                <w:sz w:val="24"/>
              </w:rPr>
              <w:t>详见采购文件第二部分第三节第（三）点报价内容。</w:t>
            </w:r>
          </w:p>
        </w:tc>
      </w:tr>
      <w:tr w14:paraId="047C8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77465CA">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0A343452">
            <w:pPr>
              <w:jc w:val="center"/>
              <w:rPr>
                <w:rFonts w:ascii="宋体"/>
                <w:color w:val="auto"/>
                <w:sz w:val="24"/>
                <w:szCs w:val="24"/>
              </w:rPr>
            </w:pPr>
            <w:r>
              <w:rPr>
                <w:rFonts w:hint="eastAsia"/>
                <w:color w:val="auto"/>
                <w:sz w:val="24"/>
              </w:rPr>
              <w:t>磋商响应有效期</w:t>
            </w:r>
          </w:p>
        </w:tc>
        <w:tc>
          <w:tcPr>
            <w:tcW w:w="6348" w:type="dxa"/>
            <w:vAlign w:val="center"/>
          </w:tcPr>
          <w:p w14:paraId="1708EE36">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3B172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6012B7B">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7CB87A44">
            <w:pPr>
              <w:jc w:val="center"/>
              <w:rPr>
                <w:rFonts w:ascii="宋体"/>
                <w:color w:val="auto"/>
                <w:sz w:val="24"/>
                <w:szCs w:val="24"/>
              </w:rPr>
            </w:pPr>
            <w:r>
              <w:rPr>
                <w:rFonts w:hint="eastAsia"/>
                <w:color w:val="auto"/>
                <w:sz w:val="24"/>
              </w:rPr>
              <w:t>磋商文件答疑</w:t>
            </w:r>
          </w:p>
        </w:tc>
        <w:tc>
          <w:tcPr>
            <w:tcW w:w="6348" w:type="dxa"/>
            <w:vAlign w:val="center"/>
          </w:tcPr>
          <w:p w14:paraId="08F116C2">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10</w:t>
            </w:r>
            <w:r>
              <w:rPr>
                <w:rFonts w:hint="eastAsia"/>
                <w:color w:val="auto"/>
                <w:sz w:val="24"/>
                <w:u w:val="single"/>
              </w:rPr>
              <w:t>月</w:t>
            </w:r>
            <w:r>
              <w:rPr>
                <w:rFonts w:hint="default"/>
                <w:color w:val="auto"/>
                <w:sz w:val="24"/>
                <w:u w:val="single"/>
                <w:woUserID w:val="1"/>
              </w:rPr>
              <w:t>8</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10</w:t>
            </w:r>
            <w:r>
              <w:rPr>
                <w:rFonts w:hint="eastAsia"/>
                <w:color w:val="auto"/>
                <w:sz w:val="24"/>
                <w:u w:val="single"/>
              </w:rPr>
              <w:t>月</w:t>
            </w:r>
            <w:r>
              <w:rPr>
                <w:rFonts w:hint="default"/>
                <w:color w:val="auto"/>
                <w:sz w:val="24"/>
                <w:u w:val="single"/>
                <w:woUserID w:val="1"/>
              </w:rPr>
              <w:t>8</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w:t>
            </w:r>
            <w:r>
              <w:rPr>
                <w:rFonts w:hint="eastAsia" w:ascii="宋体"/>
                <w:color w:val="auto"/>
                <w:sz w:val="24"/>
                <w:szCs w:val="24"/>
              </w:rPr>
              <w:t>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7003D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10977D2">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4D9553CA">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1F2F5BA7">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64CDA4DE">
            <w:pPr>
              <w:jc w:val="left"/>
              <w:rPr>
                <w:rFonts w:ascii="宋体"/>
                <w:color w:val="auto"/>
                <w:sz w:val="24"/>
                <w:szCs w:val="24"/>
              </w:rPr>
            </w:pPr>
            <w:r>
              <w:rPr>
                <w:rFonts w:hint="eastAsia"/>
                <w:b/>
                <w:bCs/>
                <w:color w:val="auto"/>
                <w:sz w:val="24"/>
              </w:rPr>
              <w:t>特别说明：</w:t>
            </w:r>
            <w:r>
              <w:rPr>
                <w:rFonts w:hint="eastAsia"/>
                <w:color w:val="auto"/>
                <w:sz w:val="24"/>
              </w:rPr>
              <w:t>双休日和法定节假日不</w:t>
            </w:r>
            <w:r>
              <w:rPr>
                <w:rFonts w:hint="eastAsia"/>
                <w:color w:val="auto"/>
                <w:sz w:val="24"/>
              </w:rPr>
              <w:t>收件，供应商自行承担邮寄风险。）</w:t>
            </w:r>
          </w:p>
        </w:tc>
      </w:tr>
      <w:tr w14:paraId="0A43E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7C467B4">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3E74F500">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1A34EA30">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42B2B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6D83689">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499102E6">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3D846BBD">
            <w:pPr>
              <w:jc w:val="left"/>
              <w:rPr>
                <w:rFonts w:ascii="宋体"/>
                <w:color w:val="auto"/>
                <w:sz w:val="24"/>
                <w:szCs w:val="24"/>
              </w:rPr>
            </w:pPr>
            <w:r>
              <w:rPr>
                <w:rFonts w:hint="eastAsia"/>
                <w:color w:val="auto"/>
                <w:sz w:val="24"/>
              </w:rPr>
              <w:t>综合评分法</w:t>
            </w:r>
          </w:p>
        </w:tc>
      </w:tr>
      <w:tr w14:paraId="06F92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3160904">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431E9A25">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451AEA79">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39E6D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6357F7F">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260DE345">
            <w:pPr>
              <w:jc w:val="center"/>
              <w:rPr>
                <w:rFonts w:ascii="宋体"/>
                <w:color w:val="auto"/>
                <w:sz w:val="24"/>
                <w:szCs w:val="24"/>
              </w:rPr>
            </w:pPr>
            <w:r>
              <w:rPr>
                <w:rFonts w:hint="eastAsia"/>
                <w:color w:val="auto"/>
                <w:sz w:val="24"/>
              </w:rPr>
              <w:t>解释</w:t>
            </w:r>
          </w:p>
        </w:tc>
        <w:tc>
          <w:tcPr>
            <w:tcW w:w="6348" w:type="dxa"/>
            <w:vAlign w:val="center"/>
          </w:tcPr>
          <w:p w14:paraId="3398072B">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13C479D7">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43"/>
      <w:bookmarkStart w:id="144" w:name="_Toc22060"/>
      <w:bookmarkStart w:id="145" w:name="_Toc9017"/>
      <w:bookmarkStart w:id="146" w:name="_Toc3922"/>
      <w:bookmarkStart w:id="147" w:name="_Toc14022"/>
      <w:bookmarkStart w:id="148" w:name="_Toc11749"/>
      <w:bookmarkStart w:id="149" w:name="_Toc27769"/>
      <w:bookmarkStart w:id="150" w:name="_Toc3209"/>
      <w:bookmarkStart w:id="151" w:name="_Toc6991"/>
      <w:bookmarkStart w:id="152" w:name="_Toc2257"/>
      <w:bookmarkStart w:id="153" w:name="_Toc11583"/>
      <w:bookmarkStart w:id="154" w:name="_Toc15936"/>
      <w:bookmarkStart w:id="155" w:name="_Toc689"/>
      <w:bookmarkStart w:id="156" w:name="_Toc15369"/>
      <w:bookmarkStart w:id="157" w:name="_Toc30371"/>
      <w:bookmarkStart w:id="158" w:name="_Toc20458"/>
      <w:bookmarkStart w:id="159" w:name="_Toc6802"/>
      <w:bookmarkStart w:id="160" w:name="_Toc26898"/>
      <w:bookmarkStart w:id="161" w:name="_Toc12127"/>
      <w:bookmarkStart w:id="162" w:name="_Toc18556"/>
      <w:bookmarkStart w:id="163" w:name="_Toc1408"/>
      <w:bookmarkStart w:id="164" w:name="_Toc6934"/>
      <w:bookmarkStart w:id="165" w:name="_Toc18182"/>
      <w:bookmarkStart w:id="166" w:name="_Toc20897"/>
      <w:bookmarkStart w:id="167" w:name="_Toc6501"/>
      <w:bookmarkStart w:id="168" w:name="_Toc6841"/>
      <w:bookmarkStart w:id="169" w:name="_Toc24333"/>
      <w:bookmarkStart w:id="170" w:name="_Toc15091"/>
      <w:bookmarkStart w:id="171" w:name="_Toc19375"/>
      <w:bookmarkStart w:id="172" w:name="_Toc7947"/>
      <w:bookmarkStart w:id="173" w:name="_Toc7875"/>
      <w:bookmarkStart w:id="174" w:name="_Toc1492"/>
      <w:bookmarkStart w:id="175" w:name="_Toc23407"/>
      <w:bookmarkStart w:id="176" w:name="_Toc19879"/>
      <w:bookmarkStart w:id="177" w:name="_Toc67"/>
      <w:bookmarkStart w:id="178" w:name="_Toc24686"/>
      <w:r>
        <w:rPr>
          <w:rFonts w:hint="eastAsia" w:ascii="楷体" w:hAnsi="楷体" w:eastAsia="楷体" w:cs="楷体"/>
          <w:snapToGrid w:val="0"/>
          <w:color w:val="auto"/>
          <w:kern w:val="44"/>
          <w:sz w:val="32"/>
          <w:szCs w:val="32"/>
        </w:rPr>
        <w:t>一、磋商说明</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34617AE8">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457B5153">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3F90B037">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558DA5FC">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6A884021">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5FD46EF3">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1855E7EB">
      <w:pPr>
        <w:spacing w:line="288" w:lineRule="auto"/>
        <w:ind w:firstLine="420" w:firstLineChars="175"/>
        <w:rPr>
          <w:color w:val="auto"/>
          <w:sz w:val="24"/>
        </w:rPr>
      </w:pPr>
      <w:r>
        <w:rPr>
          <w:rFonts w:hint="eastAsia"/>
          <w:color w:val="auto"/>
          <w:sz w:val="24"/>
        </w:rPr>
        <w:t>（2）被质疑投诉，经证实情况严重的；</w:t>
      </w:r>
    </w:p>
    <w:p w14:paraId="5B6A492A">
      <w:pPr>
        <w:spacing w:line="288" w:lineRule="auto"/>
        <w:ind w:firstLine="420" w:firstLineChars="175"/>
        <w:rPr>
          <w:color w:val="auto"/>
          <w:sz w:val="24"/>
        </w:rPr>
      </w:pPr>
      <w:r>
        <w:rPr>
          <w:rFonts w:hint="eastAsia"/>
          <w:color w:val="auto"/>
          <w:sz w:val="24"/>
        </w:rPr>
        <w:t>（3）使用不正当竞争手段，影响采购人正常采购活动的；</w:t>
      </w:r>
    </w:p>
    <w:p w14:paraId="2089F6C8">
      <w:pPr>
        <w:spacing w:line="288" w:lineRule="auto"/>
        <w:ind w:firstLine="420" w:firstLineChars="175"/>
        <w:rPr>
          <w:color w:val="auto"/>
          <w:sz w:val="24"/>
        </w:rPr>
      </w:pPr>
      <w:r>
        <w:rPr>
          <w:rFonts w:hint="eastAsia"/>
          <w:color w:val="auto"/>
          <w:sz w:val="24"/>
        </w:rPr>
        <w:t>（4）响应方串通投标的；</w:t>
      </w:r>
    </w:p>
    <w:p w14:paraId="168DB0CA">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5823D06A">
      <w:pPr>
        <w:spacing w:line="288" w:lineRule="auto"/>
        <w:ind w:firstLine="420" w:firstLineChars="175"/>
        <w:rPr>
          <w:color w:val="auto"/>
          <w:sz w:val="24"/>
        </w:rPr>
      </w:pPr>
      <w:r>
        <w:rPr>
          <w:rFonts w:hint="eastAsia"/>
          <w:color w:val="auto"/>
          <w:sz w:val="24"/>
        </w:rPr>
        <w:t>（6）响应方在投标中弄虚作假，提供虚假材料的；</w:t>
      </w:r>
    </w:p>
    <w:p w14:paraId="4B959E0F">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40B3F144">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5E1CA2D6">
      <w:pPr>
        <w:spacing w:line="288" w:lineRule="auto"/>
        <w:ind w:firstLine="420" w:firstLineChars="175"/>
        <w:rPr>
          <w:color w:val="auto"/>
          <w:sz w:val="24"/>
        </w:rPr>
      </w:pPr>
      <w:r>
        <w:rPr>
          <w:rFonts w:hint="eastAsia"/>
          <w:color w:val="auto"/>
          <w:sz w:val="24"/>
        </w:rPr>
        <w:t>（9）其他严重扰乱磋商程序的；</w:t>
      </w:r>
    </w:p>
    <w:p w14:paraId="2765D6AB">
      <w:pPr>
        <w:spacing w:line="288" w:lineRule="auto"/>
        <w:ind w:firstLine="420" w:firstLineChars="175"/>
        <w:rPr>
          <w:color w:val="auto"/>
          <w:sz w:val="24"/>
        </w:rPr>
      </w:pPr>
      <w:r>
        <w:rPr>
          <w:rFonts w:hint="eastAsia"/>
          <w:color w:val="auto"/>
          <w:sz w:val="24"/>
        </w:rPr>
        <w:t>（10）未成交供应商恶意质疑、投诉的。</w:t>
      </w:r>
    </w:p>
    <w:p w14:paraId="2CC920A3">
      <w:pPr>
        <w:spacing w:line="288" w:lineRule="auto"/>
        <w:ind w:firstLine="420" w:firstLineChars="175"/>
        <w:rPr>
          <w:color w:val="auto"/>
          <w:sz w:val="24"/>
        </w:rPr>
      </w:pPr>
      <w:r>
        <w:rPr>
          <w:rFonts w:hint="eastAsia"/>
          <w:color w:val="auto"/>
          <w:sz w:val="24"/>
        </w:rPr>
        <w:t>（11）违反法律法规和合同约定的其他情形的。</w:t>
      </w:r>
    </w:p>
    <w:p w14:paraId="5ECE2A8B">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6E752A7E">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1C09B6E4">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0AB517A5">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5F07D2F7">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1D8216C1">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489E4140">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56E302E6">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44098C3F">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71B72E3F">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29E445F2">
      <w:pPr>
        <w:spacing w:line="288" w:lineRule="auto"/>
        <w:ind w:firstLine="477" w:firstLineChars="199"/>
        <w:rPr>
          <w:color w:val="auto"/>
          <w:sz w:val="24"/>
        </w:rPr>
      </w:pPr>
      <w:r>
        <w:rPr>
          <w:rFonts w:hint="eastAsia"/>
          <w:color w:val="auto"/>
          <w:sz w:val="24"/>
        </w:rPr>
        <w:t>磋商文件对响应文件签署、盖章的要求适用于电子签名。</w:t>
      </w:r>
    </w:p>
    <w:p w14:paraId="12D2B362">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5FE7689D">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79" w:name="_Toc4587"/>
      <w:bookmarkStart w:id="180" w:name="_Toc12939"/>
      <w:bookmarkStart w:id="181" w:name="_Toc4054"/>
      <w:bookmarkStart w:id="182" w:name="_Toc6681"/>
      <w:bookmarkStart w:id="183" w:name="_Toc14905"/>
      <w:bookmarkStart w:id="184" w:name="_Toc30356"/>
      <w:bookmarkStart w:id="185" w:name="_Toc13352"/>
      <w:bookmarkStart w:id="186" w:name="_Toc12934"/>
      <w:bookmarkStart w:id="187" w:name="_Toc11863"/>
      <w:bookmarkStart w:id="188" w:name="_Toc17921"/>
      <w:bookmarkStart w:id="189" w:name="_Toc16259"/>
      <w:bookmarkStart w:id="190" w:name="_Toc10460"/>
      <w:bookmarkStart w:id="191" w:name="_Toc16623"/>
      <w:bookmarkStart w:id="192" w:name="_Toc23441"/>
      <w:bookmarkStart w:id="193" w:name="_Toc23883"/>
      <w:bookmarkStart w:id="194" w:name="_Toc2692"/>
      <w:bookmarkStart w:id="195" w:name="_Toc7225"/>
      <w:bookmarkStart w:id="196" w:name="_Toc25249"/>
      <w:bookmarkStart w:id="197" w:name="_Toc32029"/>
      <w:bookmarkStart w:id="198" w:name="_Toc17024"/>
      <w:bookmarkStart w:id="199" w:name="_Toc30651"/>
      <w:bookmarkStart w:id="200" w:name="_Toc15004"/>
      <w:bookmarkStart w:id="201" w:name="_Toc29315"/>
      <w:bookmarkStart w:id="202" w:name="_Toc14339"/>
      <w:bookmarkStart w:id="203" w:name="_Toc25478"/>
      <w:bookmarkStart w:id="204" w:name="_Toc10503"/>
      <w:bookmarkStart w:id="205" w:name="_Toc12746"/>
      <w:r>
        <w:rPr>
          <w:rFonts w:hint="eastAsia" w:ascii="楷体" w:hAnsi="楷体" w:eastAsia="楷体" w:cs="楷体"/>
          <w:snapToGrid w:val="0"/>
          <w:color w:val="auto"/>
          <w:kern w:val="44"/>
          <w:sz w:val="32"/>
          <w:szCs w:val="32"/>
        </w:rPr>
        <w:t>二、磋商文件</w:t>
      </w:r>
      <w:bookmarkEnd w:id="67"/>
      <w:bookmarkEnd w:id="68"/>
      <w:bookmarkEnd w:id="69"/>
      <w:bookmarkEnd w:id="70"/>
      <w:bookmarkEnd w:id="71"/>
      <w:bookmarkEnd w:id="72"/>
      <w:bookmarkEnd w:id="73"/>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1F443AAF">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1A49B36B">
      <w:pPr>
        <w:spacing w:line="288" w:lineRule="auto"/>
        <w:ind w:firstLine="360" w:firstLineChars="150"/>
        <w:rPr>
          <w:color w:val="auto"/>
          <w:sz w:val="24"/>
        </w:rPr>
      </w:pPr>
      <w:r>
        <w:rPr>
          <w:color w:val="auto"/>
          <w:sz w:val="24"/>
        </w:rPr>
        <w:t>1</w:t>
      </w:r>
      <w:r>
        <w:rPr>
          <w:rFonts w:hint="eastAsia"/>
          <w:color w:val="auto"/>
          <w:sz w:val="24"/>
        </w:rPr>
        <w:t>、磋商公告</w:t>
      </w:r>
    </w:p>
    <w:p w14:paraId="46410AB3">
      <w:pPr>
        <w:spacing w:line="288" w:lineRule="auto"/>
        <w:ind w:firstLine="360" w:firstLineChars="150"/>
        <w:rPr>
          <w:color w:val="auto"/>
          <w:sz w:val="24"/>
        </w:rPr>
      </w:pPr>
      <w:r>
        <w:rPr>
          <w:color w:val="auto"/>
          <w:sz w:val="24"/>
        </w:rPr>
        <w:t>2</w:t>
      </w:r>
      <w:r>
        <w:rPr>
          <w:rFonts w:hint="eastAsia"/>
          <w:color w:val="auto"/>
          <w:sz w:val="24"/>
        </w:rPr>
        <w:t>、响应方须知</w:t>
      </w:r>
    </w:p>
    <w:p w14:paraId="384635C3">
      <w:pPr>
        <w:spacing w:line="288" w:lineRule="auto"/>
        <w:ind w:firstLine="360" w:firstLineChars="150"/>
        <w:rPr>
          <w:color w:val="auto"/>
          <w:sz w:val="24"/>
        </w:rPr>
      </w:pPr>
      <w:r>
        <w:rPr>
          <w:color w:val="auto"/>
          <w:sz w:val="24"/>
        </w:rPr>
        <w:t>3</w:t>
      </w:r>
      <w:r>
        <w:rPr>
          <w:rFonts w:hint="eastAsia"/>
          <w:color w:val="auto"/>
          <w:sz w:val="24"/>
        </w:rPr>
        <w:t>、采购要求</w:t>
      </w:r>
    </w:p>
    <w:p w14:paraId="4A16A1BD">
      <w:pPr>
        <w:spacing w:line="288" w:lineRule="auto"/>
        <w:ind w:firstLine="360" w:firstLineChars="150"/>
        <w:rPr>
          <w:color w:val="auto"/>
          <w:sz w:val="24"/>
        </w:rPr>
      </w:pPr>
      <w:r>
        <w:rPr>
          <w:color w:val="auto"/>
          <w:sz w:val="24"/>
        </w:rPr>
        <w:t>4</w:t>
      </w:r>
      <w:r>
        <w:rPr>
          <w:rFonts w:hint="eastAsia"/>
          <w:color w:val="auto"/>
          <w:sz w:val="24"/>
        </w:rPr>
        <w:t>、评审办法及评分标准</w:t>
      </w:r>
    </w:p>
    <w:p w14:paraId="79B5C2AD">
      <w:pPr>
        <w:spacing w:line="288" w:lineRule="auto"/>
        <w:ind w:firstLine="360" w:firstLineChars="150"/>
        <w:rPr>
          <w:color w:val="auto"/>
          <w:sz w:val="24"/>
        </w:rPr>
      </w:pPr>
      <w:r>
        <w:rPr>
          <w:color w:val="auto"/>
          <w:sz w:val="24"/>
        </w:rPr>
        <w:t>5</w:t>
      </w:r>
      <w:r>
        <w:rPr>
          <w:rFonts w:hint="eastAsia"/>
          <w:color w:val="auto"/>
          <w:sz w:val="24"/>
        </w:rPr>
        <w:t>、合同主要条款</w:t>
      </w:r>
    </w:p>
    <w:p w14:paraId="649345DF">
      <w:pPr>
        <w:spacing w:line="288" w:lineRule="auto"/>
        <w:ind w:firstLine="360" w:firstLineChars="150"/>
        <w:rPr>
          <w:color w:val="auto"/>
          <w:sz w:val="24"/>
        </w:rPr>
      </w:pPr>
      <w:r>
        <w:rPr>
          <w:color w:val="auto"/>
          <w:sz w:val="24"/>
        </w:rPr>
        <w:t>6</w:t>
      </w:r>
      <w:r>
        <w:rPr>
          <w:rFonts w:hint="eastAsia"/>
          <w:color w:val="auto"/>
          <w:sz w:val="24"/>
        </w:rPr>
        <w:t>、响应文件格式</w:t>
      </w:r>
    </w:p>
    <w:p w14:paraId="7F510954">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4F00EDE3">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72114C6B">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0DDEABF6">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179D6AB7">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2D354EFA">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3B2C6A22">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06" w:name="_Toc26634"/>
      <w:bookmarkStart w:id="207" w:name="_Toc17035"/>
      <w:bookmarkStart w:id="208" w:name="_Toc32494"/>
      <w:bookmarkStart w:id="209" w:name="_Toc789"/>
      <w:bookmarkStart w:id="210" w:name="_Toc30772"/>
      <w:bookmarkStart w:id="211" w:name="_Toc28201"/>
      <w:bookmarkStart w:id="212" w:name="_Toc14673"/>
      <w:bookmarkStart w:id="213" w:name="_Toc6503"/>
      <w:bookmarkStart w:id="214" w:name="_Toc805"/>
      <w:bookmarkStart w:id="215" w:name="_Toc8035"/>
      <w:bookmarkStart w:id="216" w:name="_Toc3328"/>
      <w:bookmarkStart w:id="217" w:name="_Toc22572"/>
      <w:bookmarkStart w:id="218" w:name="_Toc25933"/>
      <w:bookmarkStart w:id="219" w:name="_Toc32051"/>
      <w:bookmarkStart w:id="220" w:name="_Toc16752"/>
      <w:bookmarkStart w:id="221" w:name="_Toc6322"/>
      <w:bookmarkStart w:id="222" w:name="_Toc24465"/>
      <w:bookmarkStart w:id="223" w:name="_Toc21890"/>
      <w:bookmarkStart w:id="224" w:name="_Toc9434"/>
      <w:bookmarkStart w:id="225" w:name="_Toc7450"/>
      <w:bookmarkStart w:id="226" w:name="_Toc11900"/>
      <w:bookmarkStart w:id="227" w:name="_Toc2334"/>
      <w:bookmarkStart w:id="228" w:name="_Toc15797"/>
      <w:bookmarkStart w:id="229" w:name="_Toc21501"/>
      <w:bookmarkStart w:id="230" w:name="_Toc10605"/>
      <w:bookmarkStart w:id="231" w:name="_Toc19339"/>
      <w:bookmarkStart w:id="232" w:name="_Toc4837"/>
      <w:bookmarkStart w:id="233" w:name="_Toc4055"/>
      <w:bookmarkStart w:id="234" w:name="_Toc13358"/>
      <w:bookmarkStart w:id="235" w:name="_Toc15772"/>
      <w:bookmarkStart w:id="236" w:name="_Toc28569"/>
      <w:bookmarkStart w:id="237" w:name="_Toc22140"/>
      <w:bookmarkStart w:id="238" w:name="_Toc7515"/>
      <w:bookmarkStart w:id="239" w:name="_Toc25502"/>
      <w:r>
        <w:rPr>
          <w:rFonts w:hint="eastAsia" w:ascii="楷体" w:hAnsi="楷体" w:eastAsia="楷体" w:cs="楷体"/>
          <w:snapToGrid w:val="0"/>
          <w:color w:val="auto"/>
          <w:kern w:val="44"/>
          <w:sz w:val="32"/>
          <w:szCs w:val="32"/>
        </w:rPr>
        <w:t>三、响应文件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rFonts w:hint="eastAsia" w:ascii="楷体" w:hAnsi="楷体" w:eastAsia="楷体" w:cs="楷体"/>
          <w:snapToGrid w:val="0"/>
          <w:color w:val="auto"/>
          <w:kern w:val="44"/>
          <w:sz w:val="32"/>
          <w:szCs w:val="32"/>
        </w:rPr>
        <w:t>的编制</w:t>
      </w:r>
    </w:p>
    <w:p w14:paraId="3B51D88B">
      <w:pPr>
        <w:spacing w:line="288" w:lineRule="auto"/>
        <w:outlineLvl w:val="2"/>
        <w:rPr>
          <w:b/>
          <w:bCs/>
          <w:color w:val="auto"/>
          <w:sz w:val="24"/>
        </w:rPr>
      </w:pPr>
      <w:r>
        <w:rPr>
          <w:rFonts w:hint="eastAsia"/>
          <w:b/>
          <w:bCs/>
          <w:color w:val="auto"/>
          <w:sz w:val="24"/>
        </w:rPr>
        <w:t>（一）响应文件的组成</w:t>
      </w:r>
    </w:p>
    <w:p w14:paraId="5EA974F6">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1C05953E">
      <w:pPr>
        <w:spacing w:line="288" w:lineRule="auto"/>
        <w:ind w:firstLine="422" w:firstLineChars="175"/>
        <w:rPr>
          <w:color w:val="auto"/>
          <w:sz w:val="24"/>
        </w:rPr>
      </w:pPr>
      <w:r>
        <w:rPr>
          <w:rFonts w:hint="eastAsia"/>
          <w:b/>
          <w:bCs/>
          <w:color w:val="auto"/>
          <w:sz w:val="24"/>
        </w:rPr>
        <w:t>响应文件组成：详见“第六部分  响应文件格式”目录</w:t>
      </w:r>
    </w:p>
    <w:p w14:paraId="3312D8E7">
      <w:pPr>
        <w:spacing w:line="288" w:lineRule="auto"/>
        <w:outlineLvl w:val="2"/>
        <w:rPr>
          <w:b/>
          <w:bCs/>
          <w:color w:val="auto"/>
          <w:sz w:val="24"/>
        </w:rPr>
      </w:pPr>
      <w:r>
        <w:rPr>
          <w:rFonts w:hint="eastAsia"/>
          <w:b/>
          <w:bCs/>
          <w:color w:val="auto"/>
          <w:sz w:val="24"/>
        </w:rPr>
        <w:t>（二）响应文件的签署和份数</w:t>
      </w:r>
    </w:p>
    <w:p w14:paraId="5D16F7B8">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2C2A7219">
      <w:pPr>
        <w:spacing w:line="288" w:lineRule="auto"/>
        <w:ind w:firstLine="420" w:firstLineChars="175"/>
        <w:rPr>
          <w:color w:val="auto"/>
          <w:sz w:val="24"/>
        </w:rPr>
      </w:pPr>
      <w:r>
        <w:rPr>
          <w:rFonts w:hint="eastAsia"/>
          <w:color w:val="auto"/>
          <w:sz w:val="24"/>
        </w:rPr>
        <w:t>2.响应文件须由供应商在规定位置加盖公章</w:t>
      </w:r>
      <w:bookmarkStart w:id="240" w:name="_Hlk96329193"/>
      <w:r>
        <w:rPr>
          <w:rFonts w:hint="eastAsia"/>
          <w:color w:val="auto"/>
          <w:sz w:val="24"/>
        </w:rPr>
        <w:t>，供应商应写全称。</w:t>
      </w:r>
      <w:bookmarkEnd w:id="240"/>
    </w:p>
    <w:p w14:paraId="4F2229FF">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27549CCD">
      <w:pPr>
        <w:spacing w:line="288" w:lineRule="auto"/>
        <w:ind w:firstLine="420" w:firstLineChars="175"/>
        <w:rPr>
          <w:color w:val="auto"/>
          <w:sz w:val="24"/>
        </w:rPr>
      </w:pPr>
      <w:r>
        <w:rPr>
          <w:rFonts w:hint="eastAsia"/>
          <w:color w:val="auto"/>
          <w:sz w:val="24"/>
        </w:rPr>
        <w:t>4.响应文件份数：</w:t>
      </w:r>
    </w:p>
    <w:p w14:paraId="1E6AEC1B">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w:t>
      </w:r>
      <w:r>
        <w:rPr>
          <w:rFonts w:hint="eastAsia"/>
          <w:color w:val="auto"/>
          <w:sz w:val="24"/>
        </w:rPr>
        <w:t>，以便查收）。</w:t>
      </w:r>
    </w:p>
    <w:p w14:paraId="0614D9CE">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32A6E2EA">
      <w:pPr>
        <w:spacing w:line="288" w:lineRule="auto"/>
        <w:outlineLvl w:val="2"/>
        <w:rPr>
          <w:b/>
          <w:bCs/>
          <w:color w:val="auto"/>
          <w:sz w:val="24"/>
        </w:rPr>
      </w:pPr>
      <w:r>
        <w:rPr>
          <w:rFonts w:hint="eastAsia"/>
          <w:b/>
          <w:bCs/>
          <w:color w:val="auto"/>
          <w:sz w:val="24"/>
        </w:rPr>
        <w:t>（三）响应文件的上传、递交、修改和撤回</w:t>
      </w:r>
    </w:p>
    <w:p w14:paraId="3E0042BA">
      <w:pPr>
        <w:spacing w:line="288" w:lineRule="auto"/>
        <w:ind w:firstLine="422" w:firstLineChars="175"/>
        <w:rPr>
          <w:b/>
          <w:bCs/>
          <w:color w:val="auto"/>
          <w:sz w:val="24"/>
        </w:rPr>
      </w:pPr>
      <w:r>
        <w:rPr>
          <w:rFonts w:hint="eastAsia"/>
          <w:b/>
          <w:bCs/>
          <w:color w:val="auto"/>
          <w:sz w:val="24"/>
        </w:rPr>
        <w:t>1.响应文件的上传、递交：</w:t>
      </w:r>
    </w:p>
    <w:p w14:paraId="26821577">
      <w:pPr>
        <w:spacing w:line="288" w:lineRule="auto"/>
        <w:ind w:firstLine="420" w:firstLineChars="175"/>
        <w:rPr>
          <w:color w:val="auto"/>
          <w:sz w:val="24"/>
        </w:rPr>
      </w:pPr>
      <w:r>
        <w:rPr>
          <w:rFonts w:hint="eastAsia"/>
          <w:color w:val="auto"/>
          <w:sz w:val="24"/>
        </w:rPr>
        <w:t>（1）电子加密响应文件的上传：</w:t>
      </w:r>
    </w:p>
    <w:p w14:paraId="47018588">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46190FEA">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753BB548">
      <w:pPr>
        <w:spacing w:line="288" w:lineRule="auto"/>
        <w:ind w:firstLine="420" w:firstLineChars="175"/>
        <w:rPr>
          <w:color w:val="auto"/>
          <w:sz w:val="24"/>
        </w:rPr>
      </w:pPr>
      <w:r>
        <w:rPr>
          <w:rFonts w:hint="eastAsia"/>
          <w:color w:val="auto"/>
          <w:sz w:val="24"/>
        </w:rPr>
        <w:t>（2）备份响应文件的密封包装、递交：</w:t>
      </w:r>
    </w:p>
    <w:p w14:paraId="16BB86DF">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0EA8E419">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7890FBD6">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5FABCBAA">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7B084660">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42E6792C">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0CC1EFB2">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08BAB9F7">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6B567746">
      <w:pPr>
        <w:spacing w:line="288" w:lineRule="auto"/>
        <w:outlineLvl w:val="2"/>
        <w:rPr>
          <w:b/>
          <w:bCs/>
          <w:color w:val="auto"/>
          <w:sz w:val="24"/>
        </w:rPr>
      </w:pPr>
      <w:r>
        <w:rPr>
          <w:rFonts w:hint="eastAsia"/>
          <w:b/>
          <w:bCs/>
          <w:color w:val="auto"/>
          <w:sz w:val="24"/>
        </w:rPr>
        <w:t>（四）响应文件的语言及计量</w:t>
      </w:r>
    </w:p>
    <w:p w14:paraId="7118D527">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25F0F805">
      <w:pPr>
        <w:spacing w:line="288" w:lineRule="auto"/>
        <w:outlineLvl w:val="2"/>
        <w:rPr>
          <w:b/>
          <w:bCs/>
          <w:color w:val="auto"/>
          <w:sz w:val="24"/>
        </w:rPr>
      </w:pPr>
      <w:r>
        <w:rPr>
          <w:rFonts w:hint="eastAsia"/>
          <w:b/>
          <w:bCs/>
          <w:color w:val="auto"/>
          <w:sz w:val="24"/>
        </w:rPr>
        <w:t>（五）磋商报价</w:t>
      </w:r>
    </w:p>
    <w:p w14:paraId="6F768F3D">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2BC8E2DE">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w:t>
      </w:r>
      <w:r>
        <w:rPr>
          <w:rFonts w:hint="eastAsia"/>
          <w:color w:val="auto"/>
          <w:sz w:val="24"/>
          <w:lang w:val="en-US" w:eastAsia="zh-CN"/>
        </w:rPr>
        <w:t>响应</w:t>
      </w:r>
      <w:r>
        <w:rPr>
          <w:rFonts w:hint="eastAsia"/>
          <w:color w:val="auto"/>
          <w:sz w:val="24"/>
        </w:rPr>
        <w:t>文件可能被拒绝。</w:t>
      </w:r>
    </w:p>
    <w:p w14:paraId="0DF23A3F">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3650AFC3">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0BD01881">
      <w:pPr>
        <w:spacing w:line="288" w:lineRule="auto"/>
        <w:outlineLvl w:val="2"/>
        <w:rPr>
          <w:b/>
          <w:bCs/>
          <w:color w:val="auto"/>
          <w:sz w:val="24"/>
        </w:rPr>
      </w:pPr>
      <w:r>
        <w:rPr>
          <w:rFonts w:hint="eastAsia"/>
          <w:b/>
          <w:bCs/>
          <w:color w:val="auto"/>
          <w:sz w:val="24"/>
        </w:rPr>
        <w:t>（六）响应有效期</w:t>
      </w:r>
    </w:p>
    <w:p w14:paraId="5BA4D0E1">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3F89A72B">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四、响应无效的情形</w:t>
      </w:r>
    </w:p>
    <w:p w14:paraId="751ED350">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44D952F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1DC49EA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1A7E9E75">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2EC7043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785F005C">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0E6908D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109D65C9">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60CEF435">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46E680BB">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779C263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5D6B25C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13C7C19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0658B5E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53E8CAFD">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69868BA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71D5C84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w:t>
      </w:r>
      <w:r>
        <w:rPr>
          <w:rFonts w:ascii="宋体" w:hAnsi="宋体"/>
          <w:color w:val="auto"/>
          <w:spacing w:val="-6"/>
          <w:sz w:val="24"/>
          <w:szCs w:val="24"/>
        </w:rPr>
        <w:t>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43F7B89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w:t>
      </w:r>
      <w:r>
        <w:rPr>
          <w:rFonts w:hint="eastAsia" w:ascii="宋体" w:hAnsi="宋体"/>
          <w:color w:val="auto"/>
          <w:spacing w:val="-6"/>
          <w:sz w:val="24"/>
          <w:szCs w:val="24"/>
          <w:lang w:eastAsia="zh-CN"/>
        </w:rPr>
        <w:t>（</w:t>
      </w:r>
      <w:r>
        <w:rPr>
          <w:rFonts w:hint="eastAsia" w:ascii="宋体" w:hAnsi="宋体"/>
          <w:color w:val="auto"/>
          <w:spacing w:val="-6"/>
          <w:sz w:val="24"/>
          <w:szCs w:val="24"/>
        </w:rPr>
        <w:t>最高限价</w:t>
      </w:r>
      <w:r>
        <w:rPr>
          <w:rFonts w:hint="eastAsia" w:ascii="宋体" w:hAnsi="宋体"/>
          <w:color w:val="auto"/>
          <w:spacing w:val="-6"/>
          <w:sz w:val="24"/>
          <w:szCs w:val="24"/>
          <w:lang w:eastAsia="zh-CN"/>
        </w:rPr>
        <w:t>）</w:t>
      </w:r>
      <w:r>
        <w:rPr>
          <w:rFonts w:hint="eastAsia" w:ascii="宋体" w:hAnsi="宋体"/>
          <w:color w:val="auto"/>
          <w:spacing w:val="-6"/>
          <w:sz w:val="24"/>
          <w:szCs w:val="24"/>
        </w:rPr>
        <w:t>的；</w:t>
      </w:r>
    </w:p>
    <w:p w14:paraId="1AF5A26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52FCEC7A">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5）最终报价出现以下异常低价情形之一，且未提供项目具体成本测算等与报价合理性相关的书面说明及必要的证明材料的，或者其提供的说明和材料不能证明其报价合理性，经评审委员会认定有可能影响产品质量或者不能诚信履约的，响应无效。</w:t>
      </w:r>
    </w:p>
    <w:p w14:paraId="2F37FE63">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①</w:t>
      </w:r>
      <w:r>
        <w:rPr>
          <w:rFonts w:hint="eastAsia" w:ascii="宋体" w:hAnsi="宋体"/>
          <w:color w:val="auto"/>
          <w:spacing w:val="-6"/>
          <w:sz w:val="24"/>
          <w:szCs w:val="24"/>
          <w:lang w:val="en-US" w:eastAsia="zh-CN"/>
        </w:rPr>
        <w:t>投标（响应）报价低于全部通过符合性审查供应商投标（响应）报价平均值50%的，即投标（响应）报价&lt;全部通过符合性审查供应商投标（响应）报价平均值×50%； </w:t>
      </w:r>
    </w:p>
    <w:p w14:paraId="5A006F88">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②</w:t>
      </w:r>
      <w:r>
        <w:rPr>
          <w:rFonts w:hint="eastAsia" w:ascii="宋体" w:hAnsi="宋体"/>
          <w:color w:val="auto"/>
          <w:spacing w:val="-6"/>
          <w:sz w:val="24"/>
          <w:szCs w:val="24"/>
          <w:lang w:val="en-US" w:eastAsia="zh-CN"/>
        </w:rPr>
        <w:t>投标（响应）报价低于通过符合性审查的次低报价供应商投标（响应）报价50%的，即投标（响应）报价&lt;通过符合性审查的次低报价供应商投标（响应）报价×50%； </w:t>
      </w:r>
    </w:p>
    <w:p w14:paraId="292AA3DE">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③</w:t>
      </w:r>
      <w:r>
        <w:rPr>
          <w:rFonts w:hint="eastAsia" w:ascii="宋体" w:hAnsi="宋体"/>
          <w:color w:val="auto"/>
          <w:spacing w:val="-6"/>
          <w:sz w:val="24"/>
          <w:szCs w:val="24"/>
          <w:lang w:val="en-US" w:eastAsia="zh-CN"/>
        </w:rPr>
        <w:t>投标（响应）报价低于采购项目最高限价45%的，即投标（响应）报价&lt;采购项目最高限价×45%；</w:t>
      </w:r>
    </w:p>
    <w:p w14:paraId="7BBB68D5">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④</w:t>
      </w:r>
      <w:r>
        <w:rPr>
          <w:rFonts w:hint="eastAsia" w:ascii="宋体" w:hAnsi="宋体"/>
          <w:color w:val="auto"/>
          <w:spacing w:val="-6"/>
          <w:sz w:val="24"/>
          <w:szCs w:val="24"/>
          <w:lang w:val="en-US" w:eastAsia="zh-CN"/>
        </w:rPr>
        <w:t>评审委员会基于专业判断，认为供应商报价过低，有可能影响产品质量或者不能诚信履约的其他情形。</w:t>
      </w:r>
    </w:p>
    <w:p w14:paraId="25C84DAB">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52F32F7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46E927B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6072B16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w:t>
      </w:r>
      <w:r>
        <w:rPr>
          <w:rFonts w:hint="eastAsia" w:ascii="宋体" w:hAnsi="宋体"/>
          <w:color w:val="auto"/>
          <w:spacing w:val="-6"/>
          <w:sz w:val="24"/>
          <w:szCs w:val="24"/>
        </w:rPr>
        <w:t>人；</w:t>
      </w:r>
    </w:p>
    <w:p w14:paraId="13E7300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3D657BBB">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1AA36994">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19C6B30B">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7B7C8D1C">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5094877C">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74"/>
    <w:bookmarkEnd w:id="75"/>
    <w:p w14:paraId="2E3C9B61">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41" w:name="_Toc11859"/>
      <w:bookmarkStart w:id="242" w:name="_Toc8571"/>
      <w:bookmarkStart w:id="243" w:name="_Toc28358"/>
      <w:bookmarkStart w:id="244" w:name="_Toc8275"/>
      <w:bookmarkStart w:id="245" w:name="_Toc12201"/>
      <w:bookmarkStart w:id="246" w:name="_Toc26820"/>
      <w:bookmarkStart w:id="247" w:name="_Toc467"/>
      <w:bookmarkStart w:id="248" w:name="_Toc25705"/>
      <w:bookmarkStart w:id="249" w:name="_Toc20980"/>
      <w:bookmarkStart w:id="250" w:name="_Toc27001"/>
      <w:bookmarkStart w:id="251" w:name="_Toc6009"/>
      <w:bookmarkStart w:id="252" w:name="_Toc22208"/>
      <w:bookmarkStart w:id="253" w:name="_Toc17194"/>
      <w:bookmarkStart w:id="254" w:name="_Toc6290"/>
      <w:bookmarkStart w:id="255" w:name="_Toc32590"/>
      <w:bookmarkStart w:id="256" w:name="_Toc20654"/>
      <w:bookmarkStart w:id="257" w:name="_Toc8057"/>
      <w:bookmarkStart w:id="258" w:name="_Toc11365"/>
      <w:bookmarkStart w:id="259" w:name="_Toc14837"/>
      <w:bookmarkStart w:id="260" w:name="_Toc23374"/>
      <w:bookmarkStart w:id="261" w:name="_Toc30706"/>
      <w:bookmarkStart w:id="262" w:name="_Toc6013"/>
      <w:bookmarkStart w:id="263" w:name="_Toc11828"/>
      <w:bookmarkStart w:id="264" w:name="_Toc200"/>
      <w:bookmarkStart w:id="265" w:name="_Toc13917"/>
      <w:bookmarkStart w:id="266" w:name="_Toc24793"/>
      <w:bookmarkStart w:id="267" w:name="_Toc433537967"/>
      <w:bookmarkStart w:id="268" w:name="_Toc6184"/>
      <w:bookmarkStart w:id="269" w:name="_Toc4601"/>
      <w:bookmarkStart w:id="270" w:name="_Toc14125"/>
      <w:bookmarkStart w:id="271" w:name="_Toc207550884"/>
      <w:bookmarkStart w:id="272" w:name="_Toc9444"/>
      <w:bookmarkStart w:id="273" w:name="_Toc24390"/>
      <w:bookmarkStart w:id="274" w:name="_Toc183786419"/>
      <w:r>
        <w:rPr>
          <w:rFonts w:hint="eastAsia" w:ascii="楷体" w:hAnsi="楷体" w:eastAsia="楷体" w:cs="楷体"/>
          <w:snapToGrid w:val="0"/>
          <w:color w:val="auto"/>
          <w:kern w:val="44"/>
          <w:sz w:val="32"/>
          <w:szCs w:val="32"/>
        </w:rPr>
        <w:t>五、开启响应文件</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23D1E6A4">
      <w:pPr>
        <w:spacing w:line="288" w:lineRule="auto"/>
        <w:ind w:firstLine="482"/>
        <w:rPr>
          <w:color w:val="auto"/>
          <w:sz w:val="24"/>
        </w:rPr>
      </w:pPr>
      <w:bookmarkStart w:id="275" w:name="_Toc841"/>
      <w:bookmarkStart w:id="276" w:name="_Toc12629"/>
      <w:bookmarkStart w:id="277" w:name="_Toc26833"/>
      <w:bookmarkStart w:id="278" w:name="_Toc15608"/>
      <w:bookmarkStart w:id="279" w:name="_Toc27046"/>
      <w:bookmarkStart w:id="280" w:name="_Toc32220"/>
      <w:bookmarkStart w:id="281" w:name="_Toc25227"/>
      <w:bookmarkStart w:id="282" w:name="_Toc650"/>
      <w:bookmarkStart w:id="283" w:name="_Toc30360"/>
      <w:bookmarkStart w:id="284" w:name="_Toc10811"/>
      <w:bookmarkStart w:id="285" w:name="_Toc26778"/>
      <w:bookmarkStart w:id="286" w:name="_Toc4789"/>
      <w:bookmarkStart w:id="287" w:name="_Toc5075"/>
      <w:bookmarkStart w:id="288" w:name="_Toc12021"/>
      <w:bookmarkStart w:id="289" w:name="_Toc29181"/>
      <w:bookmarkStart w:id="290" w:name="_Toc18007"/>
      <w:bookmarkStart w:id="291" w:name="_Toc11659"/>
      <w:bookmarkStart w:id="292" w:name="_Toc8181"/>
      <w:bookmarkStart w:id="293" w:name="_Toc6558"/>
      <w:bookmarkStart w:id="294" w:name="_Toc29445"/>
      <w:bookmarkStart w:id="295" w:name="_Toc30679"/>
      <w:bookmarkStart w:id="296" w:name="_Toc7609"/>
      <w:bookmarkStart w:id="297" w:name="_Toc10561"/>
      <w:bookmarkStart w:id="298" w:name="_Toc18579"/>
      <w:bookmarkStart w:id="299" w:name="_Toc28057"/>
      <w:bookmarkStart w:id="300" w:name="_Toc9028"/>
      <w:bookmarkStart w:id="301" w:name="_Toc22094"/>
      <w:bookmarkStart w:id="302" w:name="_Toc8052"/>
      <w:bookmarkStart w:id="303" w:name="_Toc667"/>
      <w:bookmarkStart w:id="304" w:name="_Toc902"/>
      <w:bookmarkStart w:id="305" w:name="_Toc13314"/>
      <w:bookmarkStart w:id="306" w:name="_Toc10251"/>
      <w:bookmarkStart w:id="307" w:name="_Toc20003"/>
      <w:bookmarkStart w:id="308" w:name="_Toc22017"/>
      <w:r>
        <w:rPr>
          <w:rFonts w:hint="eastAsia"/>
          <w:color w:val="auto"/>
          <w:sz w:val="24"/>
        </w:rPr>
        <w:t>采购机构按照磋商文件规定的时间通过电子交易平台组织开启，所有供应商均应当准时在线参加。供应商不足3家的，不得开启。</w:t>
      </w:r>
    </w:p>
    <w:p w14:paraId="7B8C0577">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024CFDA7">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5AFBE7E2">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0D10C7BE">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六、</w:t>
      </w:r>
      <w:bookmarkEnd w:id="275"/>
      <w:bookmarkEnd w:id="276"/>
      <w:bookmarkEnd w:id="277"/>
      <w:r>
        <w:rPr>
          <w:rFonts w:hint="eastAsia" w:ascii="楷体" w:hAnsi="楷体" w:eastAsia="楷体" w:cs="楷体"/>
          <w:snapToGrid w:val="0"/>
          <w:color w:val="auto"/>
          <w:kern w:val="44"/>
          <w:sz w:val="32"/>
          <w:szCs w:val="32"/>
        </w:rPr>
        <w:t>评审和磋商</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0FC6445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06A8AC5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16A6D45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3D4E225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1</w:t>
      </w:r>
      <w:r>
        <w:rPr>
          <w:rFonts w:hint="eastAsia"/>
          <w:color w:val="auto"/>
          <w:sz w:val="24"/>
        </w:rPr>
        <w:t>、无效的响应文件不再进入下一步磋商程序；</w:t>
      </w:r>
    </w:p>
    <w:p w14:paraId="622EF41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2</w:t>
      </w:r>
      <w:r>
        <w:rPr>
          <w:rFonts w:hint="eastAsia"/>
          <w:color w:val="auto"/>
          <w:sz w:val="24"/>
        </w:rPr>
        <w:t>、判断响应文件的</w:t>
      </w:r>
      <w:r>
        <w:rPr>
          <w:rFonts w:hint="eastAsia"/>
          <w:color w:val="auto"/>
          <w:sz w:val="24"/>
          <w:lang w:val="en-US" w:eastAsia="zh-CN"/>
        </w:rPr>
        <w:t>有效</w:t>
      </w:r>
      <w:r>
        <w:rPr>
          <w:rFonts w:hint="eastAsia"/>
          <w:color w:val="auto"/>
          <w:sz w:val="24"/>
        </w:rPr>
        <w:t>性仅基于响应文件本身而不靠外部证据；</w:t>
      </w:r>
    </w:p>
    <w:p w14:paraId="31E9BE8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024E99C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0F765D4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0B97740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08EC0D9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C96CC9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3312507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1EEA83E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35000BE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5689FD8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52E4933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61B1B5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30464A0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rFonts w:hint="eastAsia"/>
          <w:color w:val="auto"/>
          <w:sz w:val="24"/>
        </w:rPr>
      </w:pPr>
      <w:r>
        <w:rPr>
          <w:rFonts w:hint="eastAsia"/>
          <w:color w:val="auto"/>
          <w:sz w:val="24"/>
        </w:rPr>
        <w:t>供应商的最后报价无法通过政府采购云平台上传的，可在规定时间内（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3882E07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6BF47AE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响应文件报价出现前后不一致的，除磋商文件另有规定外，按照下列规定修正：</w:t>
      </w:r>
    </w:p>
    <w:p w14:paraId="37CA381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（一）响应文件中报价表内容与响应文件中相应内容不一致的，以报价表为准；</w:t>
      </w:r>
    </w:p>
    <w:p w14:paraId="4D6A238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（二）大写金额和小写金额不一致的，以大写金额为准；</w:t>
      </w:r>
    </w:p>
    <w:p w14:paraId="1C05286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（三）单价金额小数点或者百分比有明显错位的，以报价表的总价为准，并修改单价；</w:t>
      </w:r>
    </w:p>
    <w:p w14:paraId="3CBB2AB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（四）总价金额与按单价汇总金额不一致的，以单价金额计算结果为准；</w:t>
      </w:r>
    </w:p>
    <w:p w14:paraId="20D9B0A5">
      <w:pPr>
        <w:pStyle w:val="6"/>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7A74586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rFonts w:hint="default"/>
          <w:b/>
          <w:bCs/>
          <w:color w:val="auto"/>
          <w:sz w:val="24"/>
          <w:szCs w:val="22"/>
          <w:lang w:val="en-US" w:eastAsia="zh-CN"/>
        </w:rPr>
      </w:pPr>
      <w:r>
        <w:rPr>
          <w:rFonts w:hint="eastAsia"/>
          <w:b/>
          <w:bCs/>
          <w:color w:val="auto"/>
          <w:sz w:val="24"/>
          <w:szCs w:val="22"/>
          <w:lang w:eastAsia="zh-CN"/>
        </w:rPr>
        <w:t>（</w:t>
      </w:r>
      <w:r>
        <w:rPr>
          <w:rFonts w:hint="eastAsia"/>
          <w:b/>
          <w:bCs/>
          <w:color w:val="auto"/>
          <w:sz w:val="24"/>
          <w:szCs w:val="22"/>
          <w:lang w:val="en-US" w:eastAsia="zh-CN"/>
        </w:rPr>
        <w:t>六</w:t>
      </w:r>
      <w:r>
        <w:rPr>
          <w:rFonts w:hint="eastAsia"/>
          <w:b/>
          <w:bCs/>
          <w:color w:val="auto"/>
          <w:sz w:val="24"/>
          <w:szCs w:val="22"/>
          <w:lang w:eastAsia="zh-CN"/>
        </w:rPr>
        <w:t>）</w:t>
      </w:r>
      <w:r>
        <w:rPr>
          <w:rFonts w:hint="eastAsia"/>
          <w:b/>
          <w:bCs/>
          <w:color w:val="auto"/>
          <w:sz w:val="24"/>
          <w:szCs w:val="22"/>
          <w:lang w:val="en-US" w:eastAsia="zh-CN"/>
        </w:rPr>
        <w:t>异常低价审查</w:t>
      </w:r>
    </w:p>
    <w:p w14:paraId="25CB732D">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评审中出现下列情形之一的，评审委员会应当启动异常低价投标（响应）审查程序： </w:t>
      </w:r>
    </w:p>
    <w:p w14:paraId="0ED056C9">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1.投标（响应）报价低于全部通过符合性审查供应商投标（响应）报价平均值50%的，即投标（响应）报价&lt;全部通过符合性审查供应商投标（响应）报价平均值×50%； </w:t>
      </w:r>
    </w:p>
    <w:p w14:paraId="20647B6F">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2.投标（响应）报价低于通过符合性审查的次低报价供应商投标（响应）报价50%的，即投标（响应）报价&lt;通过符合性审查的次低报价供应商投标（响应）报价×50%； </w:t>
      </w:r>
    </w:p>
    <w:p w14:paraId="52B36754">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3.投标（响应）报价低于采购项目最高限价45%的，即投标（响应）报价&lt;采购项目最高限价×45%； </w:t>
      </w:r>
    </w:p>
    <w:p w14:paraId="24CC8931">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4.评审委员会基于专业判断，认为供应商报价过低，有可能影响产品质量或者不能诚信履约的其他情形。 </w:t>
      </w:r>
    </w:p>
    <w:p w14:paraId="52ECB71B">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评审委员会启动异常低价</w:t>
      </w:r>
      <w:r>
        <w:rPr>
          <w:rFonts w:hint="eastAsia"/>
          <w:color w:val="auto"/>
          <w:sz w:val="24"/>
          <w:szCs w:val="22"/>
        </w:rPr>
        <w:t>投标（响应）审查后，属于前述第1项至第4项情形的，</w:t>
      </w:r>
      <w:r>
        <w:rPr>
          <w:rFonts w:hint="eastAsia"/>
          <w:b/>
          <w:bCs/>
          <w:color w:val="auto"/>
          <w:sz w:val="24"/>
          <w:szCs w:val="22"/>
        </w:rPr>
        <w:t>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b/>
          <w:bCs/>
          <w:color w:val="auto"/>
          <w:sz w:val="24"/>
          <w:szCs w:val="22"/>
          <w:lang w:val="en-US" w:eastAsia="zh-CN"/>
        </w:rPr>
        <w:t>供应商应当同时提供</w:t>
      </w:r>
      <w:r>
        <w:rPr>
          <w:rFonts w:hint="eastAsia"/>
          <w:b/>
          <w:bCs/>
          <w:color w:val="auto"/>
          <w:sz w:val="24"/>
          <w:szCs w:val="22"/>
        </w:rPr>
        <w:t>同类项目中标（成交）价格、类似产品市场价格水平、行业人工费用标准、国家有关部门指导行业协会发布的行业平均成本</w:t>
      </w:r>
      <w:r>
        <w:rPr>
          <w:rFonts w:hint="eastAsia"/>
          <w:b/>
          <w:bCs/>
          <w:color w:val="auto"/>
          <w:sz w:val="24"/>
          <w:szCs w:val="22"/>
          <w:lang w:val="en-US" w:eastAsia="zh-CN"/>
        </w:rPr>
        <w:t>等相关证明材料</w:t>
      </w:r>
      <w:r>
        <w:rPr>
          <w:rFonts w:hint="eastAsia"/>
          <w:color w:val="auto"/>
          <w:sz w:val="24"/>
          <w:szCs w:val="22"/>
        </w:rPr>
        <w:t>，给予相关供应商的合理时间一般不少于30分钟。其中，属于第3项情形，供应商已随投标（响应）文件一并提交相关书面说明及必要的证明材料的，在评审现场可不再重复提交。 </w:t>
      </w:r>
    </w:p>
    <w:p w14:paraId="2BBBA62E">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1F92D1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七</w:t>
      </w:r>
      <w:r>
        <w:rPr>
          <w:rFonts w:hint="eastAsia"/>
          <w:b/>
          <w:bCs/>
          <w:color w:val="auto"/>
          <w:sz w:val="24"/>
        </w:rPr>
        <w:t>）综合评分</w:t>
      </w:r>
    </w:p>
    <w:p w14:paraId="2B34E98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39A5B78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218DFE5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八</w:t>
      </w:r>
      <w:r>
        <w:rPr>
          <w:rFonts w:hint="eastAsia"/>
          <w:b/>
          <w:bCs/>
          <w:color w:val="auto"/>
          <w:sz w:val="24"/>
        </w:rPr>
        <w:t>）汇总商务技术得分</w:t>
      </w:r>
    </w:p>
    <w:p w14:paraId="713B3E5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4154A98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1F3A4FD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九</w:t>
      </w:r>
      <w:r>
        <w:rPr>
          <w:rFonts w:hint="eastAsia"/>
          <w:b/>
          <w:bCs/>
          <w:color w:val="auto"/>
          <w:sz w:val="24"/>
        </w:rPr>
        <w:t>）排序与推荐</w:t>
      </w:r>
    </w:p>
    <w:p w14:paraId="49BBA96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09" w:name="OLE_LINK6"/>
      <w:r>
        <w:rPr>
          <w:rFonts w:hint="eastAsia"/>
          <w:color w:val="auto"/>
          <w:sz w:val="24"/>
        </w:rPr>
        <w:t>第二十一条第三款</w:t>
      </w:r>
      <w:bookmarkEnd w:id="309"/>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3B39867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十</w:t>
      </w:r>
      <w:r>
        <w:rPr>
          <w:rFonts w:hint="eastAsia"/>
          <w:b/>
          <w:bCs/>
          <w:color w:val="auto"/>
          <w:sz w:val="24"/>
        </w:rPr>
        <w:t>）编写评审报告</w:t>
      </w:r>
    </w:p>
    <w:p w14:paraId="4D7B5BF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2EBB785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w:t>
      </w:r>
      <w:r>
        <w:rPr>
          <w:rFonts w:hint="eastAsia"/>
          <w:b/>
          <w:bCs/>
          <w:color w:val="auto"/>
          <w:sz w:val="24"/>
          <w:lang w:val="en-US" w:eastAsia="zh-CN"/>
        </w:rPr>
        <w:t>一</w:t>
      </w:r>
      <w:r>
        <w:rPr>
          <w:rFonts w:hint="eastAsia"/>
          <w:b/>
          <w:bCs/>
          <w:color w:val="auto"/>
          <w:sz w:val="24"/>
        </w:rPr>
        <w:t>）磋商评审过程的保密性</w:t>
      </w:r>
    </w:p>
    <w:p w14:paraId="750218A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07A45B0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1BE39C30">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10" w:name="_Toc2251"/>
      <w:bookmarkStart w:id="311" w:name="_Toc28002"/>
      <w:bookmarkStart w:id="312" w:name="_Toc20162"/>
      <w:bookmarkStart w:id="313" w:name="_Toc17917"/>
      <w:bookmarkStart w:id="314" w:name="_Toc17524"/>
      <w:bookmarkStart w:id="315" w:name="_Toc4483"/>
      <w:bookmarkStart w:id="316" w:name="_Toc16451"/>
      <w:bookmarkStart w:id="317" w:name="_Toc27426"/>
      <w:bookmarkStart w:id="318" w:name="_Toc26044"/>
      <w:bookmarkStart w:id="319" w:name="_Toc14468"/>
      <w:bookmarkStart w:id="320" w:name="_Toc29029"/>
      <w:bookmarkStart w:id="321" w:name="_Toc8603"/>
      <w:bookmarkStart w:id="322" w:name="_Toc5340"/>
      <w:bookmarkStart w:id="323" w:name="_Toc9496"/>
      <w:bookmarkStart w:id="324" w:name="_Toc326"/>
      <w:bookmarkStart w:id="325" w:name="_Toc6273"/>
      <w:bookmarkStart w:id="326" w:name="_Toc15767"/>
      <w:bookmarkStart w:id="327" w:name="_Toc5529"/>
      <w:bookmarkStart w:id="328" w:name="_Toc18073"/>
      <w:bookmarkStart w:id="329" w:name="_Toc32587"/>
      <w:bookmarkStart w:id="330" w:name="_Toc3813"/>
      <w:bookmarkStart w:id="331" w:name="_Toc21515"/>
      <w:bookmarkStart w:id="332" w:name="_Toc13854"/>
      <w:bookmarkStart w:id="333" w:name="_Toc22706"/>
      <w:bookmarkStart w:id="334" w:name="_Toc30131"/>
      <w:bookmarkStart w:id="335" w:name="_Toc26757"/>
      <w:bookmarkStart w:id="336" w:name="_Toc26288"/>
      <w:bookmarkStart w:id="337" w:name="_Toc29830"/>
      <w:bookmarkStart w:id="338" w:name="_Toc10879"/>
      <w:bookmarkStart w:id="339" w:name="_Toc12279"/>
      <w:bookmarkStart w:id="340" w:name="_Toc22665"/>
      <w:bookmarkStart w:id="341" w:name="_Toc7256"/>
      <w:bookmarkStart w:id="342" w:name="_Toc30041"/>
      <w:bookmarkStart w:id="343" w:name="_Toc21433"/>
      <w:r>
        <w:rPr>
          <w:rFonts w:hint="eastAsia" w:ascii="楷体" w:hAnsi="楷体" w:eastAsia="楷体" w:cs="楷体"/>
          <w:snapToGrid w:val="0"/>
          <w:color w:val="auto"/>
          <w:kern w:val="44"/>
          <w:sz w:val="32"/>
          <w:szCs w:val="32"/>
        </w:rPr>
        <w:t>七、合同授予</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22835CB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026084BA">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5808B6B4">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4463292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76A5873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08754871">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78F59753">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434739C4">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345A2A8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33CA0FCE">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20EA3688">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46FD5CCF">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51CC9207">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765C3562">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4BCD773F">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268749A8">
      <w:pPr>
        <w:pStyle w:val="4"/>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p>
    <w:p w14:paraId="4BB9B8F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142A93D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7AE2ABD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6312842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042AC61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2C99D06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31E3FE0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497FBB36">
      <w:pPr>
        <w:pStyle w:val="2"/>
        <w:bidi w:val="0"/>
        <w:outlineLvl w:val="0"/>
        <w:rPr>
          <w:rFonts w:hint="eastAsia" w:ascii="Times New Roman" w:hAnsi="Times New Roman" w:eastAsia="黑体" w:cs="Times New Roman"/>
          <w:b/>
          <w:color w:val="auto"/>
          <w:kern w:val="44"/>
          <w:sz w:val="36"/>
          <w:szCs w:val="22"/>
          <w:lang w:val="en-US" w:eastAsia="zh-CN" w:bidi="ar-SA"/>
        </w:rPr>
      </w:pPr>
      <w:bookmarkStart w:id="344" w:name="_Toc31754"/>
      <w:bookmarkStart w:id="345" w:name="_Toc18478"/>
      <w:bookmarkStart w:id="346" w:name="_Toc30987"/>
      <w:bookmarkStart w:id="347" w:name="_Toc10023"/>
      <w:bookmarkStart w:id="348" w:name="_Toc24700"/>
      <w:bookmarkStart w:id="349" w:name="_Toc11599"/>
      <w:bookmarkStart w:id="350" w:name="_Toc27094"/>
      <w:r>
        <w:rPr>
          <w:rStyle w:val="55"/>
          <w:rFonts w:ascii="Times New Roman" w:hAnsi="Times New Roman"/>
          <w:b/>
          <w:snapToGrid w:val="0"/>
          <w:color w:val="auto"/>
        </w:rPr>
        <w:br w:type="page"/>
      </w:r>
      <w:bookmarkStart w:id="351" w:name="_Toc1437_WPSOffice_Level1"/>
      <w:bookmarkStart w:id="352" w:name="_Toc30301"/>
      <w:bookmarkStart w:id="353" w:name="_Toc32035"/>
      <w:bookmarkStart w:id="354" w:name="_Toc7293"/>
      <w:bookmarkStart w:id="355" w:name="_Toc30158"/>
      <w:bookmarkStart w:id="356" w:name="_Toc365"/>
      <w:bookmarkStart w:id="357" w:name="_Toc7338"/>
      <w:bookmarkStart w:id="358" w:name="_Toc6438"/>
      <w:bookmarkStart w:id="359" w:name="_Toc27525"/>
      <w:bookmarkStart w:id="360" w:name="_Toc15832"/>
      <w:bookmarkStart w:id="361" w:name="_Toc14142"/>
      <w:bookmarkStart w:id="362" w:name="_Toc15038"/>
      <w:bookmarkStart w:id="363" w:name="_Toc9109"/>
      <w:bookmarkStart w:id="364" w:name="_Toc24396"/>
      <w:bookmarkStart w:id="365" w:name="_Toc20593"/>
      <w:bookmarkStart w:id="366" w:name="_Toc22180"/>
      <w:bookmarkStart w:id="367" w:name="_Toc16902"/>
      <w:bookmarkStart w:id="368" w:name="_Toc8630"/>
      <w:bookmarkStart w:id="369" w:name="_Toc12012"/>
      <w:bookmarkStart w:id="370" w:name="_Toc17708"/>
      <w:bookmarkStart w:id="371" w:name="_Toc14406"/>
      <w:bookmarkStart w:id="372" w:name="_Toc26169"/>
      <w:bookmarkStart w:id="373" w:name="_Toc23632"/>
      <w:bookmarkStart w:id="374" w:name="_Toc26100"/>
      <w:bookmarkStart w:id="375" w:name="_Toc3282"/>
      <w:bookmarkStart w:id="376" w:name="_Toc646"/>
      <w:bookmarkStart w:id="377" w:name="_Toc12347"/>
      <w:bookmarkStart w:id="378" w:name="_Toc10406"/>
      <w:bookmarkStart w:id="379" w:name="_Toc27781"/>
      <w:bookmarkStart w:id="380" w:name="_Toc17768"/>
      <w:bookmarkStart w:id="381" w:name="_Toc23225"/>
      <w:bookmarkStart w:id="382" w:name="_Toc5470"/>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51"/>
    </w:p>
    <w:bookmarkEnd w:id="344"/>
    <w:bookmarkEnd w:id="345"/>
    <w:bookmarkEnd w:id="346"/>
    <w:bookmarkEnd w:id="347"/>
    <w:bookmarkEnd w:id="348"/>
    <w:bookmarkEnd w:id="349"/>
    <w:bookmarkEnd w:id="350"/>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14:paraId="48D2A816">
      <w:pPr>
        <w:pStyle w:val="4"/>
        <w:ind w:left="0" w:firstLine="0"/>
        <w:outlineLvl w:val="1"/>
        <w:rPr>
          <w:rFonts w:hint="eastAsia" w:eastAsia="宋体"/>
          <w:color w:val="auto"/>
          <w:lang w:eastAsia="zh-CN"/>
        </w:rPr>
      </w:pPr>
      <w:bookmarkStart w:id="383" w:name="_Toc1660"/>
      <w:bookmarkStart w:id="384" w:name="_Toc20153"/>
      <w:bookmarkStart w:id="385" w:name="_Toc27955"/>
      <w:bookmarkStart w:id="386" w:name="_Toc14512"/>
      <w:bookmarkStart w:id="387" w:name="_Toc3691"/>
      <w:bookmarkStart w:id="388" w:name="_Toc29510"/>
      <w:bookmarkStart w:id="389" w:name="_Toc3711"/>
      <w:bookmarkStart w:id="390" w:name="_Toc21296"/>
      <w:bookmarkStart w:id="391" w:name="_Toc31434"/>
      <w:r>
        <w:rPr>
          <w:rFonts w:hint="eastAsia"/>
          <w:color w:val="auto"/>
        </w:rPr>
        <w:t>一、</w:t>
      </w:r>
      <w:r>
        <w:rPr>
          <w:rFonts w:hint="eastAsia"/>
          <w:color w:val="auto"/>
          <w:lang w:val="en-US" w:eastAsia="zh-CN"/>
        </w:rPr>
        <w:t>概况</w:t>
      </w:r>
    </w:p>
    <w:p w14:paraId="1D04418C">
      <w:pPr>
        <w:pStyle w:val="6"/>
        <w:keepNext w:val="0"/>
        <w:keepLines w:val="0"/>
        <w:pageBreakBefore w:val="0"/>
        <w:widowControl w:val="0"/>
        <w:kinsoku/>
        <w:wordWrap/>
        <w:overflowPunct/>
        <w:topLinePunct w:val="0"/>
        <w:autoSpaceDE/>
        <w:autoSpaceDN/>
        <w:bidi w:val="0"/>
        <w:adjustRightInd/>
        <w:snapToGrid/>
        <w:spacing w:line="288" w:lineRule="auto"/>
        <w:ind w:firstLine="420"/>
        <w:textAlignment w:val="auto"/>
        <w:rPr>
          <w:bCs/>
          <w:color w:val="auto"/>
          <w:sz w:val="24"/>
        </w:rPr>
      </w:pPr>
      <w:r>
        <w:rPr>
          <w:rFonts w:hint="eastAsia" w:ascii="宋体" w:hAnsi="宋体" w:cs="宋体"/>
          <w:color w:val="auto"/>
          <w:sz w:val="24"/>
        </w:rPr>
        <w:t>为保障杭州科技大学绍兴校区教学活动有序开展，保障多媒体教室、实验室教学设备稳定运行，保障校园有线、无线网络、桌面终端、机房弱电系统可靠运行，参照浙江其他高校一体化运维服务项目模式，开展绍兴校区教学设施 + 网络一体化运维服务。本项目主要服务对象为校区 87 间多媒体教室、10 间教学实验室、全校基础网络，覆盖多媒体教学设施、实验室设备、校园网络、桌面终端、弱电机房系统等。</w:t>
      </w:r>
    </w:p>
    <w:p w14:paraId="4A0DBCD3">
      <w:pPr>
        <w:pStyle w:val="6"/>
        <w:rPr>
          <w:color w:val="auto"/>
        </w:rPr>
      </w:pPr>
    </w:p>
    <w:p w14:paraId="38EAA5CD">
      <w:pPr>
        <w:pStyle w:val="4"/>
        <w:ind w:left="0" w:firstLine="0"/>
        <w:outlineLvl w:val="1"/>
        <w:rPr>
          <w:rFonts w:hint="eastAsia" w:ascii="宋体" w:hAnsi="Times New Roman" w:eastAsia="宋体" w:cs="Times New Roman"/>
          <w:color w:val="auto"/>
          <w:szCs w:val="22"/>
        </w:rPr>
      </w:pPr>
      <w:r>
        <w:rPr>
          <w:rFonts w:hint="eastAsia" w:ascii="宋体" w:hAnsi="Times New Roman" w:eastAsia="宋体" w:cs="Times New Roman"/>
          <w:color w:val="auto"/>
          <w:szCs w:val="22"/>
          <w:lang w:val="en-US" w:eastAsia="zh-CN"/>
        </w:rPr>
        <w:t>三、</w:t>
      </w:r>
      <w:r>
        <w:rPr>
          <w:rFonts w:hint="eastAsia" w:ascii="宋体" w:hAnsi="Times New Roman" w:eastAsia="宋体" w:cs="Times New Roman"/>
          <w:color w:val="auto"/>
          <w:szCs w:val="22"/>
        </w:rPr>
        <w:t>服务内容和详细要求</w:t>
      </w:r>
    </w:p>
    <w:p w14:paraId="13B0A5F7">
      <w:pPr>
        <w:rPr>
          <w:color w:val="auto"/>
        </w:rPr>
      </w:pPr>
    </w:p>
    <w:p w14:paraId="11831096">
      <w:pPr>
        <w:pStyle w:val="4"/>
        <w:keepLines w:val="0"/>
        <w:pageBreakBefore w:val="0"/>
        <w:widowControl/>
        <w:numPr>
          <w:ilvl w:val="0"/>
          <w:numId w:val="5"/>
        </w:numPr>
        <w:kinsoku/>
        <w:wordWrap/>
        <w:overflowPunct/>
        <w:topLinePunct w:val="0"/>
        <w:autoSpaceDE/>
        <w:autoSpaceDN/>
        <w:bidi w:val="0"/>
        <w:spacing w:line="288" w:lineRule="auto"/>
        <w:ind w:left="0" w:leftChars="0" w:firstLine="420" w:firstLine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服务范围</w:t>
      </w:r>
    </w:p>
    <w:p w14:paraId="7359BFEF">
      <w:pPr>
        <w:keepLines w:val="0"/>
        <w:pageBreakBefore w:val="0"/>
        <w:widowControl/>
        <w:numPr>
          <w:ilvl w:val="0"/>
          <w:numId w:val="6"/>
        </w:numPr>
        <w:kinsoku/>
        <w:wordWrap/>
        <w:overflowPunct/>
        <w:topLinePunct w:val="0"/>
        <w:autoSpaceDE/>
        <w:autoSpaceDN/>
        <w:bidi w:val="0"/>
        <w:spacing w:line="288" w:lineRule="auto"/>
        <w:ind w:left="425" w:leftChars="0" w:hanging="425" w:firstLineChars="0"/>
        <w:rPr>
          <w:rFonts w:hint="eastAsia" w:ascii="宋体" w:hAnsi="宋体" w:eastAsia="宋体" w:cs="宋体"/>
          <w:color w:val="auto"/>
          <w:sz w:val="24"/>
          <w:szCs w:val="24"/>
        </w:rPr>
      </w:pPr>
      <w:r>
        <w:rPr>
          <w:rFonts w:hint="eastAsia" w:ascii="宋体" w:hAnsi="宋体" w:eastAsia="宋体" w:cs="宋体"/>
          <w:color w:val="auto"/>
          <w:sz w:val="24"/>
          <w:szCs w:val="24"/>
        </w:rPr>
        <w:t>教学场地：87 个多媒体教室、10 个教学实验室；</w:t>
      </w:r>
    </w:p>
    <w:p w14:paraId="0506BFEE">
      <w:pPr>
        <w:keepLines w:val="0"/>
        <w:pageBreakBefore w:val="0"/>
        <w:widowControl/>
        <w:numPr>
          <w:ilvl w:val="0"/>
          <w:numId w:val="6"/>
        </w:numPr>
        <w:kinsoku/>
        <w:wordWrap/>
        <w:overflowPunct/>
        <w:topLinePunct w:val="0"/>
        <w:autoSpaceDE/>
        <w:autoSpaceDN/>
        <w:bidi w:val="0"/>
        <w:spacing w:line="288" w:lineRule="auto"/>
        <w:ind w:left="425" w:leftChars="0" w:hanging="425" w:firstLineChars="0"/>
        <w:rPr>
          <w:rFonts w:hint="eastAsia" w:ascii="宋体" w:hAnsi="宋体" w:eastAsia="宋体" w:cs="宋体"/>
          <w:color w:val="auto"/>
          <w:sz w:val="24"/>
          <w:szCs w:val="24"/>
        </w:rPr>
      </w:pPr>
      <w:r>
        <w:rPr>
          <w:rFonts w:hint="eastAsia" w:ascii="宋体" w:hAnsi="宋体" w:eastAsia="宋体" w:cs="宋体"/>
          <w:color w:val="auto"/>
          <w:sz w:val="24"/>
          <w:szCs w:val="24"/>
        </w:rPr>
        <w:t>教学硬件设备：多媒体教室电脑、投影机、幕布、功放、话筒、实物展台、讲台控制台；实验室教学主机、显示设备、音响、实验配套音视频设备；</w:t>
      </w:r>
    </w:p>
    <w:p w14:paraId="1CCD911C">
      <w:pPr>
        <w:keepLines w:val="0"/>
        <w:pageBreakBefore w:val="0"/>
        <w:widowControl/>
        <w:numPr>
          <w:ilvl w:val="0"/>
          <w:numId w:val="6"/>
        </w:numPr>
        <w:kinsoku/>
        <w:wordWrap/>
        <w:overflowPunct/>
        <w:topLinePunct w:val="0"/>
        <w:autoSpaceDE/>
        <w:autoSpaceDN/>
        <w:bidi w:val="0"/>
        <w:spacing w:line="288" w:lineRule="auto"/>
        <w:ind w:left="425" w:leftChars="0" w:hanging="425" w:firstLineChars="0"/>
        <w:rPr>
          <w:rFonts w:hint="eastAsia" w:ascii="宋体" w:hAnsi="宋体" w:eastAsia="宋体" w:cs="宋体"/>
          <w:color w:val="auto"/>
          <w:sz w:val="24"/>
          <w:szCs w:val="24"/>
        </w:rPr>
      </w:pPr>
      <w:r>
        <w:rPr>
          <w:rFonts w:hint="eastAsia" w:ascii="宋体" w:hAnsi="宋体" w:eastAsia="宋体" w:cs="宋体"/>
          <w:color w:val="auto"/>
          <w:sz w:val="24"/>
          <w:szCs w:val="24"/>
        </w:rPr>
        <w:t>网络运维范围：绍兴校区教学、实验、办公区域有线网络、无线网络 AP、楼宇汇聚 / 楼道交换机、信息点位、弱电线路、弱电机房、UPS 间；办公及教学桌面终端；视频会议系统；</w:t>
      </w:r>
    </w:p>
    <w:p w14:paraId="44FBBCF5">
      <w:pPr>
        <w:keepLines w:val="0"/>
        <w:pageBreakBefore w:val="0"/>
        <w:widowControl/>
        <w:numPr>
          <w:ilvl w:val="0"/>
          <w:numId w:val="6"/>
        </w:numPr>
        <w:kinsoku/>
        <w:wordWrap/>
        <w:overflowPunct/>
        <w:topLinePunct w:val="0"/>
        <w:autoSpaceDE/>
        <w:autoSpaceDN/>
        <w:bidi w:val="0"/>
        <w:spacing w:line="288" w:lineRule="auto"/>
        <w:ind w:left="425" w:leftChars="0" w:hanging="425" w:firstLineChars="0"/>
        <w:rPr>
          <w:rFonts w:hint="eastAsia" w:ascii="宋体" w:hAnsi="宋体" w:eastAsia="宋体" w:cs="宋体"/>
          <w:color w:val="auto"/>
          <w:sz w:val="24"/>
          <w:szCs w:val="24"/>
        </w:rPr>
      </w:pPr>
      <w:r>
        <w:rPr>
          <w:rFonts w:hint="eastAsia" w:ascii="宋体" w:hAnsi="宋体" w:eastAsia="宋体" w:cs="宋体"/>
          <w:color w:val="auto"/>
          <w:sz w:val="24"/>
          <w:szCs w:val="24"/>
        </w:rPr>
        <w:t>配套工作：设备巡检检修、网络质量监测、资产台账管理、故障应急处置、师生操作培训、重大教学考试会议保障、运维工单闭环管理、24 小时客服受理。</w:t>
      </w:r>
    </w:p>
    <w:p w14:paraId="33FEF639">
      <w:pPr>
        <w:pStyle w:val="4"/>
        <w:keepLines w:val="0"/>
        <w:pageBreakBefore w:val="0"/>
        <w:widowControl/>
        <w:numPr>
          <w:ilvl w:val="0"/>
          <w:numId w:val="5"/>
        </w:numPr>
        <w:kinsoku/>
        <w:wordWrap/>
        <w:overflowPunct/>
        <w:topLinePunct w:val="0"/>
        <w:autoSpaceDE/>
        <w:autoSpaceDN/>
        <w:bidi w:val="0"/>
        <w:spacing w:line="288" w:lineRule="auto"/>
        <w:ind w:left="0" w:leftChars="0" w:firstLine="420" w:firstLine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人员要求</w:t>
      </w:r>
    </w:p>
    <w:p w14:paraId="27803370">
      <w:pPr>
        <w:pStyle w:val="42"/>
        <w:keepLines w:val="0"/>
        <w:pageBreakBefore w:val="0"/>
        <w:widowControl/>
        <w:kinsoku/>
        <w:wordWrap/>
        <w:overflowPunct/>
        <w:topLinePunct w:val="0"/>
        <w:autoSpaceDE/>
        <w:autoSpaceDN/>
        <w:bidi w:val="0"/>
        <w:spacing w:beforeAutospacing="0" w:afterAutospacing="0"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本项目配置 3 名专职驻点运维人员（2名教学设施运维人员+1名桌面及网络系统运维人员），全部为运维服务商正式员工。</w:t>
      </w:r>
    </w:p>
    <w:p w14:paraId="1FE9062D">
      <w:pPr>
        <w:pStyle w:val="42"/>
        <w:keepLines w:val="0"/>
        <w:pageBreakBefore w:val="0"/>
        <w:widowControl/>
        <w:kinsoku/>
        <w:wordWrap/>
        <w:overflowPunct/>
        <w:topLinePunct w:val="0"/>
        <w:autoSpaceDE/>
        <w:autoSpaceDN/>
        <w:bidi w:val="0"/>
        <w:spacing w:beforeAutospacing="0" w:afterAutospacing="0"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人员管理要求：</w:t>
      </w:r>
    </w:p>
    <w:p w14:paraId="01EBBC5F">
      <w:pPr>
        <w:keepLines w:val="0"/>
        <w:pageBreakBefore w:val="0"/>
        <w:widowControl/>
        <w:numPr>
          <w:ilvl w:val="0"/>
          <w:numId w:val="7"/>
        </w:numPr>
        <w:kinsoku/>
        <w:wordWrap/>
        <w:overflowPunct/>
        <w:topLinePunct w:val="0"/>
        <w:autoSpaceDE/>
        <w:autoSpaceDN/>
        <w:bidi w:val="0"/>
        <w:spacing w:line="288"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设置固定驻点办公场所，设立专门运维服务热线，保留讲台呼叫功能并接入运维工单系统；</w:t>
      </w:r>
    </w:p>
    <w:p w14:paraId="5728FB3B">
      <w:pPr>
        <w:keepLines w:val="0"/>
        <w:pageBreakBefore w:val="0"/>
        <w:widowControl/>
        <w:numPr>
          <w:ilvl w:val="0"/>
          <w:numId w:val="7"/>
        </w:numPr>
        <w:kinsoku/>
        <w:wordWrap/>
        <w:overflowPunct/>
        <w:topLinePunct w:val="0"/>
        <w:autoSpaceDE/>
        <w:autoSpaceDN/>
        <w:bidi w:val="0"/>
        <w:spacing w:line="288"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教学上课期间实行 5×13 小时运维值守（7:50</w:t>
      </w:r>
      <w:r>
        <w:rPr>
          <w:rFonts w:hint="eastAsia" w:ascii="宋体" w:hAnsi="宋体" w:eastAsia="宋体" w:cs="宋体"/>
          <w:color w:val="auto"/>
          <w:sz w:val="24"/>
          <w:szCs w:val="24"/>
        </w:rPr>
        <w:noBreakHyphen/>
      </w:r>
      <w:r>
        <w:rPr>
          <w:rFonts w:hint="eastAsia" w:ascii="宋体" w:hAnsi="宋体" w:eastAsia="宋体" w:cs="宋体"/>
          <w:color w:val="auto"/>
          <w:sz w:val="24"/>
          <w:szCs w:val="24"/>
        </w:rPr>
        <w:t>21:00）；工作日教学时段多媒体报修快速到场；网络、实验室故障 20 分钟内到场；</w:t>
      </w:r>
    </w:p>
    <w:p w14:paraId="717BBDB7">
      <w:pPr>
        <w:keepLines w:val="0"/>
        <w:pageBreakBefore w:val="0"/>
        <w:widowControl/>
        <w:numPr>
          <w:ilvl w:val="0"/>
          <w:numId w:val="7"/>
        </w:numPr>
        <w:kinsoku/>
        <w:wordWrap/>
        <w:overflowPunct/>
        <w:topLinePunct w:val="0"/>
        <w:autoSpaceDE/>
        <w:autoSpaceDN/>
        <w:bidi w:val="0"/>
        <w:spacing w:line="288"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周末、法定节假日、寒暑假保证至少 1 人值班；非工作时间网络故障 5 分钟远程响应，20 分钟现场响应；重大节假日、网络割接、大面积网络故障落实 24 小时值班；</w:t>
      </w:r>
    </w:p>
    <w:p w14:paraId="7BE8D3CA">
      <w:pPr>
        <w:keepLines w:val="0"/>
        <w:pageBreakBefore w:val="0"/>
        <w:widowControl/>
        <w:numPr>
          <w:ilvl w:val="0"/>
          <w:numId w:val="7"/>
        </w:numPr>
        <w:kinsoku/>
        <w:wordWrap/>
        <w:overflowPunct/>
        <w:topLinePunct w:val="0"/>
        <w:autoSpaceDE/>
        <w:autoSpaceDN/>
        <w:bidi w:val="0"/>
        <w:spacing w:line="288"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每学期开学前 1</w:t>
      </w:r>
      <w:r>
        <w:rPr>
          <w:rFonts w:hint="eastAsia" w:ascii="宋体" w:hAnsi="宋体" w:eastAsia="宋体" w:cs="宋体"/>
          <w:color w:val="auto"/>
          <w:sz w:val="24"/>
          <w:szCs w:val="24"/>
        </w:rPr>
        <w:noBreakHyphen/>
      </w:r>
      <w:r>
        <w:rPr>
          <w:rFonts w:hint="eastAsia" w:ascii="宋体" w:hAnsi="宋体" w:eastAsia="宋体" w:cs="宋体"/>
          <w:color w:val="auto"/>
          <w:sz w:val="24"/>
          <w:szCs w:val="24"/>
        </w:rPr>
        <w:t>2 周，服务商按需增派临时技术人员，保障开学设备、网络全面排查。</w:t>
      </w:r>
    </w:p>
    <w:p w14:paraId="57960D93">
      <w:pPr>
        <w:keepLines w:val="0"/>
        <w:pageBreakBefore w:val="0"/>
        <w:widowControl/>
        <w:numPr>
          <w:ilvl w:val="0"/>
          <w:numId w:val="7"/>
        </w:numPr>
        <w:kinsoku/>
        <w:wordWrap/>
        <w:overflowPunct/>
        <w:topLinePunct w:val="0"/>
        <w:autoSpaceDE/>
        <w:autoSpaceDN/>
        <w:bidi w:val="0"/>
        <w:spacing w:line="288" w:lineRule="auto"/>
        <w:ind w:lef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商须严格按照本方案学历、证书、工作经验要求配置驻场人员，人员进场前须向校方提交学历证书、职业资格证书、工作履历、社保缴纳证明材料供校方审核；人员更换时，新进场人员同样满足对应岗位任职条件，报校方审核通过后方可上岗。</w:t>
      </w:r>
    </w:p>
    <w:p w14:paraId="3A1EFFF6">
      <w:pPr>
        <w:pStyle w:val="4"/>
        <w:keepLines w:val="0"/>
        <w:pageBreakBefore w:val="0"/>
        <w:widowControl/>
        <w:numPr>
          <w:ilvl w:val="0"/>
          <w:numId w:val="5"/>
        </w:numPr>
        <w:kinsoku/>
        <w:wordWrap/>
        <w:overflowPunct/>
        <w:topLinePunct w:val="0"/>
        <w:autoSpaceDE/>
        <w:autoSpaceDN/>
        <w:bidi w:val="0"/>
        <w:spacing w:line="288" w:lineRule="auto"/>
        <w:ind w:left="0" w:leftChars="0" w:firstLine="420" w:firstLine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服务内容</w:t>
      </w:r>
    </w:p>
    <w:p w14:paraId="5EE58FC9">
      <w:pPr>
        <w:keepLines w:val="0"/>
        <w:pageBreakBefore w:val="0"/>
        <w:widowControl/>
        <w:kinsoku/>
        <w:wordWrap/>
        <w:overflowPunct/>
        <w:topLinePunct w:val="0"/>
        <w:autoSpaceDE/>
        <w:autoSpaceDN/>
        <w:bidi w:val="0"/>
        <w:spacing w:line="288" w:lineRule="auto"/>
        <w:ind w:firstLine="482" w:firstLineChars="200"/>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1. 教学设施运维服务要求</w:t>
      </w:r>
    </w:p>
    <w:p w14:paraId="269618F3">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（1）定期检查电脑和投影设备：    </w:t>
      </w:r>
    </w:p>
    <w:p w14:paraId="029D2D3B">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查电脑主机是否存在响声或异味，如果发现异常，可以打开主机清理内部灰尘或联系维修人员进行维护。检查电脑显示器是否存在亮度不均或出现颜色偏差的问题，如果有，可以调整显示器的设置或重新校准显示器。检查投影设备的投影效果，比如图像是否清晰，颜色是否准确，如果发现投影效果不佳，可以清洁投影镜头或调整投影仪的设置。    </w:t>
      </w:r>
    </w:p>
    <w:p w14:paraId="347DF8C7">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（2）清洁屏幕和投影镜头：    </w:t>
      </w:r>
    </w:p>
    <w:p w14:paraId="5DC9B2DC">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使用干净、柔软的纤维布轻轻擦拭电脑屏幕，避免使用粗糙的纸巾或毛巾，以免划伤屏幕表面。对于投影镜头，可以使用专用的镜头清洁液和擦拭布，按照清洁液的说明进行清洁，确保投影图像的清晰度。    </w:t>
      </w:r>
    </w:p>
    <w:p w14:paraId="77908CAC">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（3）检查和维护音响设备：    </w:t>
      </w:r>
    </w:p>
    <w:p w14:paraId="3D21E0C9">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检查音箱的声音是否均匀，是否存在失真或杂音。如果有问题，可以检查音箱连接和线缆，并调整音箱的放置位置。定期清洁麦克风或话筒的防风罩，去除其中的尘垢和口水，保持声音的清晰和卫生。    </w:t>
      </w:r>
    </w:p>
    <w:p w14:paraId="21053F8B">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（4）检查和维护设备：    </w:t>
      </w:r>
    </w:p>
    <w:p w14:paraId="48A4C1DB">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检查路由器和交换机的指示灯，确保它们正常工作。如果发现指示灯异常，可以重新启动设备或重置设备的设置。定期更换网线，避免因网线老化或损坏导致的连接问题。    </w:t>
      </w:r>
    </w:p>
    <w:p w14:paraId="418D85B3">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（5）更新和维护多媒体软件：    </w:t>
      </w:r>
    </w:p>
    <w:p w14:paraId="386B5832">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定期检查操作系统、办公软件和多媒体播放器等软件更新。可以设置自动更新程序，以确保软件使用最新版本。定期运行杀毒软件和系统优化工具，清除病毒和无用文件，提高系统性能。    </w:t>
      </w:r>
    </w:p>
    <w:p w14:paraId="7C74C0E8">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（6）数据备份和存储管理：    </w:t>
      </w:r>
    </w:p>
    <w:p w14:paraId="01B6EBCB">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使用外部存储设备或云存储服务定期备份重要的教学资料和学生作品。定期整理存储设备上的文件，删除不再需要的文件和临时文件，释放存储空间。</w:t>
      </w:r>
    </w:p>
    <w:p w14:paraId="03741000">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（7）电源和电线管理：</w:t>
      </w:r>
    </w:p>
    <w:p w14:paraId="031ACBBD">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定期检查电源插座和延长线，确保没有损坏、发热或松动的情况。确保电源线和连接线没有损坏或折断，确保电线的接地良好。 </w:t>
      </w:r>
    </w:p>
    <w:p w14:paraId="78896A3A">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（8）损坏设备的修理和更换：</w:t>
      </w:r>
    </w:p>
    <w:p w14:paraId="5AC37651">
      <w:pPr>
        <w:keepLines w:val="0"/>
        <w:pageBreakBefore w:val="0"/>
        <w:widowControl/>
        <w:kinsoku/>
        <w:wordWrap/>
        <w:overflowPunct/>
        <w:topLinePunct w:val="0"/>
        <w:autoSpaceDE/>
        <w:autoSpaceDN/>
        <w:bidi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对于损坏设备，根据保修和维修成本，决定修理或更换设备。</w:t>
      </w:r>
    </w:p>
    <w:p w14:paraId="787661EE">
      <w:pPr>
        <w:keepLines w:val="0"/>
        <w:pageBreakBefore w:val="0"/>
        <w:widowControl/>
        <w:kinsoku/>
        <w:wordWrap/>
        <w:overflowPunct/>
        <w:topLinePunct w:val="0"/>
        <w:autoSpaceDE/>
        <w:autoSpaceDN/>
        <w:bidi w:val="0"/>
        <w:spacing w:line="288"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2. 桌面及网络系统运维服务要求</w:t>
      </w:r>
    </w:p>
    <w:p w14:paraId="6D50D652">
      <w:pPr>
        <w:pStyle w:val="21"/>
        <w:keepLines w:val="0"/>
        <w:pageBreakBefore w:val="0"/>
        <w:kinsoku/>
        <w:wordWrap/>
        <w:overflowPunct/>
        <w:topLinePunct w:val="0"/>
        <w:autoSpaceDE/>
        <w:autoSpaceDN/>
        <w:bidi w:val="0"/>
        <w:spacing w:line="288" w:lineRule="auto"/>
        <w:ind w:firstLine="480" w:firstLineChars="200"/>
        <w:textAlignment w:val="baseline"/>
        <w:rPr>
          <w:rFonts w:hint="eastAsia" w:ascii="宋体" w:hAnsi="宋体" w:eastAsia="宋体" w:cs="宋体"/>
          <w:bCs/>
          <w:color w:val="auto"/>
          <w:sz w:val="24"/>
          <w:szCs w:val="24"/>
        </w:rPr>
      </w:pPr>
      <w:r>
        <w:rPr>
          <w:rFonts w:hint="eastAsia" w:ascii="宋体" w:hAnsi="宋体" w:eastAsia="宋体" w:cs="宋体"/>
          <w:bCs/>
          <w:color w:val="auto"/>
          <w:sz w:val="24"/>
          <w:szCs w:val="24"/>
        </w:rPr>
        <w:t>2.1教学办公区桌面维护</w:t>
      </w:r>
    </w:p>
    <w:p w14:paraId="434FA49B">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（1）常用工具软件的安装、调试、管理、更新、升级、故障检测及排除；</w:t>
      </w:r>
    </w:p>
    <w:p w14:paraId="7C2E370C">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（2）操作系统的调试、管理、更新、升级、故障检测及排除 ；</w:t>
      </w:r>
    </w:p>
    <w:p w14:paraId="1A93F6D7">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（3）计算机硬件的故障定位、配件更换、硬件配置调优指导；</w:t>
      </w:r>
    </w:p>
    <w:p w14:paraId="55929F10">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（4）计算机硬件及设备联络维护厂家保修，并协调保修过程中出现的问题；</w:t>
      </w:r>
    </w:p>
    <w:p w14:paraId="5E7E64E4">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（5）计算机安全进行防护与维护，提供病毒查杀、安全防护、培训指导用户安全意识；</w:t>
      </w:r>
    </w:p>
    <w:p w14:paraId="6767AED3">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（6）学校正版化软件管理服务，结合桌面管理软件（如有）进行评估分析，定期汇报预警服务；</w:t>
      </w:r>
    </w:p>
    <w:p w14:paraId="54977FEA">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（7）根据学校需要对重要程序和数据文件进行备份，和丢失文件配合恢复服务；</w:t>
      </w:r>
    </w:p>
    <w:p w14:paraId="65A0AA8F">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（8）对于超保硬件损坏设备进行联系维修（提供维修增值服务，费用另算）</w:t>
      </w:r>
    </w:p>
    <w:p w14:paraId="0F684D27">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（9）咨询服务：提供全方位的技术能力，对学校的实际需求提供全面的方案咨询和实施过程监督，提供365天电话技术支持咨询服务。</w:t>
      </w:r>
    </w:p>
    <w:p w14:paraId="64D37A27">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2.2 终端网络维护服务</w:t>
      </w:r>
    </w:p>
    <w:p w14:paraId="6D5C2E43">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（1）负责全校网络的有线无线接入网络的日常巡检维护，日常网络故障20分钟现场响应。</w:t>
      </w:r>
    </w:p>
    <w:p w14:paraId="3F6F88AB">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（2）楼宇汇聚交换机、楼道交换机、线路线缆等网络设备的状态监测，流量检测分析，AP面板维护工作。</w:t>
      </w:r>
    </w:p>
    <w:p w14:paraId="0A650809">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（3）负责网络接入用户的投诉处理、上门装机及故障处理工作。</w:t>
      </w:r>
    </w:p>
    <w:p w14:paraId="36020B29">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（4）负责所有网络设备及线缆资源、用户资料的归档及更新。</w:t>
      </w:r>
    </w:p>
    <w:p w14:paraId="51749BF9">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（5）定期完成网络质量分析，定期做好全网巡检，并按月提供相关统计分析报告。</w:t>
      </w:r>
    </w:p>
    <w:p w14:paraId="7910877C">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（6）对校区用户终端的网络接入故障的检测和修复；如有其它故障须协助用户进行报修。</w:t>
      </w:r>
    </w:p>
    <w:p w14:paraId="01660051">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（7）帮助清除病毒和木马并指导用户做好防护措施。</w:t>
      </w:r>
    </w:p>
    <w:p w14:paraId="3B9188F5">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（8）指导用户正确接入学校有线、无线网络，确认用户的终端设备获得正确的IP地址并指导用户完成相关认证。</w:t>
      </w:r>
    </w:p>
    <w:p w14:paraId="4481267A">
      <w:pPr>
        <w:keepLines w:val="0"/>
        <w:pageBreakBefore w:val="0"/>
        <w:kinsoku/>
        <w:wordWrap/>
        <w:overflowPunct/>
        <w:topLinePunct w:val="0"/>
        <w:autoSpaceDE/>
        <w:autoSpaceDN/>
        <w:bidi w:val="0"/>
        <w:adjustRightInd w:val="0"/>
        <w:snapToGrid w:val="0"/>
        <w:spacing w:line="288" w:lineRule="auto"/>
        <w:ind w:firstLine="480" w:firstLineChars="20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（9）安排落实在特定的重大节假日、网络割接及突发性大面积网络故障期间的24小时值班工作。</w:t>
      </w:r>
    </w:p>
    <w:p w14:paraId="585AFA54">
      <w:pPr>
        <w:keepLines w:val="0"/>
        <w:pageBreakBefore w:val="0"/>
        <w:widowControl/>
        <w:kinsoku/>
        <w:wordWrap/>
        <w:overflowPunct/>
        <w:topLinePunct w:val="0"/>
        <w:autoSpaceDE/>
        <w:autoSpaceDN/>
        <w:bidi w:val="0"/>
        <w:spacing w:line="288" w:lineRule="auto"/>
        <w:ind w:firstLine="482" w:firstLineChars="200"/>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3. 运维配套管理平台</w:t>
      </w:r>
    </w:p>
    <w:p w14:paraId="6D0804CC">
      <w:pPr>
        <w:pStyle w:val="195"/>
        <w:keepLines w:val="0"/>
        <w:pageBreakBefore w:val="0"/>
        <w:kinsoku/>
        <w:wordWrap/>
        <w:overflowPunct/>
        <w:topLinePunct w:val="0"/>
        <w:autoSpaceDE/>
        <w:autoSpaceDN/>
        <w:bidi w:val="0"/>
        <w:spacing w:line="288"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（1）维保服务商需自行配置一套运维服务平台，相关费用由服务商自行负责。</w:t>
      </w:r>
    </w:p>
    <w:p w14:paraId="2015668F">
      <w:pPr>
        <w:pStyle w:val="195"/>
        <w:keepLines w:val="0"/>
        <w:pageBreakBefore w:val="0"/>
        <w:kinsoku/>
        <w:wordWrap/>
        <w:overflowPunct/>
        <w:topLinePunct w:val="0"/>
        <w:autoSpaceDE/>
        <w:autoSpaceDN/>
        <w:bidi w:val="0"/>
        <w:spacing w:line="288"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（2）工作场地、电话、运维所需计算机设备由校方提供。</w:t>
      </w:r>
    </w:p>
    <w:p w14:paraId="059350EB">
      <w:pPr>
        <w:pStyle w:val="195"/>
        <w:keepLines w:val="0"/>
        <w:pageBreakBefore w:val="0"/>
        <w:kinsoku/>
        <w:wordWrap/>
        <w:overflowPunct/>
        <w:topLinePunct w:val="0"/>
        <w:autoSpaceDE/>
        <w:autoSpaceDN/>
        <w:bidi w:val="0"/>
        <w:spacing w:line="288" w:lineRule="auto"/>
        <w:ind w:firstLine="480"/>
        <w:rPr>
          <w:rFonts w:hint="eastAsia" w:ascii="宋体" w:hAnsi="宋体" w:eastAsia="宋体" w:cs="宋体"/>
          <w:color w:val="auto"/>
          <w:sz w:val="24"/>
          <w:szCs w:val="24"/>
        </w:rPr>
      </w:pPr>
      <w:r>
        <w:rPr>
          <w:rFonts w:hint="eastAsia" w:ascii="宋体" w:hAnsi="宋体" w:eastAsia="宋体" w:cs="宋体"/>
          <w:color w:val="auto"/>
          <w:kern w:val="0"/>
          <w:sz w:val="24"/>
          <w:szCs w:val="24"/>
        </w:rPr>
        <w:t>（3）运维平台需</w:t>
      </w:r>
      <w:r>
        <w:rPr>
          <w:rFonts w:hint="eastAsia" w:ascii="宋体" w:hAnsi="宋体" w:eastAsia="宋体" w:cs="宋体"/>
          <w:color w:val="auto"/>
          <w:sz w:val="24"/>
          <w:szCs w:val="24"/>
        </w:rPr>
        <w:t>配备24小时人工客服，客服提供工单录入、分派等服务。要求供应商提供支持多路电话并行接听设施且电话占线率控制2%以内，要求工单100%有效登记。每月提供电话接听成功数、一次电话失败数、电话接听时长汇总等电话相关服务数据报告。</w:t>
      </w:r>
    </w:p>
    <w:p w14:paraId="3519394B">
      <w:pPr>
        <w:pStyle w:val="195"/>
        <w:keepLines w:val="0"/>
        <w:pageBreakBefore w:val="0"/>
        <w:kinsoku/>
        <w:wordWrap/>
        <w:overflowPunct/>
        <w:topLinePunct w:val="0"/>
        <w:autoSpaceDE/>
        <w:autoSpaceDN/>
        <w:bidi w:val="0"/>
        <w:spacing w:line="288" w:lineRule="auto"/>
        <w:ind w:firstLine="480"/>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（4）提供自有知识产权工单服务平台，功能如下:</w:t>
      </w:r>
    </w:p>
    <w:tbl>
      <w:tblPr>
        <w:tblStyle w:val="45"/>
        <w:tblW w:w="93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8"/>
        <w:gridCol w:w="7869"/>
      </w:tblGrid>
      <w:tr w14:paraId="380CD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8" w:type="dxa"/>
            <w:tcBorders>
              <w:top w:val="single" w:color="000000" w:sz="4" w:space="0"/>
              <w:left w:val="single" w:color="000000" w:sz="4" w:space="0"/>
              <w:bottom w:val="single" w:color="000000" w:sz="4" w:space="0"/>
              <w:right w:val="single" w:color="000000" w:sz="4" w:space="0"/>
            </w:tcBorders>
            <w:noWrap w:val="0"/>
            <w:vAlign w:val="center"/>
          </w:tcPr>
          <w:p w14:paraId="5346824E">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指标项</w:t>
            </w:r>
          </w:p>
        </w:tc>
        <w:tc>
          <w:tcPr>
            <w:tcW w:w="7869" w:type="dxa"/>
            <w:tcBorders>
              <w:top w:val="single" w:color="000000" w:sz="4" w:space="0"/>
              <w:left w:val="single" w:color="000000" w:sz="4" w:space="0"/>
              <w:bottom w:val="single" w:color="000000" w:sz="4" w:space="0"/>
              <w:right w:val="single" w:color="000000" w:sz="4" w:space="0"/>
            </w:tcBorders>
            <w:noWrap w:val="0"/>
            <w:vAlign w:val="center"/>
          </w:tcPr>
          <w:p w14:paraId="29E2E427">
            <w:pPr>
              <w:keepNext w:val="0"/>
              <w:keepLines w:val="0"/>
              <w:pageBreakBefore w:val="0"/>
              <w:widowControl/>
              <w:kinsoku/>
              <w:wordWrap/>
              <w:overflowPunct/>
              <w:topLinePunct w:val="0"/>
              <w:autoSpaceDE/>
              <w:autoSpaceDN/>
              <w:bidi w:val="0"/>
              <w:adjustRightInd/>
              <w:snapToGrid/>
              <w:spacing w:line="288" w:lineRule="auto"/>
              <w:jc w:val="center"/>
              <w:textAlignment w:val="auto"/>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技术规格要求</w:t>
            </w:r>
          </w:p>
        </w:tc>
      </w:tr>
      <w:tr w14:paraId="10540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8" w:type="dxa"/>
            <w:tcBorders>
              <w:top w:val="single" w:color="000000" w:sz="4" w:space="0"/>
              <w:left w:val="single" w:color="000000" w:sz="4" w:space="0"/>
              <w:bottom w:val="single" w:color="000000" w:sz="4" w:space="0"/>
              <w:right w:val="single" w:color="000000" w:sz="4" w:space="0"/>
            </w:tcBorders>
            <w:noWrap w:val="0"/>
            <w:vAlign w:val="top"/>
          </w:tcPr>
          <w:p w14:paraId="49E43EF2">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1、总体要求</w:t>
            </w:r>
          </w:p>
        </w:tc>
        <w:tc>
          <w:tcPr>
            <w:tcW w:w="7869" w:type="dxa"/>
            <w:tcBorders>
              <w:top w:val="single" w:color="000000" w:sz="4" w:space="0"/>
              <w:left w:val="single" w:color="000000" w:sz="4" w:space="0"/>
              <w:bottom w:val="single" w:color="000000" w:sz="4" w:space="0"/>
              <w:right w:val="single" w:color="000000" w:sz="4" w:space="0"/>
            </w:tcBorders>
            <w:noWrap w:val="0"/>
            <w:vAlign w:val="top"/>
          </w:tcPr>
          <w:p w14:paraId="54A7646C">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能够满足信息中心对于日常管理的需求，需提供网页端、钉钉端（师生）、钉钉端（工程师）多师生界面，总体要求如下：</w:t>
            </w:r>
          </w:p>
          <w:p w14:paraId="10426306">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1、必须切合学校的管理流程和管理方式，按照实际需求支持可定制可修改，要求</w:t>
            </w:r>
            <w:r>
              <w:rPr>
                <w:rFonts w:hint="eastAsia" w:ascii="宋体" w:hAnsi="宋体" w:eastAsia="宋体" w:cs="宋体"/>
                <w:color w:val="auto"/>
                <w:sz w:val="24"/>
                <w:szCs w:val="24"/>
                <w:lang w:eastAsia="zh-CN" w:bidi="ar"/>
              </w:rPr>
              <w:t>响应方</w:t>
            </w:r>
            <w:r>
              <w:rPr>
                <w:rFonts w:hint="eastAsia" w:ascii="宋体" w:hAnsi="宋体" w:eastAsia="宋体" w:cs="宋体"/>
                <w:color w:val="auto"/>
                <w:sz w:val="24"/>
                <w:szCs w:val="24"/>
                <w:lang w:bidi="ar"/>
              </w:rPr>
              <w:t>具备所投运维平台自主研发交付能力，能根据各项需求实现定制研发和如实交付。</w:t>
            </w:r>
          </w:p>
          <w:p w14:paraId="7732DE9C">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2、能够对日常运作的整个流程进行管理，包括故障报修、故障处理、评价、人员工作量统计等等。</w:t>
            </w:r>
          </w:p>
          <w:p w14:paraId="0D9EC631">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3、能够对设备进行管理，包括设备的资产管理，设备的性能监控、设备的故障监控等等。</w:t>
            </w:r>
          </w:p>
          <w:p w14:paraId="624C717C">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4、设备故障等告警动作，可以自动进入到工作流程直接生成工单，进行流转，整个过程可以查询、可监控。</w:t>
            </w:r>
          </w:p>
          <w:p w14:paraId="2A278946">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5、必须与我校钉钉对接，实现全校人员通过钉钉自助报修故障及信息中心人员处理工单。</w:t>
            </w:r>
          </w:p>
          <w:p w14:paraId="16B9CC96">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6、所有运维平台产生的数据有义务配合学校，回流到学校数据中心。</w:t>
            </w:r>
          </w:p>
        </w:tc>
      </w:tr>
      <w:tr w14:paraId="7FD01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8" w:type="dxa"/>
            <w:tcBorders>
              <w:top w:val="single" w:color="000000" w:sz="4" w:space="0"/>
              <w:left w:val="single" w:color="000000" w:sz="4" w:space="0"/>
              <w:bottom w:val="single" w:color="000000" w:sz="4" w:space="0"/>
              <w:right w:val="single" w:color="000000" w:sz="4" w:space="0"/>
            </w:tcBorders>
            <w:noWrap w:val="0"/>
            <w:vAlign w:val="top"/>
          </w:tcPr>
          <w:p w14:paraId="31C02C34">
            <w:pPr>
              <w:keepNext w:val="0"/>
              <w:keepLines w:val="0"/>
              <w:pageBreakBefore w:val="0"/>
              <w:widowControl/>
              <w:kinsoku/>
              <w:wordWrap/>
              <w:overflowPunct/>
              <w:topLinePunct w:val="0"/>
              <w:autoSpaceDE/>
              <w:autoSpaceDN/>
              <w:bidi w:val="0"/>
              <w:adjustRightInd/>
              <w:snapToGrid/>
              <w:spacing w:before="100" w:beforeAutospacing="1" w:after="100" w:afterAutospacing="1"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2、WEB端功能模块</w:t>
            </w:r>
          </w:p>
        </w:tc>
        <w:tc>
          <w:tcPr>
            <w:tcW w:w="7869" w:type="dxa"/>
            <w:tcBorders>
              <w:top w:val="single" w:color="000000" w:sz="4" w:space="0"/>
              <w:left w:val="single" w:color="000000" w:sz="4" w:space="0"/>
              <w:bottom w:val="single" w:color="000000" w:sz="4" w:space="0"/>
              <w:right w:val="single" w:color="000000" w:sz="4" w:space="0"/>
            </w:tcBorders>
            <w:noWrap w:val="0"/>
            <w:vAlign w:val="top"/>
          </w:tcPr>
          <w:p w14:paraId="7AFE2E0C">
            <w:pPr>
              <w:pStyle w:val="195"/>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网页端功能至少具备：</w:t>
            </w:r>
          </w:p>
          <w:p w14:paraId="21FC1247">
            <w:pPr>
              <w:pStyle w:val="195"/>
              <w:keepNext w:val="0"/>
              <w:keepLines w:val="0"/>
              <w:pageBreakBefore w:val="0"/>
              <w:widowControl/>
              <w:kinsoku/>
              <w:wordWrap/>
              <w:overflowPunct/>
              <w:topLinePunct w:val="0"/>
              <w:autoSpaceDE/>
              <w:autoSpaceDN/>
              <w:bidi w:val="0"/>
              <w:adjustRightInd/>
              <w:snapToGrid/>
              <w:spacing w:line="288" w:lineRule="auto"/>
              <w:ind w:firstLine="0" w:firstLineChars="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1、配置管理；2、工作台；3、巡检管理；4、知识库等功能。</w:t>
            </w:r>
          </w:p>
        </w:tc>
      </w:tr>
      <w:tr w14:paraId="3FA17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8" w:type="dxa"/>
            <w:tcBorders>
              <w:top w:val="single" w:color="000000" w:sz="4" w:space="0"/>
              <w:left w:val="single" w:color="000000" w:sz="4" w:space="0"/>
              <w:bottom w:val="single" w:color="000000" w:sz="4" w:space="0"/>
              <w:right w:val="single" w:color="000000" w:sz="4" w:space="0"/>
            </w:tcBorders>
            <w:noWrap w:val="0"/>
            <w:vAlign w:val="top"/>
          </w:tcPr>
          <w:p w14:paraId="1077894F">
            <w:pPr>
              <w:keepNext w:val="0"/>
              <w:keepLines w:val="0"/>
              <w:pageBreakBefore w:val="0"/>
              <w:widowControl/>
              <w:kinsoku/>
              <w:wordWrap/>
              <w:overflowPunct/>
              <w:topLinePunct w:val="0"/>
              <w:autoSpaceDE/>
              <w:autoSpaceDN/>
              <w:bidi w:val="0"/>
              <w:adjustRightInd/>
              <w:snapToGrid/>
              <w:spacing w:before="100" w:beforeAutospacing="1" w:after="100" w:afterAutospacing="1"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3、配置管理</w:t>
            </w:r>
          </w:p>
        </w:tc>
        <w:tc>
          <w:tcPr>
            <w:tcW w:w="7869" w:type="dxa"/>
            <w:tcBorders>
              <w:top w:val="single" w:color="000000" w:sz="4" w:space="0"/>
              <w:left w:val="single" w:color="000000" w:sz="4" w:space="0"/>
              <w:bottom w:val="single" w:color="000000" w:sz="4" w:space="0"/>
              <w:right w:val="single" w:color="000000" w:sz="4" w:space="0"/>
            </w:tcBorders>
            <w:noWrap w:val="0"/>
            <w:vAlign w:val="top"/>
          </w:tcPr>
          <w:p w14:paraId="38EA202C">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1、员工管理2、部门管理3、地址管理4、资产管理5、团队管理6、事件管理等功能。</w:t>
            </w:r>
          </w:p>
        </w:tc>
      </w:tr>
      <w:tr w14:paraId="54CA1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8" w:type="dxa"/>
            <w:tcBorders>
              <w:top w:val="single" w:color="000000" w:sz="4" w:space="0"/>
              <w:left w:val="single" w:color="000000" w:sz="4" w:space="0"/>
              <w:bottom w:val="single" w:color="000000" w:sz="4" w:space="0"/>
              <w:right w:val="single" w:color="000000" w:sz="4" w:space="0"/>
            </w:tcBorders>
            <w:noWrap w:val="0"/>
            <w:vAlign w:val="top"/>
          </w:tcPr>
          <w:p w14:paraId="246DB25D">
            <w:pPr>
              <w:keepNext w:val="0"/>
              <w:keepLines w:val="0"/>
              <w:pageBreakBefore w:val="0"/>
              <w:widowControl/>
              <w:kinsoku/>
              <w:wordWrap/>
              <w:overflowPunct/>
              <w:topLinePunct w:val="0"/>
              <w:autoSpaceDE/>
              <w:autoSpaceDN/>
              <w:bidi w:val="0"/>
              <w:adjustRightInd/>
              <w:snapToGrid/>
              <w:spacing w:before="100" w:beforeAutospacing="1" w:after="100" w:afterAutospacing="1"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4、工作台</w:t>
            </w:r>
          </w:p>
        </w:tc>
        <w:tc>
          <w:tcPr>
            <w:tcW w:w="7869" w:type="dxa"/>
            <w:tcBorders>
              <w:top w:val="single" w:color="000000" w:sz="4" w:space="0"/>
              <w:left w:val="single" w:color="000000" w:sz="4" w:space="0"/>
              <w:bottom w:val="single" w:color="000000" w:sz="4" w:space="0"/>
              <w:right w:val="single" w:color="000000" w:sz="4" w:space="0"/>
            </w:tcBorders>
            <w:noWrap w:val="0"/>
            <w:vAlign w:val="top"/>
          </w:tcPr>
          <w:p w14:paraId="32C6741F">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1、故障受理2、工单处理3、工单查询4、问题管理等功能。</w:t>
            </w:r>
          </w:p>
        </w:tc>
      </w:tr>
      <w:tr w14:paraId="711D8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8" w:type="dxa"/>
            <w:tcBorders>
              <w:top w:val="single" w:color="000000" w:sz="4" w:space="0"/>
              <w:left w:val="single" w:color="000000" w:sz="4" w:space="0"/>
              <w:bottom w:val="single" w:color="000000" w:sz="4" w:space="0"/>
              <w:right w:val="single" w:color="000000" w:sz="4" w:space="0"/>
            </w:tcBorders>
            <w:noWrap w:val="0"/>
            <w:vAlign w:val="top"/>
          </w:tcPr>
          <w:p w14:paraId="047DF47A">
            <w:pPr>
              <w:keepNext w:val="0"/>
              <w:keepLines w:val="0"/>
              <w:pageBreakBefore w:val="0"/>
              <w:widowControl/>
              <w:kinsoku/>
              <w:wordWrap/>
              <w:overflowPunct/>
              <w:topLinePunct w:val="0"/>
              <w:autoSpaceDE/>
              <w:autoSpaceDN/>
              <w:bidi w:val="0"/>
              <w:adjustRightInd/>
              <w:snapToGrid/>
              <w:spacing w:before="100" w:beforeAutospacing="1" w:after="100" w:afterAutospacing="1"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5、巡检管理</w:t>
            </w:r>
          </w:p>
        </w:tc>
        <w:tc>
          <w:tcPr>
            <w:tcW w:w="7869" w:type="dxa"/>
            <w:tcBorders>
              <w:top w:val="single" w:color="000000" w:sz="4" w:space="0"/>
              <w:left w:val="single" w:color="000000" w:sz="4" w:space="0"/>
              <w:bottom w:val="single" w:color="000000" w:sz="4" w:space="0"/>
              <w:right w:val="single" w:color="000000" w:sz="4" w:space="0"/>
            </w:tcBorders>
            <w:noWrap w:val="0"/>
            <w:vAlign w:val="top"/>
          </w:tcPr>
          <w:p w14:paraId="21A00F80">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1、巡检计划管理2、巡检模块管理等功能。</w:t>
            </w:r>
          </w:p>
        </w:tc>
      </w:tr>
      <w:tr w14:paraId="27222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8" w:type="dxa"/>
            <w:tcBorders>
              <w:top w:val="single" w:color="000000" w:sz="4" w:space="0"/>
              <w:left w:val="single" w:color="000000" w:sz="4" w:space="0"/>
              <w:bottom w:val="single" w:color="000000" w:sz="4" w:space="0"/>
              <w:right w:val="single" w:color="000000" w:sz="4" w:space="0"/>
            </w:tcBorders>
            <w:noWrap w:val="0"/>
            <w:vAlign w:val="top"/>
          </w:tcPr>
          <w:p w14:paraId="58AE82A9">
            <w:pPr>
              <w:keepNext w:val="0"/>
              <w:keepLines w:val="0"/>
              <w:pageBreakBefore w:val="0"/>
              <w:widowControl/>
              <w:kinsoku/>
              <w:wordWrap/>
              <w:overflowPunct/>
              <w:topLinePunct w:val="0"/>
              <w:autoSpaceDE/>
              <w:autoSpaceDN/>
              <w:bidi w:val="0"/>
              <w:adjustRightInd/>
              <w:snapToGrid/>
              <w:spacing w:before="100" w:beforeAutospacing="1" w:after="100" w:afterAutospacing="1"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6、报表中心</w:t>
            </w:r>
          </w:p>
        </w:tc>
        <w:tc>
          <w:tcPr>
            <w:tcW w:w="7869" w:type="dxa"/>
            <w:tcBorders>
              <w:top w:val="single" w:color="000000" w:sz="4" w:space="0"/>
              <w:left w:val="single" w:color="000000" w:sz="4" w:space="0"/>
              <w:bottom w:val="single" w:color="000000" w:sz="4" w:space="0"/>
              <w:right w:val="single" w:color="000000" w:sz="4" w:space="0"/>
            </w:tcBorders>
            <w:noWrap w:val="0"/>
            <w:vAlign w:val="top"/>
          </w:tcPr>
          <w:p w14:paraId="3C15AEB5">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1、报表需支持根据我校需求进行定制开发。</w:t>
            </w:r>
          </w:p>
          <w:p w14:paraId="092EFB16">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2、基础报表至少具备工单统计、故障分析、评价分析、趋势图、工作量统计等项目。</w:t>
            </w:r>
          </w:p>
        </w:tc>
      </w:tr>
      <w:tr w14:paraId="59C25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8" w:type="dxa"/>
            <w:tcBorders>
              <w:top w:val="single" w:color="000000" w:sz="4" w:space="0"/>
              <w:left w:val="single" w:color="000000" w:sz="4" w:space="0"/>
              <w:bottom w:val="single" w:color="000000" w:sz="4" w:space="0"/>
              <w:right w:val="single" w:color="000000" w:sz="4" w:space="0"/>
            </w:tcBorders>
            <w:noWrap w:val="0"/>
            <w:vAlign w:val="top"/>
          </w:tcPr>
          <w:p w14:paraId="363F8004">
            <w:pPr>
              <w:keepNext w:val="0"/>
              <w:keepLines w:val="0"/>
              <w:pageBreakBefore w:val="0"/>
              <w:widowControl/>
              <w:kinsoku/>
              <w:wordWrap/>
              <w:overflowPunct/>
              <w:topLinePunct w:val="0"/>
              <w:autoSpaceDE/>
              <w:autoSpaceDN/>
              <w:bidi w:val="0"/>
              <w:adjustRightInd/>
              <w:snapToGrid/>
              <w:spacing w:before="100" w:beforeAutospacing="1" w:after="100" w:afterAutospacing="1"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7、知识库管理</w:t>
            </w:r>
          </w:p>
        </w:tc>
        <w:tc>
          <w:tcPr>
            <w:tcW w:w="7869" w:type="dxa"/>
            <w:tcBorders>
              <w:top w:val="single" w:color="000000" w:sz="4" w:space="0"/>
              <w:left w:val="single" w:color="000000" w:sz="4" w:space="0"/>
              <w:bottom w:val="single" w:color="000000" w:sz="4" w:space="0"/>
              <w:right w:val="single" w:color="000000" w:sz="4" w:space="0"/>
            </w:tcBorders>
            <w:noWrap w:val="0"/>
            <w:vAlign w:val="top"/>
          </w:tcPr>
          <w:p w14:paraId="3DFBE6F3">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1、需提供学校相关知识库相关资料。</w:t>
            </w:r>
          </w:p>
          <w:p w14:paraId="6B6CFFA5">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2、具备（增、删、改）基础管理和查询功能。</w:t>
            </w:r>
          </w:p>
        </w:tc>
      </w:tr>
      <w:tr w14:paraId="02012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8" w:type="dxa"/>
            <w:tcBorders>
              <w:top w:val="single" w:color="000000" w:sz="4" w:space="0"/>
              <w:left w:val="single" w:color="000000" w:sz="4" w:space="0"/>
              <w:bottom w:val="single" w:color="000000" w:sz="4" w:space="0"/>
              <w:right w:val="single" w:color="000000" w:sz="4" w:space="0"/>
            </w:tcBorders>
            <w:noWrap w:val="0"/>
            <w:vAlign w:val="top"/>
          </w:tcPr>
          <w:p w14:paraId="3662C088">
            <w:pPr>
              <w:keepNext w:val="0"/>
              <w:keepLines w:val="0"/>
              <w:pageBreakBefore w:val="0"/>
              <w:widowControl/>
              <w:kinsoku/>
              <w:wordWrap/>
              <w:overflowPunct/>
              <w:topLinePunct w:val="0"/>
              <w:autoSpaceDE/>
              <w:autoSpaceDN/>
              <w:bidi w:val="0"/>
              <w:adjustRightInd/>
              <w:snapToGrid/>
              <w:spacing w:before="100" w:beforeAutospacing="1" w:after="100" w:afterAutospacing="1"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8、设备资产管理</w:t>
            </w:r>
          </w:p>
        </w:tc>
        <w:tc>
          <w:tcPr>
            <w:tcW w:w="7869" w:type="dxa"/>
            <w:tcBorders>
              <w:top w:val="single" w:color="000000" w:sz="4" w:space="0"/>
              <w:left w:val="single" w:color="000000" w:sz="4" w:space="0"/>
              <w:bottom w:val="single" w:color="000000" w:sz="4" w:space="0"/>
              <w:right w:val="single" w:color="000000" w:sz="4" w:space="0"/>
            </w:tcBorders>
            <w:noWrap w:val="0"/>
            <w:vAlign w:val="top"/>
          </w:tcPr>
          <w:p w14:paraId="12AFDB88">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1、具备新增设备2、自定义模板3、设备导入导出等功能。</w:t>
            </w:r>
          </w:p>
        </w:tc>
      </w:tr>
      <w:tr w14:paraId="17BD5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8" w:type="dxa"/>
            <w:tcBorders>
              <w:top w:val="single" w:color="000000" w:sz="4" w:space="0"/>
              <w:left w:val="single" w:color="000000" w:sz="4" w:space="0"/>
              <w:bottom w:val="single" w:color="000000" w:sz="4" w:space="0"/>
              <w:right w:val="single" w:color="000000" w:sz="4" w:space="0"/>
            </w:tcBorders>
            <w:noWrap w:val="0"/>
            <w:vAlign w:val="top"/>
          </w:tcPr>
          <w:p w14:paraId="2AA760B0">
            <w:pPr>
              <w:keepNext w:val="0"/>
              <w:keepLines w:val="0"/>
              <w:pageBreakBefore w:val="0"/>
              <w:widowControl/>
              <w:kinsoku/>
              <w:wordWrap/>
              <w:overflowPunct/>
              <w:topLinePunct w:val="0"/>
              <w:autoSpaceDE/>
              <w:autoSpaceDN/>
              <w:bidi w:val="0"/>
              <w:adjustRightInd/>
              <w:snapToGrid/>
              <w:spacing w:before="100" w:beforeAutospacing="1" w:after="100" w:afterAutospacing="1"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9、钉钉端处理端功能</w:t>
            </w:r>
          </w:p>
        </w:tc>
        <w:tc>
          <w:tcPr>
            <w:tcW w:w="7869" w:type="dxa"/>
            <w:tcBorders>
              <w:top w:val="single" w:color="000000" w:sz="4" w:space="0"/>
              <w:left w:val="single" w:color="000000" w:sz="4" w:space="0"/>
              <w:bottom w:val="single" w:color="000000" w:sz="4" w:space="0"/>
              <w:right w:val="single" w:color="000000" w:sz="4" w:space="0"/>
            </w:tcBorders>
            <w:noWrap w:val="0"/>
            <w:vAlign w:val="top"/>
          </w:tcPr>
          <w:p w14:paraId="5A74EBA0">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处理端至少包括：</w:t>
            </w:r>
          </w:p>
          <w:p w14:paraId="38C1A823">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1、我的工单2、待派工单3、在途工单4、抢单池5、扫一扫6、待评价7、历史工单8、团队管理9、投诉处理10、报表统计等功能项。</w:t>
            </w:r>
          </w:p>
        </w:tc>
      </w:tr>
      <w:tr w14:paraId="7C79D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8" w:type="dxa"/>
            <w:tcBorders>
              <w:top w:val="single" w:color="000000" w:sz="4" w:space="0"/>
              <w:left w:val="single" w:color="000000" w:sz="4" w:space="0"/>
              <w:bottom w:val="single" w:color="000000" w:sz="4" w:space="0"/>
              <w:right w:val="single" w:color="000000" w:sz="4" w:space="0"/>
            </w:tcBorders>
            <w:noWrap w:val="0"/>
            <w:vAlign w:val="top"/>
          </w:tcPr>
          <w:p w14:paraId="24291263">
            <w:pPr>
              <w:keepNext w:val="0"/>
              <w:keepLines w:val="0"/>
              <w:pageBreakBefore w:val="0"/>
              <w:widowControl/>
              <w:kinsoku/>
              <w:wordWrap/>
              <w:overflowPunct/>
              <w:topLinePunct w:val="0"/>
              <w:autoSpaceDE/>
              <w:autoSpaceDN/>
              <w:bidi w:val="0"/>
              <w:adjustRightInd/>
              <w:snapToGrid/>
              <w:spacing w:before="100" w:beforeAutospacing="1" w:after="100" w:afterAutospacing="1"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10、钉钉端师生端功能</w:t>
            </w:r>
          </w:p>
        </w:tc>
        <w:tc>
          <w:tcPr>
            <w:tcW w:w="7869" w:type="dxa"/>
            <w:tcBorders>
              <w:top w:val="single" w:color="000000" w:sz="4" w:space="0"/>
              <w:left w:val="single" w:color="000000" w:sz="4" w:space="0"/>
              <w:bottom w:val="single" w:color="000000" w:sz="4" w:space="0"/>
              <w:right w:val="single" w:color="000000" w:sz="4" w:space="0"/>
            </w:tcBorders>
            <w:noWrap w:val="0"/>
            <w:vAlign w:val="top"/>
          </w:tcPr>
          <w:p w14:paraId="5429A87C">
            <w:pPr>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1、故障申报2、历史工单3、待评价4、催单等功能，满足学校催单要求，提供不少于20000个钉钉催单消息服务。</w:t>
            </w:r>
          </w:p>
        </w:tc>
      </w:tr>
      <w:tr w14:paraId="20D56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8" w:type="dxa"/>
            <w:tcBorders>
              <w:top w:val="single" w:color="000000" w:sz="4" w:space="0"/>
              <w:left w:val="single" w:color="000000" w:sz="4" w:space="0"/>
              <w:bottom w:val="single" w:color="000000" w:sz="4" w:space="0"/>
              <w:right w:val="single" w:color="000000" w:sz="4" w:space="0"/>
            </w:tcBorders>
            <w:noWrap w:val="0"/>
            <w:vAlign w:val="top"/>
          </w:tcPr>
          <w:p w14:paraId="20FF8B4E">
            <w:pPr>
              <w:keepNext w:val="0"/>
              <w:keepLines w:val="0"/>
              <w:pageBreakBefore w:val="0"/>
              <w:widowControl/>
              <w:kinsoku/>
              <w:wordWrap/>
              <w:overflowPunct/>
              <w:topLinePunct w:val="0"/>
              <w:autoSpaceDE/>
              <w:autoSpaceDN/>
              <w:bidi w:val="0"/>
              <w:adjustRightInd/>
              <w:snapToGrid/>
              <w:spacing w:before="100" w:beforeAutospacing="1" w:after="100" w:afterAutospacing="1"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11、大屏功能</w:t>
            </w:r>
          </w:p>
        </w:tc>
        <w:tc>
          <w:tcPr>
            <w:tcW w:w="7869" w:type="dxa"/>
            <w:tcBorders>
              <w:top w:val="single" w:color="000000" w:sz="4" w:space="0"/>
              <w:left w:val="single" w:color="000000" w:sz="4" w:space="0"/>
              <w:bottom w:val="single" w:color="000000" w:sz="4" w:space="0"/>
              <w:right w:val="single" w:color="000000" w:sz="4" w:space="0"/>
            </w:tcBorders>
            <w:noWrap w:val="0"/>
            <w:vAlign w:val="top"/>
          </w:tcPr>
          <w:p w14:paraId="027FCCFB">
            <w:pPr>
              <w:keepNext w:val="0"/>
              <w:keepLines w:val="0"/>
              <w:pageBreakBefore w:val="0"/>
              <w:widowControl/>
              <w:kinsoku/>
              <w:wordWrap/>
              <w:overflowPunct/>
              <w:topLinePunct w:val="0"/>
              <w:autoSpaceDE/>
              <w:autoSpaceDN/>
              <w:bidi w:val="0"/>
              <w:adjustRightInd/>
              <w:snapToGrid/>
              <w:spacing w:before="100" w:beforeAutospacing="1" w:after="100" w:afterAutospacing="1" w:line="288" w:lineRule="auto"/>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系统需提供大屏展示功能，展示内容至少包括按故障分类、按地址、报修途径、解决方案、工单区域分部、待评价、今日建单、已完成、处理中、完成率，当日故障量、数据指标等展示项。</w:t>
            </w:r>
          </w:p>
        </w:tc>
      </w:tr>
    </w:tbl>
    <w:p w14:paraId="7D4B51AA">
      <w:pPr>
        <w:pStyle w:val="6"/>
        <w:rPr>
          <w:color w:val="auto"/>
        </w:rPr>
      </w:pPr>
    </w:p>
    <w:p w14:paraId="592E0AE9">
      <w:pPr>
        <w:keepNext w:val="0"/>
        <w:keepLines w:val="0"/>
        <w:pageBreakBefore w:val="0"/>
        <w:widowControl w:val="0"/>
        <w:kinsoku/>
        <w:wordWrap/>
        <w:overflowPunct/>
        <w:topLinePunct w:val="0"/>
        <w:autoSpaceDE/>
        <w:autoSpaceDN/>
        <w:bidi w:val="0"/>
        <w:adjustRightInd/>
        <w:snapToGrid/>
        <w:spacing w:line="288" w:lineRule="auto"/>
        <w:ind w:firstLine="482" w:firstLineChars="200"/>
        <w:textAlignment w:val="auto"/>
        <w:rPr>
          <w:rFonts w:hint="eastAsia"/>
          <w:b/>
          <w:bCs/>
          <w:color w:val="auto"/>
          <w:sz w:val="24"/>
          <w:szCs w:val="22"/>
        </w:rPr>
      </w:pPr>
      <w:r>
        <w:rPr>
          <w:rFonts w:hint="eastAsia"/>
          <w:b/>
          <w:bCs/>
          <w:color w:val="auto"/>
          <w:sz w:val="24"/>
          <w:szCs w:val="22"/>
        </w:rPr>
        <w:t>演示U盘：</w:t>
      </w:r>
    </w:p>
    <w:p w14:paraId="20D0803B">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rPr>
      </w:pPr>
      <w:r>
        <w:rPr>
          <w:rFonts w:hint="eastAsia"/>
          <w:color w:val="auto"/>
          <w:sz w:val="24"/>
          <w:szCs w:val="22"/>
        </w:rPr>
        <w:t>（1）根据“电子交易/不见面开评标”原则，供应商需将以上</w:t>
      </w:r>
      <w:r>
        <w:rPr>
          <w:rFonts w:hint="eastAsia"/>
          <w:color w:val="auto"/>
          <w:sz w:val="24"/>
          <w:szCs w:val="22"/>
          <w:lang w:val="en-US" w:eastAsia="zh-CN"/>
        </w:rPr>
        <w:t>或评分标准中要求的</w:t>
      </w:r>
      <w:r>
        <w:rPr>
          <w:rFonts w:hint="eastAsia"/>
          <w:color w:val="auto"/>
          <w:sz w:val="24"/>
          <w:szCs w:val="22"/>
        </w:rPr>
        <w:t>演示及讲解过程录制视频，演示时长不超过15分钟以.mp4格式存储于U盘。</w:t>
      </w:r>
    </w:p>
    <w:p w14:paraId="2B4E5CCA">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lang w:eastAsia="zh-CN"/>
        </w:rPr>
      </w:pPr>
      <w:r>
        <w:rPr>
          <w:rFonts w:hint="eastAsia"/>
          <w:color w:val="auto"/>
          <w:sz w:val="24"/>
          <w:szCs w:val="22"/>
        </w:rPr>
        <w:t>（2）演示U盘可以</w:t>
      </w:r>
      <w:r>
        <w:rPr>
          <w:rFonts w:hint="eastAsia"/>
          <w:b/>
          <w:bCs/>
          <w:color w:val="auto"/>
          <w:sz w:val="24"/>
          <w:szCs w:val="22"/>
        </w:rPr>
        <w:t>顺丰邮寄</w:t>
      </w:r>
      <w:r>
        <w:rPr>
          <w:rFonts w:hint="eastAsia"/>
          <w:color w:val="auto"/>
          <w:sz w:val="24"/>
          <w:szCs w:val="22"/>
        </w:rPr>
        <w:t>形式在响应截止时间前递交，演示U盘应当密封包装并在包装上标注演示U盘、响应项目名称、响应供应商名称并加盖公章。</w:t>
      </w:r>
      <w:r>
        <w:rPr>
          <w:rFonts w:hint="eastAsia"/>
          <w:b/>
          <w:bCs/>
          <w:color w:val="auto"/>
          <w:sz w:val="24"/>
          <w:szCs w:val="22"/>
          <w:lang w:val="en-US" w:eastAsia="zh-CN"/>
        </w:rPr>
        <w:t>邮寄地址详见：</w:t>
      </w:r>
      <w:r>
        <w:rPr>
          <w:rFonts w:hint="eastAsia"/>
          <w:b/>
          <w:bCs/>
          <w:color w:val="auto"/>
          <w:sz w:val="24"/>
          <w:szCs w:val="22"/>
        </w:rPr>
        <w:t>第二部分</w:t>
      </w:r>
      <w:r>
        <w:rPr>
          <w:rFonts w:hint="eastAsia"/>
          <w:b/>
          <w:bCs/>
          <w:color w:val="auto"/>
          <w:sz w:val="24"/>
          <w:szCs w:val="22"/>
          <w:lang w:val="en-US" w:eastAsia="zh-CN"/>
        </w:rPr>
        <w:t xml:space="preserve"> </w:t>
      </w:r>
      <w:r>
        <w:rPr>
          <w:rFonts w:hint="eastAsia"/>
          <w:b/>
          <w:bCs/>
          <w:color w:val="auto"/>
          <w:sz w:val="24"/>
          <w:szCs w:val="22"/>
        </w:rPr>
        <w:t>响应方须知</w:t>
      </w:r>
      <w:r>
        <w:rPr>
          <w:rFonts w:hint="eastAsia"/>
          <w:b/>
          <w:bCs/>
          <w:color w:val="auto"/>
          <w:sz w:val="24"/>
          <w:szCs w:val="22"/>
          <w:lang w:eastAsia="zh-CN"/>
        </w:rPr>
        <w:t>。</w:t>
      </w:r>
    </w:p>
    <w:p w14:paraId="1BA030B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rPr>
      </w:pPr>
      <w:r>
        <w:rPr>
          <w:rFonts w:hint="eastAsia"/>
          <w:color w:val="auto"/>
          <w:sz w:val="24"/>
          <w:szCs w:val="22"/>
        </w:rPr>
        <w:t>（3）未按磋商文件要求提供演示U盘造成专家无法正常评审的风险由供应商自行承担。</w:t>
      </w:r>
    </w:p>
    <w:p w14:paraId="3B411AF0">
      <w:pPr>
        <w:rPr>
          <w:bCs/>
          <w:color w:val="auto"/>
          <w:sz w:val="24"/>
        </w:rPr>
      </w:pPr>
    </w:p>
    <w:p w14:paraId="1ABB4A3F">
      <w:pPr>
        <w:pStyle w:val="4"/>
        <w:ind w:left="0" w:firstLine="0"/>
        <w:outlineLvl w:val="1"/>
        <w:rPr>
          <w:color w:val="auto"/>
        </w:rPr>
      </w:pPr>
      <w:r>
        <w:rPr>
          <w:rFonts w:hint="eastAsia"/>
          <w:color w:val="auto"/>
          <w:lang w:val="en-US" w:eastAsia="zh-CN"/>
        </w:rPr>
        <w:t>三</w:t>
      </w:r>
      <w:r>
        <w:rPr>
          <w:rFonts w:hint="eastAsia"/>
          <w:color w:val="auto"/>
        </w:rPr>
        <w:t>、商务要求</w:t>
      </w:r>
    </w:p>
    <w:p w14:paraId="62C475F3">
      <w:pPr>
        <w:spacing w:line="360" w:lineRule="auto"/>
        <w:ind w:firstLine="420" w:firstLineChars="175"/>
        <w:rPr>
          <w:rFonts w:hint="eastAsia"/>
          <w:color w:val="auto"/>
          <w:sz w:val="24"/>
        </w:rPr>
      </w:pPr>
      <w:r>
        <w:rPr>
          <w:rFonts w:hint="eastAsia"/>
          <w:color w:val="auto"/>
          <w:sz w:val="24"/>
        </w:rPr>
        <w:t>甲方：</w:t>
      </w:r>
      <w:r>
        <w:rPr>
          <w:rFonts w:hint="eastAsia"/>
          <w:color w:val="auto"/>
          <w:sz w:val="24"/>
        </w:rPr>
        <w:t>采购人，乙方：成交供应商</w:t>
      </w:r>
    </w:p>
    <w:p w14:paraId="5F885663">
      <w:pPr>
        <w:spacing w:line="360" w:lineRule="auto"/>
        <w:ind w:firstLine="422" w:firstLineChars="175"/>
        <w:rPr>
          <w:rFonts w:hint="eastAsia"/>
          <w:color w:val="auto"/>
          <w:sz w:val="24"/>
        </w:rPr>
      </w:pPr>
      <w:r>
        <w:rPr>
          <w:rFonts w:hint="eastAsia"/>
          <w:b/>
          <w:bCs/>
          <w:color w:val="auto"/>
          <w:sz w:val="24"/>
        </w:rPr>
        <w:t>1、</w:t>
      </w:r>
      <w:r>
        <w:rPr>
          <w:rFonts w:hint="eastAsia" w:ascii="宋体" w:hAnsi="宋体" w:cs="宋体"/>
          <w:b/>
          <w:bCs/>
          <w:color w:val="auto"/>
          <w:sz w:val="24"/>
        </w:rPr>
        <w:t>▲</w:t>
      </w:r>
      <w:r>
        <w:rPr>
          <w:rFonts w:hint="eastAsia" w:hAnsi="宋体" w:cs="宋体"/>
          <w:b/>
          <w:bCs/>
          <w:color w:val="auto"/>
          <w:sz w:val="24"/>
        </w:rPr>
        <w:t>服务期限</w:t>
      </w:r>
      <w:r>
        <w:rPr>
          <w:rFonts w:hint="eastAsia" w:hAnsi="宋体" w:cs="宋体"/>
          <w:color w:val="auto"/>
          <w:sz w:val="24"/>
        </w:rPr>
        <w:t>：</w:t>
      </w:r>
      <w:r>
        <w:rPr>
          <w:rFonts w:hint="eastAsia" w:hAnsi="宋体" w:cs="宋体"/>
          <w:color w:val="auto"/>
          <w:sz w:val="24"/>
          <w:lang w:val="en-US" w:eastAsia="zh-CN"/>
        </w:rPr>
        <w:t>合同签订后</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年。</w:t>
      </w:r>
    </w:p>
    <w:p w14:paraId="791DE575">
      <w:pPr>
        <w:spacing w:line="360" w:lineRule="auto"/>
        <w:ind w:firstLine="422" w:firstLineChars="175"/>
        <w:rPr>
          <w:rFonts w:hint="eastAsia"/>
          <w:color w:val="auto"/>
          <w:sz w:val="24"/>
          <w:u w:val="single"/>
        </w:rPr>
      </w:pPr>
      <w:r>
        <w:rPr>
          <w:rFonts w:hint="eastAsia"/>
          <w:b/>
          <w:bCs/>
          <w:color w:val="auto"/>
          <w:sz w:val="24"/>
        </w:rPr>
        <w:t>2、</w:t>
      </w:r>
      <w:r>
        <w:rPr>
          <w:rFonts w:hint="eastAsia" w:ascii="宋体" w:hAnsi="宋体" w:cs="宋体"/>
          <w:b/>
          <w:bCs/>
          <w:color w:val="auto"/>
          <w:sz w:val="24"/>
        </w:rPr>
        <w:t>▲</w:t>
      </w:r>
      <w:r>
        <w:rPr>
          <w:rFonts w:hint="eastAsia"/>
          <w:b/>
          <w:bCs/>
          <w:color w:val="auto"/>
          <w:sz w:val="24"/>
        </w:rPr>
        <w:t>服务地点</w:t>
      </w:r>
      <w:r>
        <w:rPr>
          <w:rFonts w:hint="eastAsia"/>
          <w:color w:val="auto"/>
          <w:sz w:val="24"/>
        </w:rPr>
        <w:t>：</w:t>
      </w:r>
      <w:bookmarkStart w:id="392" w:name="_Hlk169254344"/>
      <w:r>
        <w:rPr>
          <w:rFonts w:hint="eastAsia"/>
          <w:color w:val="auto"/>
          <w:sz w:val="24"/>
        </w:rPr>
        <w:t>杭州电子科技大学</w:t>
      </w:r>
      <w:r>
        <w:rPr>
          <w:rFonts w:hint="eastAsia"/>
          <w:color w:val="auto"/>
          <w:sz w:val="24"/>
          <w:u w:val="single"/>
        </w:rPr>
        <w:t xml:space="preserve"> </w:t>
      </w:r>
      <w:r>
        <w:rPr>
          <w:rFonts w:hint="eastAsia"/>
          <w:color w:val="auto"/>
          <w:sz w:val="24"/>
          <w:u w:val="single"/>
          <w:lang w:val="en-US" w:eastAsia="zh-CN"/>
        </w:rPr>
        <w:t>绍兴</w:t>
      </w:r>
      <w:r>
        <w:rPr>
          <w:rFonts w:hint="eastAsia"/>
          <w:color w:val="auto"/>
          <w:sz w:val="24"/>
          <w:u w:val="single"/>
        </w:rPr>
        <w:t xml:space="preserve"> </w:t>
      </w:r>
      <w:r>
        <w:rPr>
          <w:rFonts w:hint="eastAsia"/>
          <w:color w:val="auto"/>
          <w:sz w:val="24"/>
        </w:rPr>
        <w:t>校区甲方指定地点</w:t>
      </w:r>
      <w:bookmarkEnd w:id="392"/>
      <w:r>
        <w:rPr>
          <w:rFonts w:hint="eastAsia"/>
          <w:color w:val="auto"/>
          <w:sz w:val="24"/>
        </w:rPr>
        <w:t>。</w:t>
      </w:r>
    </w:p>
    <w:p w14:paraId="11AF9E90">
      <w:pPr>
        <w:spacing w:line="360" w:lineRule="auto"/>
        <w:ind w:firstLine="422" w:firstLineChars="175"/>
        <w:rPr>
          <w:rFonts w:hint="eastAsia" w:ascii="Times New Roman" w:hAnsi="Times New Roman" w:eastAsia="宋体" w:cs="Times New Roman"/>
          <w:b/>
          <w:bCs/>
          <w:color w:val="auto"/>
          <w:sz w:val="24"/>
          <w:szCs w:val="22"/>
          <w:shd w:val="clear" w:color="auto" w:fill="auto"/>
        </w:rPr>
      </w:pPr>
      <w:r>
        <w:rPr>
          <w:rFonts w:hint="eastAsia" w:ascii="Times New Roman" w:hAnsi="Times New Roman" w:eastAsia="宋体" w:cs="Times New Roman"/>
          <w:b/>
          <w:bCs/>
          <w:color w:val="auto"/>
          <w:sz w:val="24"/>
          <w:szCs w:val="22"/>
        </w:rPr>
        <w:t>3、▲付款方式：</w:t>
      </w:r>
      <w:r>
        <w:rPr>
          <w:rFonts w:hint="eastAsia" w:ascii="Times New Roman" w:hAnsi="Times New Roman" w:eastAsia="宋体" w:cs="Times New Roman"/>
          <w:b w:val="0"/>
          <w:bCs w:val="0"/>
          <w:color w:val="auto"/>
          <w:sz w:val="24"/>
          <w:szCs w:val="22"/>
          <w:shd w:val="clear" w:color="auto" w:fill="auto"/>
        </w:rPr>
        <w:t>合同生效以及具备实施条件且乙方已向甲方提交银行、保险公司等金融机构出具的预付款保函后，7个工作日内，甲方向乙方支付合同总价的</w:t>
      </w:r>
      <w:r>
        <w:rPr>
          <w:rFonts w:hint="eastAsia" w:ascii="Times New Roman" w:hAnsi="Times New Roman" w:eastAsia="宋体" w:cs="Times New Roman"/>
          <w:b w:val="0"/>
          <w:bCs w:val="0"/>
          <w:color w:val="auto"/>
          <w:sz w:val="24"/>
          <w:szCs w:val="22"/>
          <w:u w:val="single"/>
          <w:shd w:val="clear" w:color="auto" w:fill="auto"/>
        </w:rPr>
        <w:t xml:space="preserve">  </w:t>
      </w:r>
      <w:r>
        <w:rPr>
          <w:rFonts w:hint="eastAsia" w:ascii="Times New Roman" w:hAnsi="Times New Roman" w:eastAsia="宋体" w:cs="Times New Roman"/>
          <w:b w:val="0"/>
          <w:bCs w:val="0"/>
          <w:color w:val="auto"/>
          <w:sz w:val="24"/>
          <w:szCs w:val="22"/>
          <w:u w:val="single"/>
          <w:shd w:val="clear" w:color="auto" w:fill="auto"/>
          <w:lang w:val="en-US" w:eastAsia="zh-CN"/>
        </w:rPr>
        <w:t>70</w:t>
      </w:r>
      <w:r>
        <w:rPr>
          <w:rFonts w:hint="eastAsia" w:ascii="Times New Roman" w:hAnsi="Times New Roman" w:eastAsia="宋体" w:cs="Times New Roman"/>
          <w:b w:val="0"/>
          <w:bCs w:val="0"/>
          <w:color w:val="auto"/>
          <w:sz w:val="24"/>
          <w:szCs w:val="22"/>
          <w:u w:val="single"/>
          <w:shd w:val="clear" w:color="auto" w:fill="auto"/>
        </w:rPr>
        <w:t xml:space="preserve">  </w:t>
      </w:r>
      <w:r>
        <w:rPr>
          <w:rFonts w:hint="eastAsia" w:ascii="Times New Roman" w:hAnsi="Times New Roman" w:eastAsia="宋体" w:cs="Times New Roman"/>
          <w:b w:val="0"/>
          <w:bCs w:val="0"/>
          <w:color w:val="auto"/>
          <w:sz w:val="24"/>
          <w:szCs w:val="22"/>
          <w:shd w:val="clear" w:color="auto" w:fill="auto"/>
        </w:rPr>
        <w:t>%；服务完成，经甲方验收合格并收到有效发票后7个工作日内，向乙方支付合同总价的</w:t>
      </w:r>
      <w:r>
        <w:rPr>
          <w:rFonts w:hint="eastAsia" w:ascii="Times New Roman" w:hAnsi="Times New Roman" w:eastAsia="宋体" w:cs="Times New Roman"/>
          <w:b w:val="0"/>
          <w:bCs w:val="0"/>
          <w:color w:val="auto"/>
          <w:sz w:val="24"/>
          <w:szCs w:val="22"/>
          <w:u w:val="single"/>
          <w:shd w:val="clear" w:color="auto" w:fill="auto"/>
        </w:rPr>
        <w:t>　</w:t>
      </w:r>
      <w:r>
        <w:rPr>
          <w:rFonts w:hint="eastAsia" w:ascii="Times New Roman" w:hAnsi="Times New Roman" w:eastAsia="宋体" w:cs="Times New Roman"/>
          <w:b w:val="0"/>
          <w:bCs w:val="0"/>
          <w:color w:val="auto"/>
          <w:sz w:val="24"/>
          <w:szCs w:val="22"/>
          <w:u w:val="single"/>
          <w:shd w:val="clear" w:color="auto" w:fill="auto"/>
          <w:lang w:val="en-US" w:eastAsia="zh-CN"/>
        </w:rPr>
        <w:t>30</w:t>
      </w:r>
      <w:r>
        <w:rPr>
          <w:rFonts w:hint="eastAsia" w:ascii="Times New Roman" w:hAnsi="Times New Roman" w:eastAsia="宋体" w:cs="Times New Roman"/>
          <w:b w:val="0"/>
          <w:bCs w:val="0"/>
          <w:color w:val="auto"/>
          <w:sz w:val="24"/>
          <w:szCs w:val="22"/>
          <w:u w:val="single"/>
          <w:shd w:val="clear" w:color="auto" w:fill="auto"/>
        </w:rPr>
        <w:t>　</w:t>
      </w:r>
      <w:r>
        <w:rPr>
          <w:rFonts w:hint="eastAsia" w:ascii="Times New Roman" w:hAnsi="Times New Roman" w:eastAsia="宋体" w:cs="Times New Roman"/>
          <w:b w:val="0"/>
          <w:bCs w:val="0"/>
          <w:color w:val="auto"/>
          <w:sz w:val="24"/>
          <w:szCs w:val="22"/>
          <w:shd w:val="clear" w:color="auto" w:fill="auto"/>
        </w:rPr>
        <w:t>%。若供应商收取预付款，要求预付款保函有效期覆盖项目验收合格时间；提供了预付款保函则供应商无需再缴纳履约保证金。</w:t>
      </w:r>
    </w:p>
    <w:p w14:paraId="3E50C8E2">
      <w:pPr>
        <w:pStyle w:val="4"/>
        <w:ind w:left="0" w:firstLine="0"/>
        <w:outlineLvl w:val="1"/>
        <w:rPr>
          <w:rFonts w:hint="eastAsia" w:ascii="宋体" w:hAnsi="Times New Roman" w:eastAsia="宋体" w:cs="Times New Roman"/>
          <w:color w:val="auto"/>
          <w:szCs w:val="22"/>
          <w:lang w:val="en-US" w:eastAsia="zh-CN"/>
        </w:rPr>
      </w:pPr>
      <w:r>
        <w:rPr>
          <w:rFonts w:hint="eastAsia" w:ascii="宋体" w:hAnsi="Times New Roman" w:eastAsia="宋体" w:cs="Times New Roman"/>
          <w:color w:val="auto"/>
          <w:szCs w:val="22"/>
          <w:lang w:val="en-US" w:eastAsia="zh-CN"/>
        </w:rPr>
        <w:t>四、评分标准及合同基本条款中明确的其它相关要求</w:t>
      </w:r>
    </w:p>
    <w:p w14:paraId="3FF90E27">
      <w:pPr>
        <w:spacing w:line="288" w:lineRule="auto"/>
        <w:jc w:val="left"/>
        <w:rPr>
          <w:rStyle w:val="55"/>
          <w:color w:val="auto"/>
        </w:rPr>
      </w:pPr>
      <w:r>
        <w:rPr>
          <w:rFonts w:hint="eastAsia" w:ascii="宋体" w:hAnsi="宋体" w:cs="宋体"/>
          <w:color w:val="auto"/>
          <w:sz w:val="24"/>
          <w:szCs w:val="24"/>
        </w:rPr>
        <w:br w:type="page"/>
      </w:r>
    </w:p>
    <w:bookmarkEnd w:id="383"/>
    <w:bookmarkEnd w:id="384"/>
    <w:bookmarkEnd w:id="385"/>
    <w:bookmarkEnd w:id="386"/>
    <w:bookmarkEnd w:id="387"/>
    <w:bookmarkEnd w:id="388"/>
    <w:bookmarkEnd w:id="389"/>
    <w:bookmarkEnd w:id="390"/>
    <w:bookmarkEnd w:id="391"/>
    <w:p w14:paraId="62FB5E50">
      <w:pPr>
        <w:pStyle w:val="2"/>
        <w:bidi w:val="0"/>
        <w:outlineLvl w:val="0"/>
        <w:rPr>
          <w:rFonts w:hint="eastAsia"/>
          <w:color w:val="auto"/>
          <w:szCs w:val="22"/>
        </w:rPr>
      </w:pPr>
      <w:bookmarkStart w:id="393" w:name="_Toc14638_WPSOffice_Level1"/>
      <w:bookmarkStart w:id="394" w:name="_Toc25130"/>
      <w:bookmarkStart w:id="395" w:name="_Toc18980"/>
      <w:bookmarkStart w:id="396" w:name="_Toc13623"/>
      <w:bookmarkStart w:id="397" w:name="_Toc98"/>
      <w:bookmarkStart w:id="398" w:name="_Toc19657"/>
      <w:bookmarkStart w:id="399" w:name="_Toc1851"/>
      <w:bookmarkStart w:id="400" w:name="_Toc9292"/>
      <w:bookmarkStart w:id="401" w:name="_Toc19846"/>
      <w:bookmarkStart w:id="402" w:name="_Toc17732"/>
      <w:bookmarkStart w:id="403" w:name="_Toc3709"/>
      <w:bookmarkStart w:id="404" w:name="_Toc28691"/>
      <w:bookmarkStart w:id="405" w:name="_Toc12327"/>
      <w:bookmarkStart w:id="406" w:name="_Toc8403"/>
      <w:bookmarkStart w:id="407" w:name="_Toc11902"/>
      <w:bookmarkStart w:id="408" w:name="_Toc16392"/>
      <w:bookmarkStart w:id="409" w:name="_Toc18295"/>
      <w:bookmarkStart w:id="410" w:name="_Toc3339"/>
      <w:bookmarkStart w:id="411" w:name="_Toc26662"/>
      <w:bookmarkStart w:id="412" w:name="_Toc11774"/>
      <w:r>
        <w:rPr>
          <w:rFonts w:hint="eastAsia"/>
          <w:color w:val="auto"/>
          <w:szCs w:val="22"/>
        </w:rPr>
        <w:t>第四部分 评审办法与评分标准</w:t>
      </w:r>
      <w:bookmarkEnd w:id="393"/>
    </w:p>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14:paraId="49480957">
      <w:pPr>
        <w:pStyle w:val="4"/>
        <w:ind w:left="0" w:firstLine="0"/>
        <w:outlineLvl w:val="1"/>
        <w:rPr>
          <w:color w:val="auto"/>
        </w:rPr>
      </w:pPr>
      <w:r>
        <w:rPr>
          <w:rFonts w:hint="eastAsia"/>
          <w:color w:val="auto"/>
        </w:rPr>
        <w:t>一、评审方法</w:t>
      </w:r>
    </w:p>
    <w:p w14:paraId="4F657DF4">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2D9B9006">
      <w:pPr>
        <w:adjustRightInd w:val="0"/>
        <w:snapToGrid w:val="0"/>
        <w:spacing w:line="288" w:lineRule="auto"/>
        <w:ind w:firstLine="480" w:firstLineChars="200"/>
        <w:rPr>
          <w:color w:val="auto"/>
          <w:sz w:val="24"/>
          <w:szCs w:val="24"/>
        </w:rPr>
      </w:pPr>
      <w:r>
        <w:rPr>
          <w:rFonts w:hint="eastAsia"/>
          <w:color w:val="auto"/>
          <w:sz w:val="24"/>
          <w:szCs w:val="24"/>
        </w:rPr>
        <w:t>供</w:t>
      </w:r>
      <w:r>
        <w:rPr>
          <w:rFonts w:hint="eastAsia"/>
          <w:color w:val="auto"/>
          <w:sz w:val="24"/>
          <w:szCs w:val="24"/>
        </w:rPr>
        <w:t>应商评审综合得分=商务分+技术分+价格分</w:t>
      </w:r>
    </w:p>
    <w:p w14:paraId="0E29F2EF">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2F700418">
      <w:pPr>
        <w:pStyle w:val="4"/>
        <w:ind w:left="0" w:firstLine="0"/>
        <w:outlineLvl w:val="1"/>
        <w:rPr>
          <w:bCs/>
          <w:color w:val="auto"/>
          <w:sz w:val="24"/>
          <w:szCs w:val="24"/>
        </w:rPr>
      </w:pPr>
      <w:r>
        <w:rPr>
          <w:rFonts w:hint="eastAsia"/>
          <w:bCs/>
          <w:color w:val="auto"/>
          <w:sz w:val="24"/>
          <w:szCs w:val="24"/>
        </w:rPr>
        <w:t>二、评审标准</w:t>
      </w:r>
    </w:p>
    <w:tbl>
      <w:tblPr>
        <w:tblStyle w:val="45"/>
        <w:tblW w:w="9315"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743"/>
        <w:gridCol w:w="7125"/>
      </w:tblGrid>
      <w:tr w14:paraId="6195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47" w:type="dxa"/>
            <w:noWrap w:val="0"/>
            <w:vAlign w:val="center"/>
          </w:tcPr>
          <w:p w14:paraId="1164F25A">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743" w:type="dxa"/>
            <w:noWrap w:val="0"/>
            <w:vAlign w:val="center"/>
          </w:tcPr>
          <w:p w14:paraId="00548117">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分值</w:t>
            </w:r>
          </w:p>
        </w:tc>
        <w:tc>
          <w:tcPr>
            <w:tcW w:w="7125" w:type="dxa"/>
            <w:noWrap w:val="0"/>
            <w:vAlign w:val="center"/>
          </w:tcPr>
          <w:p w14:paraId="765104B8">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评分细则</w:t>
            </w:r>
          </w:p>
        </w:tc>
      </w:tr>
      <w:tr w14:paraId="7BBD7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15" w:type="dxa"/>
            <w:gridSpan w:val="3"/>
            <w:noWrap w:val="0"/>
            <w:vAlign w:val="center"/>
          </w:tcPr>
          <w:p w14:paraId="093A8DC7">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价格分（10分）</w:t>
            </w:r>
          </w:p>
        </w:tc>
      </w:tr>
      <w:tr w14:paraId="34767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47" w:type="dxa"/>
            <w:noWrap w:val="0"/>
            <w:vAlign w:val="center"/>
          </w:tcPr>
          <w:p w14:paraId="4F20B584">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最后磋商报价</w:t>
            </w:r>
          </w:p>
        </w:tc>
        <w:tc>
          <w:tcPr>
            <w:tcW w:w="743" w:type="dxa"/>
            <w:noWrap w:val="0"/>
            <w:vAlign w:val="center"/>
          </w:tcPr>
          <w:p w14:paraId="1D6D21C4">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10</w:t>
            </w:r>
          </w:p>
        </w:tc>
        <w:tc>
          <w:tcPr>
            <w:tcW w:w="7125" w:type="dxa"/>
            <w:noWrap w:val="0"/>
            <w:vAlign w:val="center"/>
          </w:tcPr>
          <w:p w14:paraId="0874BE2F">
            <w:pPr>
              <w:adjustRightInd w:val="0"/>
              <w:snapToGrid w:val="0"/>
              <w:spacing w:line="288"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价格分统一采用低价优先法计算，即满足磋商文件要求且最后报价最低的供应商的价格为磋商基准价，其价格分为满分。其他供应商的价格分统一按照下列公式计算：</w:t>
            </w:r>
          </w:p>
          <w:p w14:paraId="354E0414">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磋商报价得分=（磋商基准价/最后磋商报价）×</w:t>
            </w:r>
            <w:r>
              <w:rPr>
                <w:rFonts w:hint="eastAsia" w:ascii="宋体" w:hAnsi="宋体" w:eastAsia="宋体" w:cs="宋体"/>
                <w:color w:val="auto"/>
                <w:sz w:val="24"/>
                <w:szCs w:val="24"/>
                <w:u w:val="single"/>
              </w:rPr>
              <w:t>10</w:t>
            </w:r>
            <w:r>
              <w:rPr>
                <w:rFonts w:hint="eastAsia" w:ascii="宋体" w:hAnsi="宋体" w:eastAsia="宋体" w:cs="宋体"/>
                <w:color w:val="auto"/>
                <w:sz w:val="24"/>
                <w:szCs w:val="24"/>
              </w:rPr>
              <w:t>%×100。</w:t>
            </w:r>
          </w:p>
        </w:tc>
      </w:tr>
      <w:tr w14:paraId="71814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15" w:type="dxa"/>
            <w:gridSpan w:val="3"/>
            <w:noWrap w:val="0"/>
            <w:vAlign w:val="center"/>
          </w:tcPr>
          <w:p w14:paraId="520B663F">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商务分（8）</w:t>
            </w:r>
          </w:p>
        </w:tc>
      </w:tr>
      <w:tr w14:paraId="5EB7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47" w:type="dxa"/>
            <w:noWrap w:val="0"/>
            <w:vAlign w:val="center"/>
          </w:tcPr>
          <w:p w14:paraId="2ABD1A64">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业绩</w:t>
            </w:r>
          </w:p>
        </w:tc>
        <w:tc>
          <w:tcPr>
            <w:tcW w:w="743" w:type="dxa"/>
            <w:noWrap w:val="0"/>
            <w:vAlign w:val="center"/>
          </w:tcPr>
          <w:p w14:paraId="6E4ABCD1">
            <w:pPr>
              <w:adjustRightInd w:val="0"/>
              <w:snapToGrid w:val="0"/>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p>
        </w:tc>
        <w:tc>
          <w:tcPr>
            <w:tcW w:w="7125" w:type="dxa"/>
            <w:noWrap w:val="0"/>
            <w:vAlign w:val="center"/>
          </w:tcPr>
          <w:p w14:paraId="15A2935F">
            <w:pPr>
              <w:adjustRightInd w:val="0"/>
              <w:snapToGrid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供应商自20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年1月1日以来（以合同签订时间为准）同类合同业绩（以提供的合同扫描件为准）：每提供1份合同业绩得0.5分，最高得1分。</w:t>
            </w:r>
            <w:r>
              <w:rPr>
                <w:rFonts w:hint="eastAsia" w:ascii="宋体" w:hAnsi="宋体" w:eastAsia="宋体" w:cs="宋体"/>
                <w:b/>
                <w:bCs/>
                <w:color w:val="auto"/>
                <w:sz w:val="24"/>
                <w:szCs w:val="24"/>
                <w:highlight w:val="none"/>
                <w:lang w:bidi="ar"/>
              </w:rPr>
              <w:t>【客观分】</w:t>
            </w:r>
          </w:p>
        </w:tc>
      </w:tr>
      <w:tr w14:paraId="1AE99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47" w:type="dxa"/>
            <w:noWrap w:val="0"/>
            <w:vAlign w:val="center"/>
          </w:tcPr>
          <w:p w14:paraId="322C746D">
            <w:pPr>
              <w:adjustRightInd w:val="0"/>
              <w:snapToGrid w:val="0"/>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证书</w:t>
            </w:r>
          </w:p>
        </w:tc>
        <w:tc>
          <w:tcPr>
            <w:tcW w:w="743" w:type="dxa"/>
            <w:noWrap w:val="0"/>
            <w:vAlign w:val="center"/>
          </w:tcPr>
          <w:p w14:paraId="1A3E59EF">
            <w:pPr>
              <w:adjustRightInd w:val="0"/>
              <w:snapToGrid w:val="0"/>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3</w:t>
            </w:r>
          </w:p>
        </w:tc>
        <w:tc>
          <w:tcPr>
            <w:tcW w:w="7125" w:type="dxa"/>
            <w:noWrap w:val="0"/>
            <w:vAlign w:val="center"/>
          </w:tcPr>
          <w:p w14:paraId="65DF64D2">
            <w:pPr>
              <w:adjustRightInd w:val="0"/>
              <w:snapToGrid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响应方</w:t>
            </w:r>
            <w:r>
              <w:rPr>
                <w:rFonts w:hint="eastAsia" w:ascii="宋体" w:hAnsi="宋体" w:eastAsia="宋体" w:cs="宋体"/>
                <w:color w:val="auto"/>
                <w:sz w:val="24"/>
                <w:szCs w:val="24"/>
                <w:highlight w:val="none"/>
              </w:rPr>
              <w:t>具备项目实施相关的运维平台软件著作权登记证书的，每提供1份得1分，最高得3分。</w:t>
            </w:r>
            <w:r>
              <w:rPr>
                <w:rFonts w:hint="eastAsia" w:ascii="宋体" w:hAnsi="宋体" w:eastAsia="宋体" w:cs="宋体"/>
                <w:b/>
                <w:bCs/>
                <w:color w:val="auto"/>
                <w:sz w:val="24"/>
                <w:szCs w:val="24"/>
                <w:highlight w:val="none"/>
              </w:rPr>
              <w:t>提供证书复印件</w:t>
            </w:r>
            <w:r>
              <w:rPr>
                <w:rFonts w:hint="eastAsia" w:ascii="宋体" w:hAnsi="宋体" w:eastAsia="宋体" w:cs="宋体"/>
                <w:color w:val="auto"/>
                <w:sz w:val="24"/>
                <w:szCs w:val="24"/>
                <w:highlight w:val="none"/>
              </w:rPr>
              <w:t>，未提供不得分。</w:t>
            </w:r>
            <w:r>
              <w:rPr>
                <w:rFonts w:hint="eastAsia" w:ascii="宋体" w:hAnsi="宋体" w:eastAsia="宋体" w:cs="宋体"/>
                <w:b/>
                <w:bCs/>
                <w:color w:val="auto"/>
                <w:sz w:val="24"/>
                <w:szCs w:val="24"/>
                <w:highlight w:val="none"/>
              </w:rPr>
              <w:t>【客观分】</w:t>
            </w:r>
          </w:p>
        </w:tc>
      </w:tr>
      <w:tr w14:paraId="76E82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47" w:type="dxa"/>
            <w:noWrap w:val="0"/>
            <w:vAlign w:val="center"/>
          </w:tcPr>
          <w:p w14:paraId="2ED9D52C">
            <w:pPr>
              <w:adjustRightInd w:val="0"/>
              <w:snapToGrid w:val="0"/>
              <w:spacing w:line="288"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资质</w:t>
            </w:r>
          </w:p>
        </w:tc>
        <w:tc>
          <w:tcPr>
            <w:tcW w:w="743" w:type="dxa"/>
            <w:noWrap w:val="0"/>
            <w:vAlign w:val="center"/>
          </w:tcPr>
          <w:p w14:paraId="6349CE1B">
            <w:pPr>
              <w:adjustRightInd w:val="0"/>
              <w:snapToGrid w:val="0"/>
              <w:spacing w:line="288"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4</w:t>
            </w:r>
          </w:p>
        </w:tc>
        <w:tc>
          <w:tcPr>
            <w:tcW w:w="7125" w:type="dxa"/>
            <w:noWrap w:val="0"/>
            <w:vAlign w:val="center"/>
          </w:tcPr>
          <w:p w14:paraId="17606663">
            <w:pPr>
              <w:adjustRightInd w:val="0"/>
              <w:snapToGrid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响应方</w:t>
            </w:r>
            <w:r>
              <w:rPr>
                <w:rFonts w:hint="eastAsia" w:ascii="宋体" w:hAnsi="宋体" w:eastAsia="宋体" w:cs="宋体"/>
                <w:color w:val="auto"/>
                <w:sz w:val="24"/>
                <w:szCs w:val="24"/>
                <w:highlight w:val="none"/>
              </w:rPr>
              <w:t>具有有效的质量管理体系、环境管理体系、职业健康安全管理体系、信息安全管理体系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每提供1个得1分，本项最高得4分。（</w:t>
            </w:r>
            <w:r>
              <w:rPr>
                <w:rFonts w:hint="eastAsia" w:ascii="宋体" w:hAnsi="宋体" w:eastAsia="宋体" w:cs="宋体"/>
                <w:b/>
                <w:bCs/>
                <w:color w:val="auto"/>
                <w:sz w:val="24"/>
                <w:szCs w:val="24"/>
                <w:highlight w:val="none"/>
              </w:rPr>
              <w:t>须提供有效期内证书复印件并加盖公章，提供在全国认证认可信息公共服务平台的查询截图</w:t>
            </w:r>
            <w:r>
              <w:rPr>
                <w:rFonts w:hint="eastAsia" w:ascii="宋体" w:hAnsi="宋体" w:eastAsia="宋体" w:cs="宋体"/>
                <w:color w:val="auto"/>
                <w:sz w:val="24"/>
                <w:szCs w:val="24"/>
                <w:highlight w:val="none"/>
              </w:rPr>
              <w:t>，否则不得分。）</w:t>
            </w:r>
            <w:r>
              <w:rPr>
                <w:rFonts w:hint="eastAsia" w:ascii="宋体" w:hAnsi="宋体" w:eastAsia="宋体" w:cs="宋体"/>
                <w:b/>
                <w:bCs/>
                <w:color w:val="auto"/>
                <w:sz w:val="24"/>
                <w:szCs w:val="24"/>
                <w:highlight w:val="none"/>
              </w:rPr>
              <w:t>【客观分】</w:t>
            </w:r>
          </w:p>
        </w:tc>
      </w:tr>
      <w:tr w14:paraId="662C5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15" w:type="dxa"/>
            <w:gridSpan w:val="3"/>
            <w:noWrap w:val="0"/>
            <w:vAlign w:val="center"/>
          </w:tcPr>
          <w:p w14:paraId="40D283C2">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技术分（82）</w:t>
            </w:r>
          </w:p>
        </w:tc>
      </w:tr>
      <w:tr w14:paraId="19E5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47" w:type="dxa"/>
            <w:noWrap w:val="0"/>
            <w:vAlign w:val="center"/>
          </w:tcPr>
          <w:p w14:paraId="61A0105A">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技术服务要求满足程度</w:t>
            </w:r>
          </w:p>
        </w:tc>
        <w:tc>
          <w:tcPr>
            <w:tcW w:w="743" w:type="dxa"/>
            <w:noWrap w:val="0"/>
            <w:vAlign w:val="center"/>
          </w:tcPr>
          <w:p w14:paraId="0B30C806">
            <w:pPr>
              <w:adjustRightInd w:val="0"/>
              <w:snapToGrid w:val="0"/>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24</w:t>
            </w:r>
          </w:p>
        </w:tc>
        <w:tc>
          <w:tcPr>
            <w:tcW w:w="7125" w:type="dxa"/>
            <w:noWrap w:val="0"/>
            <w:vAlign w:val="center"/>
          </w:tcPr>
          <w:p w14:paraId="1D955F14">
            <w:pPr>
              <w:adjustRightInd w:val="0"/>
              <w:snapToGrid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满足或优于磋商文件明确的全部技术服务要求的该项得满分；技术服务低于要求（负偏离）的每项扣1分，扣完为止。本项最高24分。</w:t>
            </w:r>
            <w:r>
              <w:rPr>
                <w:rFonts w:hint="eastAsia" w:ascii="宋体" w:hAnsi="宋体" w:eastAsia="宋体" w:cs="宋体"/>
                <w:b/>
                <w:bCs/>
                <w:color w:val="auto"/>
                <w:sz w:val="24"/>
                <w:szCs w:val="24"/>
                <w:lang w:bidi="ar"/>
              </w:rPr>
              <w:t>【客观分】</w:t>
            </w:r>
          </w:p>
        </w:tc>
      </w:tr>
      <w:tr w14:paraId="32DDF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1447" w:type="dxa"/>
            <w:vMerge w:val="restart"/>
            <w:noWrap w:val="0"/>
            <w:vAlign w:val="center"/>
          </w:tcPr>
          <w:p w14:paraId="1001F371">
            <w:pPr>
              <w:adjustRightInd w:val="0"/>
              <w:snapToGrid w:val="0"/>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项目理解及重难点分析</w:t>
            </w:r>
          </w:p>
        </w:tc>
        <w:tc>
          <w:tcPr>
            <w:tcW w:w="743" w:type="dxa"/>
            <w:noWrap w:val="0"/>
            <w:vAlign w:val="center"/>
          </w:tcPr>
          <w:p w14:paraId="2FE50F31">
            <w:pPr>
              <w:adjustRightInd w:val="0"/>
              <w:snapToGrid w:val="0"/>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w:t>
            </w:r>
          </w:p>
        </w:tc>
        <w:tc>
          <w:tcPr>
            <w:tcW w:w="7125" w:type="dxa"/>
            <w:noWrap w:val="0"/>
            <w:vAlign w:val="center"/>
          </w:tcPr>
          <w:p w14:paraId="11C2C409">
            <w:pPr>
              <w:adjustRightInd w:val="0"/>
              <w:snapToGrid w:val="0"/>
              <w:spacing w:line="28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响应方</w:t>
            </w:r>
            <w:r>
              <w:rPr>
                <w:rFonts w:hint="eastAsia" w:ascii="宋体" w:hAnsi="宋体" w:eastAsia="宋体" w:cs="宋体"/>
                <w:color w:val="auto"/>
                <w:kern w:val="0"/>
                <w:sz w:val="24"/>
                <w:szCs w:val="24"/>
                <w:highlight w:val="none"/>
              </w:rPr>
              <w:t>对项目背景、业务需求理解综合全面，要求内容完整详细、能体现项目建设的必要性要求等内容。</w:t>
            </w:r>
            <w:r>
              <w:rPr>
                <w:rFonts w:hint="eastAsia" w:ascii="宋体" w:hAnsi="宋体" w:eastAsia="宋体" w:cs="宋体"/>
                <w:color w:val="auto"/>
                <w:spacing w:val="-6"/>
                <w:sz w:val="24"/>
                <w:szCs w:val="24"/>
                <w:highlight w:val="none"/>
                <w:lang w:bidi="ar"/>
              </w:rPr>
              <w:t>有欠缺或不合理的，每处扣1分。</w:t>
            </w:r>
            <w:r>
              <w:rPr>
                <w:rFonts w:hint="eastAsia" w:ascii="宋体" w:hAnsi="宋体" w:eastAsia="宋体" w:cs="宋体"/>
                <w:color w:val="auto"/>
                <w:spacing w:val="-6"/>
                <w:sz w:val="24"/>
                <w:szCs w:val="24"/>
                <w:highlight w:val="none"/>
                <w:lang w:val="en-US" w:eastAsia="zh-CN" w:bidi="ar"/>
              </w:rPr>
              <w:t>本项最高得5分。</w:t>
            </w:r>
          </w:p>
        </w:tc>
      </w:tr>
      <w:tr w14:paraId="43B99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47" w:type="dxa"/>
            <w:vMerge w:val="continue"/>
            <w:noWrap w:val="0"/>
            <w:vAlign w:val="center"/>
          </w:tcPr>
          <w:p w14:paraId="4D38E75A">
            <w:pPr>
              <w:adjustRightInd w:val="0"/>
              <w:snapToGrid w:val="0"/>
              <w:spacing w:line="288" w:lineRule="auto"/>
              <w:jc w:val="center"/>
              <w:rPr>
                <w:rFonts w:hint="eastAsia" w:ascii="宋体" w:hAnsi="宋体" w:eastAsia="宋体" w:cs="宋体"/>
                <w:b/>
                <w:bCs/>
                <w:color w:val="auto"/>
                <w:sz w:val="24"/>
                <w:szCs w:val="24"/>
                <w:highlight w:val="none"/>
              </w:rPr>
            </w:pPr>
          </w:p>
        </w:tc>
        <w:tc>
          <w:tcPr>
            <w:tcW w:w="743" w:type="dxa"/>
            <w:noWrap w:val="0"/>
            <w:vAlign w:val="center"/>
          </w:tcPr>
          <w:p w14:paraId="3962CF0F">
            <w:pPr>
              <w:adjustRightInd w:val="0"/>
              <w:snapToGrid w:val="0"/>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w:t>
            </w:r>
          </w:p>
        </w:tc>
        <w:tc>
          <w:tcPr>
            <w:tcW w:w="7125" w:type="dxa"/>
            <w:noWrap w:val="0"/>
            <w:vAlign w:val="center"/>
          </w:tcPr>
          <w:p w14:paraId="0BCD56FA">
            <w:pPr>
              <w:adjustRightInd w:val="0"/>
              <w:snapToGrid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针对服务项目中的重点、难点提供分析并提供相应措施，要求理解准确、分析透彻，解决措施具备针对性。</w:t>
            </w:r>
            <w:r>
              <w:rPr>
                <w:rFonts w:hint="eastAsia" w:ascii="宋体" w:hAnsi="宋体" w:eastAsia="宋体" w:cs="宋体"/>
                <w:color w:val="auto"/>
                <w:spacing w:val="-6"/>
                <w:sz w:val="24"/>
                <w:szCs w:val="24"/>
                <w:highlight w:val="none"/>
                <w:lang w:bidi="ar"/>
              </w:rPr>
              <w:t>有欠缺或不合理的，每处扣1分。</w:t>
            </w:r>
            <w:r>
              <w:rPr>
                <w:rFonts w:hint="eastAsia" w:ascii="宋体" w:hAnsi="宋体" w:eastAsia="宋体" w:cs="宋体"/>
                <w:color w:val="auto"/>
                <w:spacing w:val="-6"/>
                <w:sz w:val="24"/>
                <w:szCs w:val="24"/>
                <w:highlight w:val="none"/>
                <w:lang w:val="en-US" w:eastAsia="zh-CN" w:bidi="ar"/>
              </w:rPr>
              <w:t>本项最高得5分。</w:t>
            </w:r>
          </w:p>
        </w:tc>
      </w:tr>
      <w:tr w14:paraId="7C895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447" w:type="dxa"/>
            <w:vMerge w:val="restart"/>
            <w:noWrap w:val="0"/>
            <w:vAlign w:val="center"/>
          </w:tcPr>
          <w:p w14:paraId="6B1056ED">
            <w:pPr>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pacing w:val="-6"/>
                <w:sz w:val="24"/>
                <w:szCs w:val="24"/>
                <w:lang w:bidi="ar"/>
              </w:rPr>
              <w:t>实施方案</w:t>
            </w:r>
          </w:p>
        </w:tc>
        <w:tc>
          <w:tcPr>
            <w:tcW w:w="743" w:type="dxa"/>
            <w:noWrap w:val="0"/>
            <w:vAlign w:val="center"/>
          </w:tcPr>
          <w:p w14:paraId="10AAC3BE">
            <w:pPr>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pacing w:val="-6"/>
                <w:sz w:val="24"/>
                <w:szCs w:val="24"/>
                <w:lang w:bidi="ar"/>
              </w:rPr>
              <w:t>4</w:t>
            </w:r>
          </w:p>
        </w:tc>
        <w:tc>
          <w:tcPr>
            <w:tcW w:w="7125" w:type="dxa"/>
            <w:noWrap w:val="0"/>
            <w:vAlign w:val="center"/>
          </w:tcPr>
          <w:p w14:paraId="21C65D8D">
            <w:pPr>
              <w:spacing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bidi="ar"/>
              </w:rPr>
              <w:t>根据供应商提供的实施方案的完整性、合理性打分。有欠缺或不合理的，每处扣1分。</w:t>
            </w:r>
            <w:r>
              <w:rPr>
                <w:rFonts w:hint="eastAsia" w:ascii="宋体" w:hAnsi="宋体" w:eastAsia="宋体" w:cs="宋体"/>
                <w:color w:val="auto"/>
                <w:spacing w:val="-6"/>
                <w:sz w:val="24"/>
                <w:szCs w:val="24"/>
                <w:highlight w:val="none"/>
                <w:lang w:val="en-US" w:eastAsia="zh-CN" w:bidi="ar"/>
              </w:rPr>
              <w:t>本项最高得4分。</w:t>
            </w:r>
          </w:p>
        </w:tc>
      </w:tr>
      <w:tr w14:paraId="53557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47" w:type="dxa"/>
            <w:vMerge w:val="continue"/>
            <w:noWrap w:val="0"/>
            <w:vAlign w:val="center"/>
          </w:tcPr>
          <w:p w14:paraId="52CA25DE">
            <w:pPr>
              <w:spacing w:line="288" w:lineRule="auto"/>
              <w:jc w:val="center"/>
              <w:rPr>
                <w:rFonts w:hint="eastAsia" w:ascii="宋体" w:hAnsi="宋体" w:eastAsia="宋体" w:cs="宋体"/>
                <w:b/>
                <w:bCs/>
                <w:color w:val="auto"/>
                <w:spacing w:val="-6"/>
                <w:sz w:val="24"/>
                <w:szCs w:val="24"/>
                <w:lang w:bidi="ar"/>
              </w:rPr>
            </w:pPr>
          </w:p>
        </w:tc>
        <w:tc>
          <w:tcPr>
            <w:tcW w:w="743" w:type="dxa"/>
            <w:noWrap w:val="0"/>
            <w:vAlign w:val="center"/>
          </w:tcPr>
          <w:p w14:paraId="33DEE438">
            <w:pPr>
              <w:spacing w:line="288" w:lineRule="auto"/>
              <w:jc w:val="center"/>
              <w:rPr>
                <w:rFonts w:hint="eastAsia" w:ascii="宋体" w:hAnsi="宋体" w:eastAsia="宋体" w:cs="宋体"/>
                <w:b/>
                <w:bCs/>
                <w:color w:val="auto"/>
                <w:spacing w:val="-6"/>
                <w:sz w:val="24"/>
                <w:szCs w:val="24"/>
                <w:lang w:bidi="ar"/>
              </w:rPr>
            </w:pPr>
            <w:r>
              <w:rPr>
                <w:rFonts w:hint="eastAsia" w:ascii="宋体" w:hAnsi="宋体" w:eastAsia="宋体" w:cs="宋体"/>
                <w:b/>
                <w:bCs/>
                <w:color w:val="auto"/>
                <w:spacing w:val="-6"/>
                <w:sz w:val="24"/>
                <w:szCs w:val="24"/>
                <w:lang w:bidi="ar"/>
              </w:rPr>
              <w:t>4</w:t>
            </w:r>
          </w:p>
        </w:tc>
        <w:tc>
          <w:tcPr>
            <w:tcW w:w="7125" w:type="dxa"/>
            <w:noWrap w:val="0"/>
            <w:vAlign w:val="center"/>
          </w:tcPr>
          <w:p w14:paraId="76E64A5A">
            <w:pPr>
              <w:spacing w:line="288" w:lineRule="auto"/>
              <w:jc w:val="left"/>
              <w:rPr>
                <w:rFonts w:hint="eastAsia" w:ascii="宋体" w:hAnsi="宋体" w:eastAsia="宋体" w:cs="宋体"/>
                <w:color w:val="auto"/>
                <w:spacing w:val="-6"/>
                <w:sz w:val="24"/>
                <w:szCs w:val="24"/>
                <w:highlight w:val="none"/>
                <w:lang w:bidi="ar"/>
              </w:rPr>
            </w:pPr>
            <w:r>
              <w:rPr>
                <w:rFonts w:hint="eastAsia" w:ascii="宋体" w:hAnsi="宋体" w:eastAsia="宋体" w:cs="宋体"/>
                <w:color w:val="auto"/>
                <w:spacing w:val="-6"/>
                <w:sz w:val="24"/>
                <w:szCs w:val="24"/>
                <w:highlight w:val="none"/>
                <w:lang w:bidi="ar"/>
              </w:rPr>
              <w:t>根据供应商提供的进度计划、项目管理方案的完整性、合理性打分。有欠缺或不合理的，每处扣1分。</w:t>
            </w:r>
            <w:r>
              <w:rPr>
                <w:rFonts w:hint="eastAsia" w:ascii="宋体" w:hAnsi="宋体" w:eastAsia="宋体" w:cs="宋体"/>
                <w:color w:val="auto"/>
                <w:spacing w:val="-6"/>
                <w:sz w:val="24"/>
                <w:szCs w:val="24"/>
                <w:highlight w:val="none"/>
                <w:lang w:val="en-US" w:eastAsia="zh-CN" w:bidi="ar"/>
              </w:rPr>
              <w:t>本项最高得4分。</w:t>
            </w:r>
          </w:p>
        </w:tc>
      </w:tr>
      <w:tr w14:paraId="4246A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447" w:type="dxa"/>
            <w:vMerge w:val="continue"/>
            <w:noWrap w:val="0"/>
            <w:vAlign w:val="center"/>
          </w:tcPr>
          <w:p w14:paraId="532EB949">
            <w:pPr>
              <w:spacing w:line="288" w:lineRule="auto"/>
              <w:jc w:val="center"/>
              <w:rPr>
                <w:rFonts w:hint="eastAsia" w:ascii="宋体" w:hAnsi="宋体" w:eastAsia="宋体" w:cs="宋体"/>
                <w:b/>
                <w:bCs/>
                <w:color w:val="auto"/>
                <w:spacing w:val="-6"/>
                <w:sz w:val="24"/>
                <w:szCs w:val="24"/>
                <w:lang w:bidi="ar"/>
              </w:rPr>
            </w:pPr>
          </w:p>
        </w:tc>
        <w:tc>
          <w:tcPr>
            <w:tcW w:w="743" w:type="dxa"/>
            <w:noWrap w:val="0"/>
            <w:vAlign w:val="center"/>
          </w:tcPr>
          <w:p w14:paraId="17F5E196">
            <w:pPr>
              <w:spacing w:line="288" w:lineRule="auto"/>
              <w:jc w:val="center"/>
              <w:rPr>
                <w:rFonts w:hint="eastAsia" w:ascii="宋体" w:hAnsi="宋体" w:eastAsia="宋体" w:cs="宋体"/>
                <w:b/>
                <w:bCs/>
                <w:color w:val="auto"/>
                <w:spacing w:val="-6"/>
                <w:sz w:val="24"/>
                <w:szCs w:val="24"/>
                <w:lang w:bidi="ar"/>
              </w:rPr>
            </w:pPr>
            <w:r>
              <w:rPr>
                <w:rFonts w:hint="eastAsia" w:ascii="宋体" w:hAnsi="宋体" w:eastAsia="宋体" w:cs="宋体"/>
                <w:b/>
                <w:bCs/>
                <w:color w:val="auto"/>
                <w:spacing w:val="-6"/>
                <w:sz w:val="24"/>
                <w:szCs w:val="24"/>
                <w:lang w:bidi="ar"/>
              </w:rPr>
              <w:t>4</w:t>
            </w:r>
          </w:p>
        </w:tc>
        <w:tc>
          <w:tcPr>
            <w:tcW w:w="7125" w:type="dxa"/>
            <w:noWrap w:val="0"/>
            <w:vAlign w:val="center"/>
          </w:tcPr>
          <w:p w14:paraId="397C088A">
            <w:pPr>
              <w:spacing w:line="288" w:lineRule="auto"/>
              <w:jc w:val="left"/>
              <w:rPr>
                <w:rFonts w:hint="eastAsia" w:ascii="宋体" w:hAnsi="宋体" w:eastAsia="宋体" w:cs="宋体"/>
                <w:color w:val="auto"/>
                <w:spacing w:val="-6"/>
                <w:sz w:val="24"/>
                <w:szCs w:val="24"/>
                <w:highlight w:val="none"/>
                <w:lang w:bidi="ar"/>
              </w:rPr>
            </w:pPr>
            <w:r>
              <w:rPr>
                <w:rFonts w:hint="eastAsia" w:ascii="宋体" w:hAnsi="宋体" w:eastAsia="宋体" w:cs="宋体"/>
                <w:color w:val="auto"/>
                <w:spacing w:val="-6"/>
                <w:sz w:val="24"/>
                <w:szCs w:val="24"/>
                <w:highlight w:val="none"/>
                <w:lang w:bidi="ar"/>
              </w:rPr>
              <w:t>根据供应商提供的质量控制方案的完整性、合理性打分。有欠缺不合理的，每处扣1分。</w:t>
            </w:r>
            <w:r>
              <w:rPr>
                <w:rFonts w:hint="eastAsia" w:ascii="宋体" w:hAnsi="宋体" w:eastAsia="宋体" w:cs="宋体"/>
                <w:color w:val="auto"/>
                <w:spacing w:val="-6"/>
                <w:sz w:val="24"/>
                <w:szCs w:val="24"/>
                <w:highlight w:val="none"/>
                <w:lang w:val="en-US" w:eastAsia="zh-CN" w:bidi="ar"/>
              </w:rPr>
              <w:t>本项最高得4分。</w:t>
            </w:r>
          </w:p>
        </w:tc>
      </w:tr>
      <w:tr w14:paraId="19593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447" w:type="dxa"/>
            <w:vMerge w:val="continue"/>
            <w:noWrap w:val="0"/>
            <w:vAlign w:val="center"/>
          </w:tcPr>
          <w:p w14:paraId="65A2A6A1">
            <w:pPr>
              <w:spacing w:line="288" w:lineRule="auto"/>
              <w:jc w:val="center"/>
              <w:rPr>
                <w:rFonts w:hint="eastAsia" w:ascii="宋体" w:hAnsi="宋体" w:eastAsia="宋体" w:cs="宋体"/>
                <w:b/>
                <w:bCs/>
                <w:color w:val="auto"/>
                <w:spacing w:val="-6"/>
                <w:sz w:val="24"/>
                <w:szCs w:val="24"/>
                <w:lang w:bidi="ar"/>
              </w:rPr>
            </w:pPr>
          </w:p>
        </w:tc>
        <w:tc>
          <w:tcPr>
            <w:tcW w:w="743" w:type="dxa"/>
            <w:noWrap w:val="0"/>
            <w:vAlign w:val="center"/>
          </w:tcPr>
          <w:p w14:paraId="425F0020">
            <w:pPr>
              <w:spacing w:line="288" w:lineRule="auto"/>
              <w:jc w:val="center"/>
              <w:rPr>
                <w:rFonts w:hint="eastAsia" w:ascii="宋体" w:hAnsi="宋体" w:eastAsia="宋体" w:cs="宋体"/>
                <w:b/>
                <w:bCs/>
                <w:color w:val="auto"/>
                <w:spacing w:val="-6"/>
                <w:sz w:val="24"/>
                <w:szCs w:val="24"/>
                <w:lang w:bidi="ar"/>
              </w:rPr>
            </w:pPr>
            <w:r>
              <w:rPr>
                <w:rFonts w:hint="eastAsia" w:ascii="宋体" w:hAnsi="宋体" w:eastAsia="宋体" w:cs="宋体"/>
                <w:b/>
                <w:bCs/>
                <w:color w:val="auto"/>
                <w:spacing w:val="-6"/>
                <w:sz w:val="24"/>
                <w:szCs w:val="24"/>
                <w:lang w:bidi="ar"/>
              </w:rPr>
              <w:t>4</w:t>
            </w:r>
          </w:p>
        </w:tc>
        <w:tc>
          <w:tcPr>
            <w:tcW w:w="7125" w:type="dxa"/>
            <w:noWrap w:val="0"/>
            <w:vAlign w:val="center"/>
          </w:tcPr>
          <w:p w14:paraId="5BD9ADED">
            <w:pPr>
              <w:spacing w:line="288" w:lineRule="auto"/>
              <w:jc w:val="left"/>
              <w:rPr>
                <w:rFonts w:hint="eastAsia" w:ascii="宋体" w:hAnsi="宋体" w:eastAsia="宋体" w:cs="宋体"/>
                <w:color w:val="auto"/>
                <w:spacing w:val="-6"/>
                <w:sz w:val="24"/>
                <w:szCs w:val="24"/>
                <w:highlight w:val="none"/>
                <w:lang w:bidi="ar"/>
              </w:rPr>
            </w:pPr>
            <w:r>
              <w:rPr>
                <w:rFonts w:hint="eastAsia" w:ascii="宋体" w:hAnsi="宋体" w:eastAsia="宋体" w:cs="宋体"/>
                <w:color w:val="auto"/>
                <w:spacing w:val="-6"/>
                <w:sz w:val="24"/>
                <w:szCs w:val="24"/>
                <w:highlight w:val="none"/>
                <w:lang w:bidi="ar"/>
              </w:rPr>
              <w:t>供应商服务流程规范，要求使用成熟的运维管理系统管理用户维保流程包括服务管理流程、故障响应流程、备件更换流程等。有欠缺或不合理的，每处扣1分。</w:t>
            </w:r>
            <w:r>
              <w:rPr>
                <w:rFonts w:hint="eastAsia" w:ascii="宋体" w:hAnsi="宋体" w:eastAsia="宋体" w:cs="宋体"/>
                <w:color w:val="auto"/>
                <w:spacing w:val="-6"/>
                <w:sz w:val="24"/>
                <w:szCs w:val="24"/>
                <w:highlight w:val="none"/>
                <w:lang w:val="en-US" w:eastAsia="zh-CN" w:bidi="ar"/>
              </w:rPr>
              <w:t>本项最高得4分。</w:t>
            </w:r>
          </w:p>
        </w:tc>
      </w:tr>
      <w:tr w14:paraId="30DA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47" w:type="dxa"/>
            <w:noWrap w:val="0"/>
            <w:vAlign w:val="center"/>
          </w:tcPr>
          <w:p w14:paraId="67E4312D">
            <w:pPr>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验收方案</w:t>
            </w:r>
          </w:p>
        </w:tc>
        <w:tc>
          <w:tcPr>
            <w:tcW w:w="743" w:type="dxa"/>
            <w:noWrap w:val="0"/>
            <w:vAlign w:val="center"/>
          </w:tcPr>
          <w:p w14:paraId="3EBAE20E">
            <w:pPr>
              <w:spacing w:line="288" w:lineRule="auto"/>
              <w:jc w:val="center"/>
              <w:rPr>
                <w:rFonts w:hint="eastAsia" w:ascii="宋体" w:hAnsi="宋体" w:eastAsia="宋体" w:cs="宋体"/>
                <w:b/>
                <w:bCs/>
                <w:color w:val="auto"/>
                <w:sz w:val="24"/>
                <w:szCs w:val="24"/>
              </w:rPr>
            </w:pPr>
            <w:r>
              <w:rPr>
                <w:rFonts w:hint="eastAsia" w:ascii="宋体" w:hAnsi="宋体" w:eastAsia="宋体" w:cs="宋体"/>
                <w:b/>
                <w:bCs/>
                <w:color w:val="auto"/>
                <w:spacing w:val="-6"/>
                <w:sz w:val="24"/>
                <w:szCs w:val="24"/>
                <w:lang w:bidi="ar"/>
              </w:rPr>
              <w:t>4</w:t>
            </w:r>
          </w:p>
        </w:tc>
        <w:tc>
          <w:tcPr>
            <w:tcW w:w="7125" w:type="dxa"/>
            <w:noWrap w:val="0"/>
            <w:vAlign w:val="center"/>
          </w:tcPr>
          <w:p w14:paraId="5026DA4B">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根据供应商提供的验收方案的</w:t>
            </w:r>
            <w:r>
              <w:rPr>
                <w:rFonts w:hint="eastAsia" w:ascii="宋体" w:hAnsi="宋体" w:eastAsia="宋体" w:cs="宋体"/>
                <w:color w:val="auto"/>
                <w:spacing w:val="-6"/>
                <w:sz w:val="24"/>
                <w:szCs w:val="24"/>
                <w:highlight w:val="none"/>
                <w:lang w:bidi="ar"/>
              </w:rPr>
              <w:t>完整性、合理性打分。有欠缺或不合理的，每处扣1分。</w:t>
            </w:r>
            <w:r>
              <w:rPr>
                <w:rFonts w:hint="eastAsia" w:ascii="宋体" w:hAnsi="宋体" w:eastAsia="宋体" w:cs="宋体"/>
                <w:color w:val="auto"/>
                <w:spacing w:val="-6"/>
                <w:sz w:val="24"/>
                <w:szCs w:val="24"/>
                <w:highlight w:val="none"/>
                <w:lang w:val="en-US" w:eastAsia="zh-CN" w:bidi="ar"/>
              </w:rPr>
              <w:t>本项最高得4分。</w:t>
            </w:r>
          </w:p>
        </w:tc>
      </w:tr>
      <w:tr w14:paraId="6836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447" w:type="dxa"/>
            <w:noWrap w:val="0"/>
            <w:vAlign w:val="center"/>
          </w:tcPr>
          <w:p w14:paraId="34290614">
            <w:pPr>
              <w:spacing w:line="288" w:lineRule="auto"/>
              <w:jc w:val="center"/>
              <w:rPr>
                <w:rFonts w:hint="eastAsia" w:ascii="宋体" w:hAnsi="宋体" w:eastAsia="宋体" w:cs="宋体"/>
                <w:b/>
                <w:bCs/>
                <w:color w:val="auto"/>
                <w:spacing w:val="-6"/>
                <w:sz w:val="24"/>
                <w:szCs w:val="24"/>
                <w:highlight w:val="none"/>
                <w:lang w:bidi="ar"/>
              </w:rPr>
            </w:pPr>
            <w:r>
              <w:rPr>
                <w:rFonts w:hint="eastAsia" w:ascii="宋体" w:hAnsi="宋体" w:eastAsia="宋体" w:cs="宋体"/>
                <w:b/>
                <w:bCs/>
                <w:color w:val="auto"/>
                <w:spacing w:val="-6"/>
                <w:sz w:val="24"/>
                <w:szCs w:val="24"/>
                <w:highlight w:val="none"/>
                <w:lang w:bidi="ar"/>
              </w:rPr>
              <w:t>项目负责人能力</w:t>
            </w:r>
          </w:p>
        </w:tc>
        <w:tc>
          <w:tcPr>
            <w:tcW w:w="743" w:type="dxa"/>
            <w:noWrap w:val="0"/>
            <w:vAlign w:val="center"/>
          </w:tcPr>
          <w:p w14:paraId="68A1D755">
            <w:pPr>
              <w:spacing w:line="288" w:lineRule="auto"/>
              <w:jc w:val="center"/>
              <w:rPr>
                <w:rFonts w:hint="eastAsia" w:ascii="宋体" w:hAnsi="宋体" w:eastAsia="宋体" w:cs="宋体"/>
                <w:b/>
                <w:bCs/>
                <w:color w:val="auto"/>
                <w:spacing w:val="-6"/>
                <w:sz w:val="24"/>
                <w:szCs w:val="24"/>
                <w:highlight w:val="none"/>
                <w:lang w:bidi="ar"/>
              </w:rPr>
            </w:pPr>
            <w:r>
              <w:rPr>
                <w:rFonts w:hint="eastAsia" w:ascii="宋体" w:hAnsi="宋体" w:eastAsia="宋体" w:cs="宋体"/>
                <w:b/>
                <w:bCs/>
                <w:color w:val="auto"/>
                <w:spacing w:val="-6"/>
                <w:sz w:val="24"/>
                <w:szCs w:val="24"/>
                <w:highlight w:val="none"/>
                <w:lang w:bidi="ar"/>
              </w:rPr>
              <w:t>3</w:t>
            </w:r>
          </w:p>
        </w:tc>
        <w:tc>
          <w:tcPr>
            <w:tcW w:w="7125" w:type="dxa"/>
            <w:noWrap w:val="0"/>
            <w:vAlign w:val="center"/>
          </w:tcPr>
          <w:p w14:paraId="3F38C309">
            <w:pPr>
              <w:adjustRightInd w:val="0"/>
              <w:snapToGrid w:val="0"/>
              <w:spacing w:line="288"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项目负责人（非驻场）具有软考高级信息系统项目管理师资格证书的得3分。（</w:t>
            </w:r>
            <w:r>
              <w:rPr>
                <w:rFonts w:hint="eastAsia" w:ascii="宋体" w:hAnsi="宋体" w:eastAsia="宋体" w:cs="宋体"/>
                <w:b/>
                <w:bCs/>
                <w:color w:val="auto"/>
                <w:sz w:val="24"/>
                <w:szCs w:val="24"/>
                <w:highlight w:val="none"/>
              </w:rPr>
              <w:t>提供资质证书复印件及其近三个月任意一月在投标单位的社保证明，缺一或未提供不得分</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lang w:bidi="ar"/>
              </w:rPr>
              <w:t>【客观分】</w:t>
            </w:r>
          </w:p>
        </w:tc>
      </w:tr>
      <w:tr w14:paraId="73EF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47" w:type="dxa"/>
            <w:vMerge w:val="restart"/>
            <w:noWrap w:val="0"/>
            <w:vAlign w:val="center"/>
          </w:tcPr>
          <w:p w14:paraId="397A0B68">
            <w:pPr>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pacing w:val="-6"/>
                <w:sz w:val="24"/>
                <w:szCs w:val="24"/>
                <w:highlight w:val="none"/>
                <w:lang w:bidi="ar"/>
              </w:rPr>
              <w:t>项目团队人员能力</w:t>
            </w:r>
          </w:p>
        </w:tc>
        <w:tc>
          <w:tcPr>
            <w:tcW w:w="743" w:type="dxa"/>
            <w:noWrap w:val="0"/>
            <w:vAlign w:val="center"/>
          </w:tcPr>
          <w:p w14:paraId="3AC050A4">
            <w:pPr>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pacing w:val="-6"/>
                <w:sz w:val="24"/>
                <w:szCs w:val="24"/>
                <w:highlight w:val="none"/>
                <w:lang w:bidi="ar"/>
              </w:rPr>
              <w:t>3</w:t>
            </w:r>
          </w:p>
        </w:tc>
        <w:tc>
          <w:tcPr>
            <w:tcW w:w="7125" w:type="dxa"/>
            <w:noWrap w:val="0"/>
            <w:vAlign w:val="center"/>
          </w:tcPr>
          <w:p w14:paraId="1D672E0C">
            <w:pPr>
              <w:wordWrap w:val="0"/>
              <w:adjustRightInd w:val="0"/>
              <w:snapToGrid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技术工程师人员（除项目负责人外，非驻场）具有软考中级网络工程师资格证书的，每</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分，最多得3分。（</w:t>
            </w:r>
            <w:r>
              <w:rPr>
                <w:rFonts w:hint="eastAsia" w:ascii="宋体" w:hAnsi="宋体" w:eastAsia="宋体" w:cs="宋体"/>
                <w:b/>
                <w:bCs/>
                <w:color w:val="auto"/>
                <w:sz w:val="24"/>
                <w:szCs w:val="24"/>
                <w:highlight w:val="none"/>
              </w:rPr>
              <w:t>提供资质证书复印件及其近三个月任意一月在投标单位的社保证明，缺一或未提供不得分</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lang w:bidi="ar"/>
              </w:rPr>
              <w:t>【客观分】</w:t>
            </w:r>
          </w:p>
        </w:tc>
      </w:tr>
      <w:tr w14:paraId="0DC41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447" w:type="dxa"/>
            <w:vMerge w:val="continue"/>
            <w:noWrap w:val="0"/>
            <w:vAlign w:val="center"/>
          </w:tcPr>
          <w:p w14:paraId="0CC32696">
            <w:pPr>
              <w:spacing w:line="288" w:lineRule="auto"/>
              <w:jc w:val="center"/>
              <w:rPr>
                <w:rFonts w:hint="eastAsia" w:ascii="宋体" w:hAnsi="宋体" w:eastAsia="宋体" w:cs="宋体"/>
                <w:b/>
                <w:bCs/>
                <w:color w:val="auto"/>
                <w:spacing w:val="-6"/>
                <w:sz w:val="24"/>
                <w:szCs w:val="24"/>
                <w:highlight w:val="none"/>
                <w:lang w:bidi="ar"/>
              </w:rPr>
            </w:pPr>
          </w:p>
        </w:tc>
        <w:tc>
          <w:tcPr>
            <w:tcW w:w="743" w:type="dxa"/>
            <w:noWrap w:val="0"/>
            <w:vAlign w:val="center"/>
          </w:tcPr>
          <w:p w14:paraId="33A1183F">
            <w:pPr>
              <w:spacing w:line="288" w:lineRule="auto"/>
              <w:jc w:val="center"/>
              <w:rPr>
                <w:rFonts w:hint="eastAsia" w:ascii="宋体" w:hAnsi="宋体" w:eastAsia="宋体" w:cs="宋体"/>
                <w:b/>
                <w:bCs/>
                <w:color w:val="auto"/>
                <w:spacing w:val="-6"/>
                <w:sz w:val="24"/>
                <w:szCs w:val="24"/>
                <w:highlight w:val="none"/>
                <w:lang w:bidi="ar"/>
              </w:rPr>
            </w:pPr>
            <w:r>
              <w:rPr>
                <w:rFonts w:hint="eastAsia" w:ascii="宋体" w:hAnsi="宋体" w:eastAsia="宋体" w:cs="宋体"/>
                <w:b/>
                <w:bCs/>
                <w:color w:val="auto"/>
                <w:spacing w:val="-6"/>
                <w:sz w:val="24"/>
                <w:szCs w:val="24"/>
                <w:highlight w:val="none"/>
                <w:lang w:bidi="ar"/>
              </w:rPr>
              <w:t>4</w:t>
            </w:r>
          </w:p>
        </w:tc>
        <w:tc>
          <w:tcPr>
            <w:tcW w:w="7125" w:type="dxa"/>
            <w:noWrap w:val="0"/>
            <w:vAlign w:val="center"/>
          </w:tcPr>
          <w:p w14:paraId="6D91F56B">
            <w:pPr>
              <w:adjustRightInd w:val="0"/>
              <w:snapToGrid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常驻人员配置（提供常驻人员不低于3人），</w:t>
            </w: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人员的技术能力、专业</w:t>
            </w:r>
            <w:r>
              <w:rPr>
                <w:rFonts w:hint="eastAsia" w:ascii="宋体" w:hAnsi="宋体" w:eastAsia="宋体" w:cs="宋体"/>
                <w:color w:val="auto"/>
                <w:sz w:val="24"/>
                <w:szCs w:val="24"/>
                <w:highlight w:val="none"/>
                <w:lang w:val="en-US" w:eastAsia="zh-CN"/>
              </w:rPr>
              <w:t>契合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维保</w:t>
            </w:r>
            <w:r>
              <w:rPr>
                <w:rFonts w:hint="eastAsia" w:ascii="宋体" w:hAnsi="宋体" w:eastAsia="宋体" w:cs="宋体"/>
                <w:color w:val="auto"/>
                <w:sz w:val="24"/>
                <w:szCs w:val="24"/>
                <w:highlight w:val="none"/>
              </w:rPr>
              <w:t>经验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人员</w:t>
            </w:r>
            <w:r>
              <w:rPr>
                <w:rFonts w:hint="eastAsia" w:ascii="宋体" w:hAnsi="宋体" w:eastAsia="宋体" w:cs="宋体"/>
                <w:color w:val="auto"/>
                <w:sz w:val="24"/>
                <w:szCs w:val="24"/>
                <w:highlight w:val="none"/>
              </w:rPr>
              <w:t>配置合理性</w:t>
            </w:r>
            <w:r>
              <w:rPr>
                <w:rFonts w:hint="eastAsia" w:ascii="宋体" w:hAnsi="宋体" w:eastAsia="宋体" w:cs="宋体"/>
                <w:color w:val="auto"/>
                <w:sz w:val="24"/>
                <w:szCs w:val="24"/>
                <w:highlight w:val="none"/>
                <w:lang w:val="en-US" w:eastAsia="zh-CN"/>
              </w:rPr>
              <w:t>评分，需提供</w:t>
            </w:r>
            <w:r>
              <w:rPr>
                <w:rFonts w:hint="eastAsia" w:ascii="宋体" w:hAnsi="宋体" w:eastAsia="宋体" w:cs="宋体"/>
                <w:color w:val="auto"/>
                <w:sz w:val="24"/>
                <w:szCs w:val="24"/>
                <w:highlight w:val="none"/>
              </w:rPr>
              <w:t>近三个月任意一月在投标单位的社保证明，不提供不得分。</w:t>
            </w:r>
            <w:r>
              <w:rPr>
                <w:rFonts w:hint="eastAsia" w:ascii="宋体" w:hAnsi="宋体" w:eastAsia="宋体" w:cs="宋体"/>
                <w:color w:val="auto"/>
                <w:spacing w:val="-6"/>
                <w:sz w:val="24"/>
                <w:szCs w:val="24"/>
                <w:highlight w:val="none"/>
                <w:lang w:bidi="ar"/>
              </w:rPr>
              <w:t>有欠缺或不合理的，每处扣1分。</w:t>
            </w:r>
            <w:r>
              <w:rPr>
                <w:rFonts w:hint="eastAsia" w:ascii="宋体" w:hAnsi="宋体" w:eastAsia="宋体" w:cs="宋体"/>
                <w:color w:val="auto"/>
                <w:spacing w:val="-6"/>
                <w:sz w:val="24"/>
                <w:szCs w:val="24"/>
                <w:highlight w:val="none"/>
                <w:lang w:val="en-US" w:eastAsia="zh-CN" w:bidi="ar"/>
              </w:rPr>
              <w:t>本项最高得4分。</w:t>
            </w:r>
          </w:p>
        </w:tc>
      </w:tr>
      <w:tr w14:paraId="7B835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47" w:type="dxa"/>
            <w:noWrap w:val="0"/>
            <w:vAlign w:val="center"/>
          </w:tcPr>
          <w:p w14:paraId="5CF33B30">
            <w:pPr>
              <w:adjustRightInd w:val="0"/>
              <w:snapToGrid w:val="0"/>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管理平台演示视频</w:t>
            </w:r>
          </w:p>
        </w:tc>
        <w:tc>
          <w:tcPr>
            <w:tcW w:w="743" w:type="dxa"/>
            <w:noWrap w:val="0"/>
            <w:vAlign w:val="center"/>
          </w:tcPr>
          <w:p w14:paraId="53A60AE9">
            <w:pPr>
              <w:spacing w:line="288" w:lineRule="auto"/>
              <w:jc w:val="center"/>
              <w:rPr>
                <w:rFonts w:hint="eastAsia" w:ascii="宋体" w:hAnsi="宋体" w:eastAsia="宋体" w:cs="宋体"/>
                <w:b/>
                <w:bCs/>
                <w:color w:val="auto"/>
                <w:spacing w:val="-6"/>
                <w:sz w:val="24"/>
                <w:szCs w:val="24"/>
                <w:highlight w:val="none"/>
                <w:lang w:bidi="ar"/>
              </w:rPr>
            </w:pPr>
            <w:r>
              <w:rPr>
                <w:rFonts w:hint="eastAsia" w:ascii="宋体" w:hAnsi="宋体" w:eastAsia="宋体" w:cs="宋体"/>
                <w:b/>
                <w:bCs/>
                <w:color w:val="auto"/>
                <w:spacing w:val="-6"/>
                <w:sz w:val="24"/>
                <w:szCs w:val="24"/>
                <w:highlight w:val="none"/>
                <w:lang w:bidi="ar"/>
              </w:rPr>
              <w:t>10</w:t>
            </w:r>
          </w:p>
        </w:tc>
        <w:tc>
          <w:tcPr>
            <w:tcW w:w="7125" w:type="dxa"/>
            <w:noWrap w:val="0"/>
            <w:vAlign w:val="center"/>
          </w:tcPr>
          <w:p w14:paraId="1B2D4A71">
            <w:pPr>
              <w:pStyle w:val="21"/>
              <w:spacing w:line="340" w:lineRule="exact"/>
              <w:ind w:firstLine="0"/>
              <w:rPr>
                <w:rFonts w:hint="eastAsia" w:ascii="宋体" w:hAnsi="宋体" w:eastAsia="宋体" w:cs="宋体"/>
                <w:color w:val="auto"/>
                <w:sz w:val="24"/>
                <w:szCs w:val="24"/>
              </w:rPr>
            </w:pPr>
            <w:r>
              <w:rPr>
                <w:rFonts w:hint="eastAsia" w:ascii="宋体" w:hAnsi="宋体" w:eastAsia="宋体" w:cs="宋体"/>
                <w:color w:val="auto"/>
                <w:sz w:val="24"/>
                <w:szCs w:val="24"/>
              </w:rPr>
              <w:t>1)管理平台具备系统管理包括业务权限管理、员工用户管理、地址数管理、单位管理功能的得2分，不具备或无演示的不得分。</w:t>
            </w:r>
          </w:p>
          <w:p w14:paraId="7BEBE242">
            <w:pPr>
              <w:pStyle w:val="21"/>
              <w:spacing w:line="340" w:lineRule="exact"/>
              <w:ind w:firstLine="0"/>
              <w:rPr>
                <w:rFonts w:hint="eastAsia" w:ascii="宋体" w:hAnsi="宋体" w:eastAsia="宋体" w:cs="宋体"/>
                <w:color w:val="auto"/>
                <w:sz w:val="24"/>
                <w:szCs w:val="24"/>
              </w:rPr>
            </w:pPr>
            <w:r>
              <w:rPr>
                <w:rFonts w:hint="eastAsia" w:ascii="宋体" w:hAnsi="宋体" w:eastAsia="宋体" w:cs="宋体"/>
                <w:color w:val="auto"/>
                <w:sz w:val="24"/>
                <w:szCs w:val="24"/>
              </w:rPr>
              <w:t>2)管理平台具备热线电话来点弹屏功能及客服端一键报警功能的得2分，不具备或无演示的不得分。</w:t>
            </w:r>
          </w:p>
          <w:p w14:paraId="7EA122E6">
            <w:pPr>
              <w:pStyle w:val="21"/>
              <w:spacing w:line="340" w:lineRule="exact"/>
              <w:ind w:firstLine="0"/>
              <w:rPr>
                <w:rFonts w:hint="eastAsia" w:ascii="宋体" w:hAnsi="宋体" w:eastAsia="宋体" w:cs="宋体"/>
                <w:color w:val="auto"/>
                <w:sz w:val="24"/>
                <w:szCs w:val="24"/>
              </w:rPr>
            </w:pPr>
            <w:r>
              <w:rPr>
                <w:rFonts w:hint="eastAsia" w:ascii="宋体" w:hAnsi="宋体" w:eastAsia="宋体" w:cs="宋体"/>
                <w:color w:val="auto"/>
                <w:sz w:val="24"/>
                <w:szCs w:val="24"/>
              </w:rPr>
              <w:t>3)管理平台具备维保服务管理(维保项目管理、设备管理)功能的得2分，不具备或无演示的不得分。“</w:t>
            </w:r>
          </w:p>
          <w:p w14:paraId="7CBABCBC">
            <w:pPr>
              <w:pStyle w:val="21"/>
              <w:spacing w:line="340" w:lineRule="exact"/>
              <w:ind w:firstLine="0"/>
              <w:rPr>
                <w:rFonts w:hint="eastAsia" w:ascii="宋体" w:hAnsi="宋体" w:eastAsia="宋体" w:cs="宋体"/>
                <w:color w:val="auto"/>
                <w:sz w:val="24"/>
                <w:szCs w:val="24"/>
              </w:rPr>
            </w:pPr>
            <w:r>
              <w:rPr>
                <w:rFonts w:hint="eastAsia" w:ascii="宋体" w:hAnsi="宋体" w:eastAsia="宋体" w:cs="宋体"/>
                <w:color w:val="auto"/>
                <w:sz w:val="24"/>
                <w:szCs w:val="24"/>
              </w:rPr>
              <w:t>4)管理平台可以提供运维工单状态大屏显示的得2分，不具备或无演示的不得分。</w:t>
            </w:r>
          </w:p>
          <w:p w14:paraId="0169C6CA">
            <w:pPr>
              <w:pStyle w:val="21"/>
              <w:spacing w:line="340" w:lineRule="exact"/>
              <w:ind w:firstLine="0"/>
              <w:rPr>
                <w:rFonts w:hint="eastAsia" w:ascii="宋体" w:hAnsi="宋体" w:eastAsia="宋体" w:cs="宋体"/>
                <w:color w:val="auto"/>
                <w:sz w:val="24"/>
                <w:szCs w:val="24"/>
              </w:rPr>
            </w:pPr>
            <w:r>
              <w:rPr>
                <w:rFonts w:hint="eastAsia" w:ascii="宋体" w:hAnsi="宋体" w:eastAsia="宋体" w:cs="宋体"/>
                <w:color w:val="auto"/>
                <w:sz w:val="24"/>
                <w:szCs w:val="24"/>
              </w:rPr>
              <w:t>5)管理平台具备网络设备、虚拟机、数据库、服务器等设备监控并形成工单闭环功能，上述四项每具备一项得0.5分，最高2分，不具备或无演示的不得分。</w:t>
            </w:r>
          </w:p>
          <w:p w14:paraId="73520A3C">
            <w:pPr>
              <w:pStyle w:val="22"/>
              <w:ind w:left="0" w:leftChars="0" w:firstLine="0" w:firstLineChars="0"/>
              <w:jc w:val="lef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演示须为真实平台操作录屏演示，如采用PPT，截图等其他非真实平台操作演示的不得分</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bidi="ar"/>
              </w:rPr>
              <w:t>【客观分】</w:t>
            </w:r>
          </w:p>
        </w:tc>
      </w:tr>
      <w:tr w14:paraId="2E133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47" w:type="dxa"/>
            <w:noWrap w:val="0"/>
            <w:vAlign w:val="center"/>
          </w:tcPr>
          <w:p w14:paraId="45444F6E">
            <w:pPr>
              <w:adjustRightInd w:val="0"/>
              <w:snapToGrid w:val="0"/>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培训计划</w:t>
            </w:r>
          </w:p>
        </w:tc>
        <w:tc>
          <w:tcPr>
            <w:tcW w:w="743" w:type="dxa"/>
            <w:noWrap w:val="0"/>
            <w:vAlign w:val="center"/>
          </w:tcPr>
          <w:p w14:paraId="52DA7865">
            <w:pPr>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pacing w:val="-6"/>
                <w:sz w:val="24"/>
                <w:szCs w:val="24"/>
                <w:highlight w:val="none"/>
                <w:lang w:bidi="ar"/>
              </w:rPr>
              <w:t>4</w:t>
            </w:r>
          </w:p>
        </w:tc>
        <w:tc>
          <w:tcPr>
            <w:tcW w:w="7125" w:type="dxa"/>
            <w:noWrap w:val="0"/>
            <w:vAlign w:val="center"/>
          </w:tcPr>
          <w:p w14:paraId="6BB6439D">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根据供应商提供培训计划方案的合理、可行性打分。有欠缺或不合理的，每处扣1分。</w:t>
            </w:r>
            <w:r>
              <w:rPr>
                <w:rFonts w:hint="eastAsia" w:ascii="宋体" w:hAnsi="宋体" w:eastAsia="宋体" w:cs="宋体"/>
                <w:color w:val="auto"/>
                <w:spacing w:val="-6"/>
                <w:sz w:val="24"/>
                <w:szCs w:val="24"/>
                <w:highlight w:val="none"/>
                <w:lang w:val="en-US" w:eastAsia="zh-CN" w:bidi="ar"/>
              </w:rPr>
              <w:t>本项最高得4分。</w:t>
            </w:r>
          </w:p>
        </w:tc>
      </w:tr>
      <w:tr w14:paraId="4C24E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47" w:type="dxa"/>
            <w:noWrap w:val="0"/>
            <w:vAlign w:val="center"/>
          </w:tcPr>
          <w:p w14:paraId="226D8212">
            <w:pPr>
              <w:adjustRightInd w:val="0"/>
              <w:snapToGrid w:val="0"/>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服务承诺</w:t>
            </w:r>
          </w:p>
        </w:tc>
        <w:tc>
          <w:tcPr>
            <w:tcW w:w="743" w:type="dxa"/>
            <w:noWrap w:val="0"/>
            <w:vAlign w:val="center"/>
          </w:tcPr>
          <w:p w14:paraId="3B6B3FBC">
            <w:pPr>
              <w:spacing w:line="288"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pacing w:val="-6"/>
                <w:sz w:val="24"/>
                <w:szCs w:val="24"/>
                <w:highlight w:val="none"/>
                <w:lang w:bidi="ar"/>
              </w:rPr>
              <w:t>4</w:t>
            </w:r>
          </w:p>
        </w:tc>
        <w:tc>
          <w:tcPr>
            <w:tcW w:w="7125" w:type="dxa"/>
            <w:noWrap w:val="0"/>
            <w:vAlign w:val="center"/>
          </w:tcPr>
          <w:p w14:paraId="53FB0DC6">
            <w:pPr>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根据供应商承诺的服务响应时间、保证措施等情况打分。有欠缺或不合理的，每处扣1分。</w:t>
            </w:r>
            <w:r>
              <w:rPr>
                <w:rFonts w:hint="eastAsia" w:ascii="宋体" w:hAnsi="宋体" w:eastAsia="宋体" w:cs="宋体"/>
                <w:color w:val="auto"/>
                <w:spacing w:val="-6"/>
                <w:sz w:val="24"/>
                <w:szCs w:val="24"/>
                <w:highlight w:val="none"/>
                <w:lang w:val="en-US" w:eastAsia="zh-CN" w:bidi="ar"/>
              </w:rPr>
              <w:t>本项最高得4分。</w:t>
            </w:r>
          </w:p>
        </w:tc>
      </w:tr>
    </w:tbl>
    <w:p w14:paraId="1B857ABC">
      <w:pPr>
        <w:pStyle w:val="21"/>
        <w:spacing w:before="120" w:beforeLines="50" w:line="288" w:lineRule="auto"/>
        <w:ind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52493BE4">
      <w:pPr>
        <w:widowControl/>
        <w:snapToGrid w:val="0"/>
        <w:spacing w:line="288" w:lineRule="auto"/>
        <w:ind w:firstLine="482" w:firstLineChars="200"/>
        <w:rPr>
          <w:rFonts w:ascii="宋体" w:hAnsi="宋体" w:cs="宋体"/>
          <w:b/>
          <w:bCs/>
          <w:color w:val="auto"/>
          <w:sz w:val="24"/>
          <w:szCs w:val="24"/>
        </w:rPr>
      </w:pPr>
      <w:bookmarkStart w:id="413" w:name="_Toc10701"/>
      <w:bookmarkStart w:id="414" w:name="_Toc1372"/>
      <w:bookmarkStart w:id="415" w:name="_Toc6434"/>
      <w:bookmarkStart w:id="416" w:name="_Toc24145"/>
      <w:bookmarkStart w:id="417" w:name="_Toc22598"/>
      <w:bookmarkStart w:id="418" w:name="_Toc20757"/>
      <w:bookmarkStart w:id="419" w:name="_Toc25244"/>
    </w:p>
    <w:p w14:paraId="7EDA41E0">
      <w:pPr>
        <w:keepNext w:val="0"/>
        <w:keepLines w:val="0"/>
        <w:pageBreakBefore w:val="0"/>
        <w:kinsoku/>
        <w:wordWrap/>
        <w:overflowPunct/>
        <w:topLinePunct w:val="0"/>
        <w:autoSpaceDE/>
        <w:autoSpaceDN/>
        <w:bidi w:val="0"/>
        <w:adjustRightInd w:val="0"/>
        <w:snapToGrid w:val="0"/>
        <w:spacing w:line="288"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以下为非面向中小企业项目的小微企业扣除方法：</w:t>
      </w:r>
    </w:p>
    <w:p w14:paraId="52F090BB">
      <w:pPr>
        <w:keepNext w:val="0"/>
        <w:keepLines w:val="0"/>
        <w:pageBreakBefore w:val="0"/>
        <w:kinsoku/>
        <w:wordWrap/>
        <w:overflowPunct/>
        <w:topLinePunct w:val="0"/>
        <w:autoSpaceDE/>
        <w:autoSpaceDN/>
        <w:bidi w:val="0"/>
        <w:adjustRightInd w:val="0"/>
        <w:snapToGrid w:val="0"/>
        <w:spacing w:line="288" w:lineRule="auto"/>
        <w:ind w:left="0" w:leftChars="0" w:firstLine="422" w:firstLineChars="175"/>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1.根据《政府采购促进中小企业发展管理办法》（财库〔2020〕46号）的规定，对符合规定的小微企业报价给予10%的扣除后计算价格得分。</w:t>
      </w:r>
    </w:p>
    <w:p w14:paraId="23757DB9">
      <w:pPr>
        <w:keepNext w:val="0"/>
        <w:keepLines w:val="0"/>
        <w:pageBreakBefore w:val="0"/>
        <w:kinsoku/>
        <w:wordWrap/>
        <w:overflowPunct/>
        <w:topLinePunct w:val="0"/>
        <w:autoSpaceDE/>
        <w:autoSpaceDN/>
        <w:bidi w:val="0"/>
        <w:adjustRightInd w:val="0"/>
        <w:snapToGrid w:val="0"/>
        <w:spacing w:line="288" w:lineRule="auto"/>
        <w:ind w:left="0" w:leftChars="0" w:firstLine="399" w:firstLineChars="175"/>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pacing w:val="-6"/>
          <w:sz w:val="24"/>
          <w:szCs w:val="24"/>
          <w:highlight w:val="none"/>
          <w:u w:val="single"/>
        </w:rPr>
        <w:t>对于联合协议或者分包意向协议约定小微企业的合同份额占到合同总金额30%以上的，对联合体或者大中型企业的报价给予3%的扣除，用扣除后的价格参加评审。组成联合体或者接受分包的小微企业与联合体内其他企业、分包企业之间存在直接控股、管理关系的，不享受价格扣除优惠政策。</w:t>
      </w:r>
    </w:p>
    <w:p w14:paraId="3D9CC890">
      <w:pPr>
        <w:keepNext w:val="0"/>
        <w:keepLines w:val="0"/>
        <w:pageBreakBefore w:val="0"/>
        <w:kinsoku/>
        <w:wordWrap/>
        <w:overflowPunct/>
        <w:topLinePunct w:val="0"/>
        <w:autoSpaceDE/>
        <w:autoSpaceDN/>
        <w:bidi w:val="0"/>
        <w:adjustRightInd w:val="0"/>
        <w:snapToGrid w:val="0"/>
        <w:spacing w:line="288" w:lineRule="auto"/>
        <w:ind w:left="0" w:leftChars="0" w:firstLine="401" w:firstLineChars="175"/>
        <w:textAlignment w:val="auto"/>
        <w:rPr>
          <w:rFonts w:hint="eastAsia" w:ascii="宋体" w:hAnsi="宋体" w:eastAsia="宋体" w:cs="宋体"/>
          <w:b/>
          <w:bCs/>
          <w:color w:val="auto"/>
          <w:spacing w:val="-6"/>
          <w:sz w:val="24"/>
          <w:szCs w:val="24"/>
          <w:highlight w:val="none"/>
        </w:rPr>
      </w:pPr>
      <w:bookmarkStart w:id="420" w:name="_Hlk81817373"/>
      <w:r>
        <w:rPr>
          <w:rFonts w:hint="eastAsia" w:ascii="宋体" w:hAnsi="宋体" w:eastAsia="宋体" w:cs="宋体"/>
          <w:b/>
          <w:bCs/>
          <w:color w:val="auto"/>
          <w:spacing w:val="-6"/>
          <w:sz w:val="24"/>
          <w:szCs w:val="24"/>
          <w:highlight w:val="none"/>
        </w:rPr>
        <w:t>2.根据《关于政府采购支持监狱企业发展有关问题的通知》（财库[2014]68号）的规定，</w:t>
      </w:r>
      <w:r>
        <w:rPr>
          <w:rFonts w:hint="eastAsia" w:ascii="宋体" w:hAnsi="宋体" w:eastAsia="宋体" w:cs="宋体"/>
          <w:color w:val="auto"/>
          <w:kern w:val="0"/>
          <w:sz w:val="24"/>
          <w:szCs w:val="24"/>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20"/>
    <w:p w14:paraId="7B71B1AB">
      <w:pPr>
        <w:keepNext w:val="0"/>
        <w:keepLines w:val="0"/>
        <w:pageBreakBefore w:val="0"/>
        <w:widowControl/>
        <w:kinsoku/>
        <w:wordWrap/>
        <w:overflowPunct/>
        <w:topLinePunct w:val="0"/>
        <w:autoSpaceDE/>
        <w:autoSpaceDN/>
        <w:bidi w:val="0"/>
        <w:snapToGrid w:val="0"/>
        <w:spacing w:line="288" w:lineRule="auto"/>
        <w:ind w:left="0" w:leftChars="0" w:firstLine="401" w:firstLineChars="175"/>
        <w:textAlignment w:val="auto"/>
        <w:rPr>
          <w:rFonts w:hint="eastAsia" w:ascii="宋体" w:hAnsi="宋体" w:eastAsia="宋体" w:cs="宋体"/>
          <w:color w:val="auto"/>
          <w:sz w:val="24"/>
          <w:szCs w:val="24"/>
        </w:rPr>
      </w:pPr>
      <w:r>
        <w:rPr>
          <w:rFonts w:hint="eastAsia" w:ascii="宋体" w:hAnsi="宋体" w:eastAsia="宋体" w:cs="宋体"/>
          <w:b/>
          <w:bCs/>
          <w:color w:val="auto"/>
          <w:spacing w:val="-6"/>
          <w:sz w:val="24"/>
          <w:szCs w:val="24"/>
          <w:highlight w:val="none"/>
        </w:rPr>
        <w:t>3.根据《关于促进残疾人就业政府采购政策的通知》（财库[2017]141号）的规定，</w:t>
      </w:r>
      <w:r>
        <w:rPr>
          <w:rFonts w:hint="eastAsia" w:ascii="宋体" w:hAnsi="宋体" w:eastAsia="宋体" w:cs="宋体"/>
          <w:color w:val="auto"/>
          <w:sz w:val="24"/>
          <w:szCs w:val="24"/>
          <w:highlight w:val="none"/>
        </w:rPr>
        <w:t>符合条件的残疾人福利性单位在参加政府采购活动时，提供财库[2017]141号文件规定的《残疾人福利性单位声明函》的，在政府采购活动中，残疾人福利性单位视同小型、微型企业，享受预留份额、评审中价格扣除等促进中小企业发展的政府采购政策。</w:t>
      </w:r>
      <w:r>
        <w:rPr>
          <w:rFonts w:hint="eastAsia" w:ascii="宋体" w:hAnsi="宋体" w:eastAsia="宋体" w:cs="宋体"/>
          <w:color w:val="auto"/>
          <w:spacing w:val="-6"/>
          <w:sz w:val="24"/>
          <w:szCs w:val="24"/>
          <w:highlight w:val="none"/>
        </w:rPr>
        <w:t>残疾人福利性单位属于小型、微型企业的，不重复享受政策。</w:t>
      </w:r>
    </w:p>
    <w:p w14:paraId="101B2000">
      <w:pPr>
        <w:keepNext w:val="0"/>
        <w:keepLines w:val="0"/>
        <w:pageBreakBefore w:val="0"/>
        <w:widowControl/>
        <w:kinsoku/>
        <w:wordWrap/>
        <w:overflowPunct/>
        <w:topLinePunct w:val="0"/>
        <w:autoSpaceDE/>
        <w:autoSpaceDN/>
        <w:bidi w:val="0"/>
        <w:snapToGrid w:val="0"/>
        <w:spacing w:line="288" w:lineRule="auto"/>
        <w:ind w:left="0" w:leftChars="0" w:firstLine="420" w:firstLineChars="17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3）残疾人福利性单位参加政府采购活动时，应当提供以下证明材料：《残疾人福利性单位声明函》。上述证明材料提供不齐全的，不能享受价格扣除。</w:t>
      </w:r>
    </w:p>
    <w:p w14:paraId="49E37D59">
      <w:pPr>
        <w:spacing w:line="288" w:lineRule="auto"/>
        <w:rPr>
          <w:rFonts w:ascii="宋体" w:hAnsi="宋体"/>
          <w:b/>
          <w:color w:val="auto"/>
          <w:sz w:val="24"/>
          <w:szCs w:val="24"/>
        </w:rPr>
      </w:pPr>
      <w:r>
        <w:rPr>
          <w:rFonts w:hint="eastAsia" w:ascii="宋体" w:hAnsi="宋体"/>
          <w:b/>
          <w:color w:val="auto"/>
          <w:sz w:val="24"/>
          <w:szCs w:val="24"/>
        </w:rPr>
        <w:br w:type="page"/>
      </w:r>
    </w:p>
    <w:bookmarkEnd w:id="413"/>
    <w:bookmarkEnd w:id="414"/>
    <w:bookmarkEnd w:id="415"/>
    <w:bookmarkEnd w:id="416"/>
    <w:bookmarkEnd w:id="417"/>
    <w:bookmarkEnd w:id="418"/>
    <w:bookmarkEnd w:id="419"/>
    <w:p w14:paraId="24AE7844">
      <w:pPr>
        <w:pStyle w:val="2"/>
        <w:keepNext/>
        <w:keepLines/>
        <w:pageBreakBefore w:val="0"/>
        <w:widowControl w:val="0"/>
        <w:kinsoku/>
        <w:wordWrap/>
        <w:overflowPunct/>
        <w:topLinePunct w:val="0"/>
        <w:autoSpaceDE/>
        <w:autoSpaceDN/>
        <w:bidi w:val="0"/>
        <w:adjustRightInd w:val="0"/>
        <w:snapToGrid/>
        <w:spacing w:before="0" w:after="0"/>
        <w:textAlignment w:val="auto"/>
        <w:outlineLvl w:val="0"/>
        <w:rPr>
          <w:color w:val="auto"/>
        </w:rPr>
      </w:pPr>
      <w:bookmarkStart w:id="421" w:name="_Toc9516_WPSOffice_Level1"/>
      <w:bookmarkStart w:id="422" w:name="_Toc886"/>
      <w:bookmarkStart w:id="423" w:name="_Toc30517"/>
      <w:bookmarkStart w:id="424" w:name="_Toc10262"/>
      <w:bookmarkStart w:id="425" w:name="_Toc11103"/>
      <w:bookmarkStart w:id="426" w:name="_Toc32613"/>
      <w:bookmarkStart w:id="427" w:name="_Toc10667"/>
      <w:bookmarkStart w:id="428" w:name="_Toc8356"/>
      <w:bookmarkStart w:id="429" w:name="_Toc11486"/>
      <w:bookmarkStart w:id="430" w:name="_Toc2560"/>
      <w:bookmarkStart w:id="431" w:name="_Toc16795"/>
      <w:bookmarkStart w:id="432" w:name="_Toc24190"/>
      <w:bookmarkStart w:id="433" w:name="_Toc1600"/>
      <w:bookmarkStart w:id="434" w:name="_Toc22400"/>
      <w:bookmarkStart w:id="435" w:name="_Toc1047"/>
      <w:bookmarkStart w:id="436" w:name="_Toc18687"/>
      <w:bookmarkStart w:id="437" w:name="_Toc8338"/>
      <w:bookmarkStart w:id="438" w:name="_Toc12834"/>
      <w:bookmarkStart w:id="439" w:name="_Toc18610"/>
      <w:bookmarkStart w:id="440" w:name="_Toc6559"/>
      <w:bookmarkStart w:id="441" w:name="_Toc22722"/>
      <w:bookmarkStart w:id="442" w:name="_Toc13533"/>
      <w:bookmarkStart w:id="443" w:name="_Toc16244"/>
      <w:bookmarkStart w:id="444" w:name="_Toc3727"/>
      <w:bookmarkStart w:id="445" w:name="_Toc3807"/>
      <w:bookmarkStart w:id="446" w:name="_Toc8120"/>
      <w:bookmarkStart w:id="447" w:name="_Toc26629"/>
      <w:r>
        <w:rPr>
          <w:rFonts w:hint="eastAsia"/>
          <w:color w:val="auto"/>
        </w:rPr>
        <w:t>第五部分 合同基本条款</w:t>
      </w:r>
      <w:bookmarkEnd w:id="421"/>
    </w:p>
    <w:bookmarkEnd w:id="422"/>
    <w:bookmarkEnd w:id="423"/>
    <w:p w14:paraId="360F3AD6">
      <w:pPr>
        <w:snapToGrid w:val="0"/>
        <w:spacing w:line="360" w:lineRule="auto"/>
        <w:rPr>
          <w:rFonts w:hAnsi="宋体"/>
          <w:b/>
          <w:bCs/>
          <w:color w:val="auto"/>
          <w:spacing w:val="-6"/>
          <w:szCs w:val="21"/>
        </w:rPr>
      </w:pPr>
      <w:bookmarkStart w:id="448" w:name="_Toc721"/>
      <w:bookmarkStart w:id="449" w:name="_Toc7308"/>
      <w:bookmarkStart w:id="450" w:name="_Toc32708"/>
      <w:bookmarkStart w:id="451" w:name="_Toc23835"/>
      <w:bookmarkStart w:id="452" w:name="_Toc11617"/>
      <w:bookmarkStart w:id="453" w:name="_Toc32309"/>
      <w:bookmarkStart w:id="454" w:name="_Toc641"/>
      <w:bookmarkStart w:id="455" w:name="_Toc816"/>
      <w:bookmarkStart w:id="456" w:name="_Toc22294"/>
      <w:bookmarkStart w:id="457" w:name="_Toc5553"/>
      <w:bookmarkStart w:id="458" w:name="_Toc27502"/>
      <w:bookmarkStart w:id="459" w:name="_Toc2191"/>
      <w:bookmarkStart w:id="460" w:name="_Toc8672"/>
      <w:bookmarkStart w:id="461" w:name="_Toc762"/>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p>
    <w:p w14:paraId="72C3C92C">
      <w:pPr>
        <w:ind w:firstLine="562"/>
        <w:jc w:val="center"/>
        <w:outlineLvl w:val="0"/>
        <w:rPr>
          <w:color w:val="auto"/>
        </w:rPr>
      </w:pPr>
      <w:r>
        <w:rPr>
          <w:rFonts w:hint="eastAsia"/>
          <w:b/>
          <w:bCs/>
          <w:color w:val="auto"/>
          <w:sz w:val="28"/>
          <w:szCs w:val="28"/>
        </w:rPr>
        <w:t>杭州电子科技大学采购合同（服务类）</w:t>
      </w:r>
    </w:p>
    <w:p w14:paraId="74E3056E">
      <w:pPr>
        <w:jc w:val="right"/>
        <w:outlineLvl w:val="0"/>
        <w:rPr>
          <w:b/>
          <w:bCs/>
          <w:color w:val="auto"/>
        </w:rPr>
      </w:pPr>
      <w:r>
        <w:rPr>
          <w:rFonts w:hint="eastAsia"/>
          <w:color w:val="auto"/>
        </w:rPr>
        <w:t>合同编号_</w:t>
      </w:r>
      <w:r>
        <w:rPr>
          <w:color w:val="auto"/>
        </w:rPr>
        <w:t>________________</w:t>
      </w:r>
    </w:p>
    <w:p w14:paraId="256421A6">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确认书号：</w:t>
      </w:r>
    </w:p>
    <w:p w14:paraId="401F0293">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0"/>
        <w:rPr>
          <w:rFonts w:ascii="宋体" w:hAnsi="宋体" w:cs="宋体"/>
          <w:color w:val="auto"/>
          <w:spacing w:val="-6"/>
          <w:sz w:val="21"/>
          <w:szCs w:val="21"/>
        </w:rPr>
      </w:pPr>
      <w:r>
        <w:rPr>
          <w:rFonts w:hint="eastAsia" w:ascii="宋体" w:hAnsi="宋体" w:cs="宋体"/>
          <w:color w:val="auto"/>
          <w:spacing w:val="-6"/>
          <w:sz w:val="21"/>
          <w:szCs w:val="21"/>
        </w:rPr>
        <w:t>项目编号：</w:t>
      </w:r>
    </w:p>
    <w:p w14:paraId="3F1C96B0">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 xml:space="preserve">甲方（采购人）：杭州电子科技大学 </w:t>
      </w:r>
      <w:r>
        <w:rPr>
          <w:color w:val="auto"/>
          <w:sz w:val="21"/>
          <w:szCs w:val="21"/>
        </w:rPr>
        <w:t xml:space="preserve"> </w:t>
      </w:r>
    </w:p>
    <w:p w14:paraId="14E4D6C4">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0"/>
        <w:rPr>
          <w:color w:val="auto"/>
          <w:sz w:val="21"/>
          <w:szCs w:val="21"/>
        </w:rPr>
      </w:pPr>
      <w:r>
        <w:rPr>
          <w:rFonts w:hint="eastAsia"/>
          <w:color w:val="auto"/>
          <w:sz w:val="21"/>
          <w:szCs w:val="21"/>
        </w:rPr>
        <w:t>乙方（供应商）：</w:t>
      </w:r>
      <w:r>
        <w:rPr>
          <w:color w:val="auto"/>
          <w:sz w:val="21"/>
          <w:szCs w:val="21"/>
        </w:rPr>
        <w:t xml:space="preserve"> </w:t>
      </w:r>
    </w:p>
    <w:p w14:paraId="1C194AC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为了保护甲乙双方合法权益，根据项目</w:t>
      </w:r>
      <w:r>
        <w:rPr>
          <w:color w:val="auto"/>
          <w:sz w:val="21"/>
          <w:szCs w:val="21"/>
          <w:u w:val="single"/>
        </w:rPr>
        <w:t xml:space="preserve">   (</w:t>
      </w:r>
      <w:r>
        <w:rPr>
          <w:rFonts w:hint="eastAsia"/>
          <w:color w:val="auto"/>
          <w:sz w:val="21"/>
          <w:szCs w:val="21"/>
          <w:u w:val="single"/>
        </w:rPr>
        <w:t>填项目名称</w:t>
      </w:r>
      <w:r>
        <w:rPr>
          <w:color w:val="auto"/>
          <w:sz w:val="21"/>
          <w:szCs w:val="21"/>
          <w:u w:val="single"/>
        </w:rPr>
        <w:t xml:space="preserve">)      </w:t>
      </w:r>
      <w:r>
        <w:rPr>
          <w:rFonts w:hint="eastAsia"/>
          <w:color w:val="auto"/>
          <w:sz w:val="21"/>
          <w:szCs w:val="21"/>
          <w:lang w:eastAsia="zh-CN"/>
        </w:rPr>
        <w:t>、</w:t>
      </w:r>
      <w:r>
        <w:rPr>
          <w:color w:val="auto"/>
          <w:sz w:val="21"/>
          <w:szCs w:val="21"/>
          <w:u w:val="single"/>
        </w:rPr>
        <w:t xml:space="preserve"> </w:t>
      </w:r>
      <w:r>
        <w:rPr>
          <w:rFonts w:hint="eastAsia"/>
          <w:color w:val="auto"/>
          <w:sz w:val="21"/>
          <w:szCs w:val="21"/>
          <w:u w:val="single"/>
        </w:rPr>
        <w:t>（填采购方式）</w:t>
      </w:r>
      <w:r>
        <w:rPr>
          <w:color w:val="auto"/>
          <w:sz w:val="21"/>
          <w:szCs w:val="21"/>
          <w:u w:val="single"/>
        </w:rPr>
        <w:t xml:space="preserve">   </w:t>
      </w:r>
      <w:r>
        <w:rPr>
          <w:rFonts w:hint="eastAsia"/>
          <w:color w:val="auto"/>
          <w:sz w:val="21"/>
          <w:szCs w:val="21"/>
        </w:rPr>
        <w:t>的中标（成交）结果，签署本合同，以资共同遵守。</w:t>
      </w:r>
      <w:r>
        <w:rPr>
          <w:color w:val="auto"/>
          <w:sz w:val="21"/>
          <w:szCs w:val="21"/>
        </w:rPr>
        <w:t xml:space="preserve">  </w:t>
      </w:r>
    </w:p>
    <w:p w14:paraId="4103B598">
      <w:pPr>
        <w:pStyle w:val="168"/>
        <w:keepNext w:val="0"/>
        <w:keepLines w:val="0"/>
        <w:pageBreakBefore w:val="0"/>
        <w:widowControl w:val="0"/>
        <w:kinsoku/>
        <w:wordWrap/>
        <w:overflowPunct/>
        <w:topLinePunct w:val="0"/>
        <w:bidi w:val="0"/>
        <w:snapToGrid/>
        <w:spacing w:line="288" w:lineRule="auto"/>
        <w:textAlignment w:val="auto"/>
        <w:outlineLvl w:val="0"/>
        <w:rPr>
          <w:b/>
          <w:bCs/>
          <w:color w:val="auto"/>
          <w:sz w:val="21"/>
          <w:szCs w:val="21"/>
        </w:rPr>
      </w:pPr>
      <w:r>
        <w:rPr>
          <w:rFonts w:hint="eastAsia"/>
          <w:b/>
          <w:bCs/>
          <w:color w:val="auto"/>
          <w:sz w:val="21"/>
          <w:szCs w:val="21"/>
          <w:lang w:val="en-US" w:eastAsia="zh-CN"/>
        </w:rPr>
        <w:t>一、</w:t>
      </w:r>
      <w:r>
        <w:rPr>
          <w:rFonts w:hint="eastAsia"/>
          <w:b/>
          <w:bCs/>
          <w:color w:val="auto"/>
          <w:sz w:val="21"/>
          <w:szCs w:val="21"/>
        </w:rPr>
        <w:t>采购服务内容及合同价格</w:t>
      </w:r>
    </w:p>
    <w:tbl>
      <w:tblPr>
        <w:tblStyle w:val="4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1E707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5425B4C6">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outlineLvl w:val="0"/>
              <w:rPr>
                <w:color w:val="auto"/>
                <w:sz w:val="21"/>
                <w:szCs w:val="21"/>
              </w:rPr>
            </w:pPr>
            <w:r>
              <w:rPr>
                <w:rFonts w:hint="eastAsia"/>
                <w:color w:val="auto"/>
                <w:sz w:val="21"/>
                <w:szCs w:val="21"/>
              </w:rPr>
              <w:t>序号</w:t>
            </w:r>
          </w:p>
        </w:tc>
        <w:tc>
          <w:tcPr>
            <w:tcW w:w="1179" w:type="dxa"/>
            <w:vAlign w:val="center"/>
          </w:tcPr>
          <w:p w14:paraId="41CB7BD3">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名称</w:t>
            </w:r>
          </w:p>
        </w:tc>
        <w:tc>
          <w:tcPr>
            <w:tcW w:w="3289" w:type="dxa"/>
            <w:vAlign w:val="center"/>
          </w:tcPr>
          <w:p w14:paraId="2C2DBD38">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r>
              <w:rPr>
                <w:rFonts w:hint="eastAsia"/>
                <w:color w:val="auto"/>
                <w:sz w:val="21"/>
                <w:szCs w:val="21"/>
              </w:rPr>
              <w:t>主要内容</w:t>
            </w:r>
          </w:p>
        </w:tc>
        <w:tc>
          <w:tcPr>
            <w:tcW w:w="3736" w:type="dxa"/>
            <w:vAlign w:val="center"/>
          </w:tcPr>
          <w:p w14:paraId="37F9126A">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rFonts w:hint="eastAsia"/>
                <w:color w:val="auto"/>
                <w:sz w:val="21"/>
                <w:szCs w:val="21"/>
              </w:rPr>
              <w:t>服务费用</w:t>
            </w:r>
          </w:p>
        </w:tc>
      </w:tr>
      <w:tr w14:paraId="05DCA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4A5240EC">
            <w:pPr>
              <w:keepNext w:val="0"/>
              <w:keepLines w:val="0"/>
              <w:pageBreakBefore w:val="0"/>
              <w:widowControl w:val="0"/>
              <w:kinsoku/>
              <w:wordWrap/>
              <w:overflowPunct/>
              <w:topLinePunct w:val="0"/>
              <w:bidi w:val="0"/>
              <w:snapToGrid/>
              <w:spacing w:line="288" w:lineRule="auto"/>
              <w:jc w:val="center"/>
              <w:textAlignment w:val="auto"/>
              <w:outlineLvl w:val="0"/>
              <w:rPr>
                <w:color w:val="auto"/>
                <w:sz w:val="21"/>
                <w:szCs w:val="21"/>
              </w:rPr>
            </w:pPr>
            <w:r>
              <w:rPr>
                <w:color w:val="auto"/>
                <w:sz w:val="21"/>
                <w:szCs w:val="21"/>
              </w:rPr>
              <w:t>1</w:t>
            </w:r>
          </w:p>
        </w:tc>
        <w:tc>
          <w:tcPr>
            <w:tcW w:w="1179" w:type="dxa"/>
            <w:vAlign w:val="center"/>
          </w:tcPr>
          <w:p w14:paraId="0E4FFAB7">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3ED30505">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4D2511DF">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3FF23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2A732BF4">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1179" w:type="dxa"/>
            <w:vAlign w:val="center"/>
          </w:tcPr>
          <w:p w14:paraId="343C87E5">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289" w:type="dxa"/>
            <w:vAlign w:val="center"/>
          </w:tcPr>
          <w:p w14:paraId="1E24D21D">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c>
          <w:tcPr>
            <w:tcW w:w="3736" w:type="dxa"/>
            <w:vAlign w:val="center"/>
          </w:tcPr>
          <w:p w14:paraId="036CCCC0">
            <w:pPr>
              <w:keepNext w:val="0"/>
              <w:keepLines w:val="0"/>
              <w:pageBreakBefore w:val="0"/>
              <w:widowControl w:val="0"/>
              <w:kinsoku/>
              <w:wordWrap/>
              <w:overflowPunct/>
              <w:topLinePunct w:val="0"/>
              <w:bidi w:val="0"/>
              <w:snapToGrid/>
              <w:spacing w:line="288" w:lineRule="auto"/>
              <w:textAlignment w:val="auto"/>
              <w:outlineLvl w:val="0"/>
              <w:rPr>
                <w:color w:val="auto"/>
                <w:sz w:val="21"/>
                <w:szCs w:val="21"/>
              </w:rPr>
            </w:pPr>
          </w:p>
        </w:tc>
      </w:tr>
      <w:tr w14:paraId="58B54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2E144863">
            <w:pPr>
              <w:keepNext w:val="0"/>
              <w:keepLines w:val="0"/>
              <w:pageBreakBefore w:val="0"/>
              <w:widowControl w:val="0"/>
              <w:kinsoku/>
              <w:wordWrap/>
              <w:overflowPunct/>
              <w:topLinePunct w:val="0"/>
              <w:bidi w:val="0"/>
              <w:snapToGrid/>
              <w:spacing w:line="288" w:lineRule="auto"/>
              <w:textAlignment w:val="auto"/>
              <w:outlineLvl w:val="0"/>
              <w:rPr>
                <w:rFonts w:cs="宋体"/>
                <w:color w:val="auto"/>
                <w:sz w:val="21"/>
                <w:szCs w:val="21"/>
              </w:rPr>
            </w:pPr>
            <w:r>
              <w:rPr>
                <w:rFonts w:hint="eastAsia"/>
                <w:color w:val="auto"/>
                <w:sz w:val="21"/>
                <w:szCs w:val="21"/>
              </w:rPr>
              <w:t>合同总价（元，人民币）：小写</w:t>
            </w:r>
            <w:r>
              <w:rPr>
                <w:rFonts w:hint="eastAsia" w:cs="宋体"/>
                <w:color w:val="auto"/>
                <w:sz w:val="21"/>
                <w:szCs w:val="21"/>
              </w:rPr>
              <w:t>￥</w:t>
            </w:r>
            <w:r>
              <w:rPr>
                <w:color w:val="auto"/>
                <w:sz w:val="21"/>
                <w:szCs w:val="21"/>
              </w:rPr>
              <w:t xml:space="preserve">              </w:t>
            </w:r>
            <w:r>
              <w:rPr>
                <w:rFonts w:hint="eastAsia"/>
                <w:color w:val="auto"/>
                <w:sz w:val="21"/>
                <w:szCs w:val="21"/>
              </w:rPr>
              <w:t>，大写：</w:t>
            </w:r>
          </w:p>
        </w:tc>
      </w:tr>
    </w:tbl>
    <w:p w14:paraId="561D3F7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hint="eastAsia"/>
          <w:color w:val="auto"/>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085C672D">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二、服务内</w:t>
      </w:r>
      <w:r>
        <w:rPr>
          <w:rFonts w:hint="eastAsia"/>
          <w:b/>
          <w:bCs/>
          <w:color w:val="auto"/>
          <w:sz w:val="21"/>
          <w:szCs w:val="21"/>
        </w:rPr>
        <w:t>容与要求</w:t>
      </w:r>
    </w:p>
    <w:p w14:paraId="657C0B5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1AF4D944">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三、服务时间与地点</w:t>
      </w:r>
    </w:p>
    <w:p w14:paraId="1A95655E">
      <w:pPr>
        <w:pStyle w:val="6"/>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u w:val="single"/>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r>
        <w:rPr>
          <w:color w:val="auto"/>
          <w:sz w:val="21"/>
          <w:szCs w:val="21"/>
        </w:rPr>
        <w:t xml:space="preserve"> </w:t>
      </w:r>
    </w:p>
    <w:p w14:paraId="4887FC0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default" w:eastAsia="宋体"/>
          <w:color w:val="auto"/>
          <w:sz w:val="21"/>
          <w:szCs w:val="21"/>
          <w:u w:val="single"/>
          <w:lang w:val="en-US" w:eastAsia="zh-CN"/>
        </w:rPr>
      </w:pPr>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p>
    <w:p w14:paraId="5BB00AA7">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p>
    <w:p w14:paraId="11C3802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p>
    <w:p w14:paraId="5936106F">
      <w:pPr>
        <w:pStyle w:val="53"/>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四、履约保证金与付款方式</w:t>
      </w:r>
    </w:p>
    <w:p w14:paraId="4F0703F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p>
    <w:p w14:paraId="246E9DD8">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rFonts w:hint="eastAsia"/>
          <w:color w:val="auto"/>
          <w:sz w:val="21"/>
          <w:szCs w:val="21"/>
        </w:rPr>
      </w:pPr>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p>
    <w:p w14:paraId="0255821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hint="eastAsia"/>
          <w:color w:val="auto"/>
          <w:sz w:val="21"/>
          <w:szCs w:val="21"/>
        </w:rPr>
      </w:pPr>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p>
    <w:p w14:paraId="768B7BA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p>
    <w:p w14:paraId="494602D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p>
    <w:p w14:paraId="4D0408D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个工作日内，甲方向乙方支付全部合同价款。</w:t>
      </w:r>
    </w:p>
    <w:p w14:paraId="1A46A1E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 xml:space="preserve"> 10</w:t>
      </w:r>
      <w:r>
        <w:rPr>
          <w:rFonts w:hint="eastAsia"/>
          <w:color w:val="auto"/>
          <w:sz w:val="21"/>
          <w:szCs w:val="21"/>
        </w:rPr>
        <w:t>个工作日内，甲方向乙方支付本期款项。</w:t>
      </w:r>
      <w:r>
        <w:rPr>
          <w:color w:val="auto"/>
          <w:sz w:val="21"/>
          <w:szCs w:val="21"/>
        </w:rPr>
        <w:t xml:space="preserve"> </w:t>
      </w:r>
    </w:p>
    <w:p w14:paraId="5FB65CA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p>
    <w:p w14:paraId="7B7FC75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156D47F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p>
    <w:p w14:paraId="337C97F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w:t>
      </w:r>
      <w:r>
        <w:rPr>
          <w:rFonts w:hint="eastAsia"/>
          <w:color w:val="auto"/>
          <w:sz w:val="21"/>
          <w:szCs w:val="21"/>
          <w:lang w:val="en-US" w:eastAsia="zh-CN"/>
        </w:rPr>
        <w:t>履约保证金保函或</w:t>
      </w:r>
      <w:r>
        <w:rPr>
          <w:rFonts w:hint="eastAsia"/>
          <w:color w:val="auto"/>
          <w:sz w:val="21"/>
          <w:szCs w:val="21"/>
        </w:rPr>
        <w:t>甲方财务处开具的履约保证金收据，乙方向甲方开具等额有效的发票。</w:t>
      </w:r>
    </w:p>
    <w:p w14:paraId="406EB95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开票信息如下：</w:t>
      </w:r>
    </w:p>
    <w:p w14:paraId="5B6FE0C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单位名称：杭州电子科技大学。税号：</w:t>
      </w:r>
      <w:r>
        <w:rPr>
          <w:color w:val="auto"/>
          <w:sz w:val="21"/>
          <w:szCs w:val="21"/>
        </w:rPr>
        <w:t>12330000470009026T</w:t>
      </w:r>
    </w:p>
    <w:p w14:paraId="04DF5CA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开户银行：工行杭州高新支行。账号：</w:t>
      </w:r>
      <w:r>
        <w:rPr>
          <w:color w:val="auto"/>
          <w:sz w:val="21"/>
          <w:szCs w:val="21"/>
        </w:rPr>
        <w:t>1202026209008806216</w:t>
      </w:r>
    </w:p>
    <w:p w14:paraId="46A0420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五、双方权利与义务</w:t>
      </w:r>
    </w:p>
    <w:p w14:paraId="4E67DE5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（按采购文件及采购结果填写，如有）</w:t>
      </w:r>
    </w:p>
    <w:p w14:paraId="3630A9B7">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六、知识产权要求</w:t>
      </w:r>
    </w:p>
    <w:p w14:paraId="5C7135F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1B86004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5E168E0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七、转包或分包</w:t>
      </w:r>
    </w:p>
    <w:p w14:paraId="6935902F">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p>
    <w:p w14:paraId="057100E4">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14:paraId="5063403B">
      <w:pPr>
        <w:pStyle w:val="27"/>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14:paraId="0570A49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bookmarkStart w:id="462" w:name="_Hlk155173514"/>
      <w:r>
        <w:rPr>
          <w:rFonts w:hint="eastAsia"/>
          <w:b/>
          <w:bCs/>
          <w:color w:val="auto"/>
          <w:sz w:val="21"/>
          <w:szCs w:val="21"/>
        </w:rPr>
        <w:t>八、</w:t>
      </w:r>
      <w:bookmarkEnd w:id="462"/>
      <w:r>
        <w:rPr>
          <w:rFonts w:hint="eastAsia"/>
          <w:b/>
          <w:bCs/>
          <w:color w:val="auto"/>
          <w:sz w:val="21"/>
          <w:szCs w:val="21"/>
        </w:rPr>
        <w:t>验收</w:t>
      </w:r>
    </w:p>
    <w:p w14:paraId="0AE4306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p>
    <w:p w14:paraId="2822773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color w:val="auto"/>
          <w:sz w:val="21"/>
          <w:szCs w:val="21"/>
        </w:rPr>
      </w:pPr>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r>
        <w:rPr>
          <w:rFonts w:cs="宋体"/>
          <w:color w:val="auto"/>
          <w:sz w:val="21"/>
          <w:szCs w:val="21"/>
        </w:rPr>
        <w:t xml:space="preserve"> </w:t>
      </w:r>
    </w:p>
    <w:p w14:paraId="4EE1E09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10</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p>
    <w:p w14:paraId="33EDBF7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strike/>
          <w:color w:val="auto"/>
          <w:sz w:val="21"/>
          <w:szCs w:val="21"/>
        </w:rPr>
      </w:pPr>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35CB16A7">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九、质量保证与售后服务</w:t>
      </w:r>
    </w:p>
    <w:p w14:paraId="5696E8F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3AB7915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093145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cs="宋体"/>
          <w:b/>
          <w:bCs/>
          <w:color w:val="auto"/>
          <w:sz w:val="21"/>
          <w:szCs w:val="21"/>
        </w:rPr>
      </w:pPr>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p>
    <w:p w14:paraId="42DA6971">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十、保密条款</w:t>
      </w:r>
    </w:p>
    <w:p w14:paraId="574C4E1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p>
    <w:p w14:paraId="499AB3C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十一、违约责任</w:t>
      </w:r>
    </w:p>
    <w:p w14:paraId="6875E0A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万分之叁  </w:t>
      </w:r>
      <w:r>
        <w:rPr>
          <w:rFonts w:hint="eastAsia"/>
          <w:color w:val="auto"/>
          <w:sz w:val="21"/>
          <w:szCs w:val="21"/>
        </w:rPr>
        <w:t>向乙方支付违约金。</w:t>
      </w:r>
    </w:p>
    <w:p w14:paraId="5E0D359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万分之叁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r>
        <w:rPr>
          <w:color w:val="auto"/>
          <w:sz w:val="21"/>
          <w:szCs w:val="21"/>
        </w:rPr>
        <w:t xml:space="preserve"> </w:t>
      </w:r>
    </w:p>
    <w:p w14:paraId="768FBA2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p>
    <w:p w14:paraId="2C3B9BF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b/>
          <w:bCs/>
          <w:color w:val="auto"/>
          <w:sz w:val="21"/>
          <w:szCs w:val="21"/>
        </w:rPr>
      </w:pPr>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p>
    <w:p w14:paraId="3320BCB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6D9A5665">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十二、不可抗力</w:t>
      </w:r>
    </w:p>
    <w:p w14:paraId="7156984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p>
    <w:p w14:paraId="3D88812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p>
    <w:p w14:paraId="2F2C1EC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p>
    <w:p w14:paraId="6DFBF23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cs="宋体" w:asciiTheme="minorEastAsia" w:hAnsiTheme="minorEastAsia" w:eastAsiaTheme="minorEastAsia"/>
          <w:color w:val="auto"/>
          <w:sz w:val="21"/>
          <w:szCs w:val="21"/>
        </w:rPr>
        <w:t>4.</w:t>
      </w:r>
      <w:r>
        <w:rPr>
          <w:rFonts w:hint="eastAsia"/>
          <w:color w:val="auto"/>
          <w:sz w:val="21"/>
          <w:szCs w:val="21"/>
        </w:rPr>
        <w:t>本条所述的“不可抗力”依法律规定。</w:t>
      </w:r>
    </w:p>
    <w:p w14:paraId="5E94EB80">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b/>
          <w:bCs/>
          <w:color w:val="auto"/>
          <w:sz w:val="21"/>
          <w:szCs w:val="21"/>
        </w:rPr>
      </w:pPr>
      <w:r>
        <w:rPr>
          <w:rFonts w:hint="eastAsia"/>
          <w:b/>
          <w:bCs/>
          <w:color w:val="auto"/>
          <w:sz w:val="21"/>
          <w:szCs w:val="21"/>
        </w:rPr>
        <w:t>十三、法律适用与争议解决</w:t>
      </w:r>
    </w:p>
    <w:p w14:paraId="5B75504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p>
    <w:p w14:paraId="6A0F1E9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p>
    <w:p w14:paraId="660648E7">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十四、合同生效及其他</w:t>
      </w:r>
    </w:p>
    <w:p w14:paraId="3ED1DBF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p>
    <w:p w14:paraId="2C34F5F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asciiTheme="minorEastAsia" w:hAnsiTheme="minorEastAsia" w:eastAsiaTheme="minorEastAsia"/>
          <w:color w:val="auto"/>
          <w:sz w:val="21"/>
          <w:szCs w:val="21"/>
        </w:rPr>
        <w:t>2.</w:t>
      </w:r>
      <w:bookmarkStart w:id="463"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p>
    <w:bookmarkEnd w:id="463"/>
    <w:p w14:paraId="6713C557">
      <w:pPr>
        <w:keepNext w:val="0"/>
        <w:keepLines w:val="0"/>
        <w:pageBreakBefore w:val="0"/>
        <w:widowControl w:val="0"/>
        <w:kinsoku/>
        <w:wordWrap/>
        <w:overflowPunct/>
        <w:topLinePunct w:val="0"/>
        <w:bidi w:val="0"/>
        <w:snapToGrid/>
        <w:spacing w:line="288" w:lineRule="auto"/>
        <w:ind w:left="0" w:leftChars="0" w:firstLine="396" w:firstLineChars="200"/>
        <w:textAlignment w:val="auto"/>
        <w:outlineLvl w:val="0"/>
        <w:rPr>
          <w:color w:val="auto"/>
          <w:sz w:val="21"/>
          <w:szCs w:val="21"/>
          <w:lang w:val="zh-CN"/>
        </w:rPr>
      </w:pPr>
      <w:bookmarkStart w:id="464" w:name="_Hlk154756502"/>
      <w:r>
        <w:rPr>
          <w:rFonts w:cs="宋体" w:asciiTheme="minorEastAsia" w:hAnsiTheme="minorEastAsia" w:eastAsiaTheme="minorEastAsia"/>
          <w:color w:val="auto"/>
          <w:spacing w:val="-6"/>
          <w:sz w:val="21"/>
          <w:szCs w:val="21"/>
        </w:rPr>
        <w:t>3.</w:t>
      </w:r>
      <w:bookmarkEnd w:id="464"/>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p>
    <w:p w14:paraId="052ACF2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p>
    <w:p w14:paraId="691D78E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p>
    <w:p w14:paraId="3901899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p>
    <w:p w14:paraId="7A1A33A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p>
    <w:p w14:paraId="7620EB9E">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p>
    <w:p w14:paraId="370B97D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color w:val="auto"/>
          <w:sz w:val="21"/>
          <w:szCs w:val="21"/>
        </w:rPr>
      </w:pPr>
      <w:bookmarkStart w:id="465"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p>
    <w:p w14:paraId="121973D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5.</w:t>
      </w:r>
      <w:r>
        <w:rPr>
          <w:rFonts w:hint="eastAsia" w:asciiTheme="minorEastAsia" w:hAnsiTheme="minorEastAsia" w:eastAsiaTheme="minorEastAsia"/>
          <w:color w:val="auto"/>
          <w:sz w:val="21"/>
          <w:szCs w:val="21"/>
        </w:rPr>
        <w:t>本合同</w:t>
      </w:r>
      <w:r>
        <w:rPr>
          <w:rFonts w:hint="eastAsia" w:asciiTheme="minorEastAsia" w:hAnsiTheme="minorEastAsia" w:eastAsiaTheme="minorEastAsia"/>
          <w:color w:val="auto"/>
          <w:szCs w:val="22"/>
        </w:rPr>
        <w:t>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w:t>
      </w:r>
      <w:r>
        <w:rPr>
          <w:rFonts w:hint="eastAsia" w:asciiTheme="minorEastAsia" w:hAnsiTheme="minorEastAsia" w:eastAsiaTheme="minorEastAsia"/>
          <w:color w:val="auto"/>
          <w:sz w:val="21"/>
          <w:szCs w:val="21"/>
        </w:rPr>
        <w:t>，具有同等法律效力。</w:t>
      </w:r>
    </w:p>
    <w:bookmarkEnd w:id="465"/>
    <w:p w14:paraId="6F54EFB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0"/>
        <w:rPr>
          <w:color w:val="auto"/>
          <w:sz w:val="21"/>
          <w:szCs w:val="21"/>
        </w:rPr>
      </w:pPr>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p>
    <w:p w14:paraId="469C6BC3">
      <w:pPr>
        <w:keepNext w:val="0"/>
        <w:keepLines w:val="0"/>
        <w:pageBreakBefore w:val="0"/>
        <w:widowControl w:val="0"/>
        <w:kinsoku/>
        <w:wordWrap/>
        <w:overflowPunct/>
        <w:topLinePunct w:val="0"/>
        <w:bidi w:val="0"/>
        <w:snapToGrid/>
        <w:spacing w:line="288" w:lineRule="auto"/>
        <w:ind w:firstLine="0" w:firstLineChars="0"/>
        <w:textAlignment w:val="auto"/>
        <w:outlineLvl w:val="0"/>
        <w:rPr>
          <w:color w:val="auto"/>
          <w:sz w:val="21"/>
          <w:szCs w:val="21"/>
        </w:rPr>
      </w:pPr>
    </w:p>
    <w:tbl>
      <w:tblPr>
        <w:tblStyle w:val="45"/>
        <w:tblW w:w="9249" w:type="dxa"/>
        <w:jc w:val="center"/>
        <w:tblLayout w:type="fixed"/>
        <w:tblCellMar>
          <w:top w:w="0" w:type="dxa"/>
          <w:left w:w="108" w:type="dxa"/>
          <w:bottom w:w="0" w:type="dxa"/>
          <w:right w:w="108" w:type="dxa"/>
        </w:tblCellMar>
      </w:tblPr>
      <w:tblGrid>
        <w:gridCol w:w="5073"/>
        <w:gridCol w:w="4176"/>
      </w:tblGrid>
      <w:tr w14:paraId="4EA4B543">
        <w:tblPrEx>
          <w:tblCellMar>
            <w:top w:w="0" w:type="dxa"/>
            <w:left w:w="108" w:type="dxa"/>
            <w:bottom w:w="0" w:type="dxa"/>
            <w:right w:w="108" w:type="dxa"/>
          </w:tblCellMar>
        </w:tblPrEx>
        <w:trPr>
          <w:trHeight w:val="782" w:hRule="atLeast"/>
          <w:jc w:val="center"/>
        </w:trPr>
        <w:tc>
          <w:tcPr>
            <w:tcW w:w="5073" w:type="dxa"/>
            <w:vAlign w:val="center"/>
          </w:tcPr>
          <w:p w14:paraId="5A9DFB03">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甲方：杭州电子科技大学（公章）</w:t>
            </w:r>
          </w:p>
        </w:tc>
        <w:tc>
          <w:tcPr>
            <w:tcW w:w="4176" w:type="dxa"/>
            <w:vAlign w:val="center"/>
          </w:tcPr>
          <w:p w14:paraId="5FC25B49">
            <w:pPr>
              <w:keepNext w:val="0"/>
              <w:keepLines w:val="0"/>
              <w:pageBreakBefore w:val="0"/>
              <w:widowControl w:val="0"/>
              <w:kinsoku/>
              <w:wordWrap/>
              <w:overflowPunct/>
              <w:topLinePunct w:val="0"/>
              <w:bidi w:val="0"/>
              <w:snapToGrid/>
              <w:spacing w:line="288" w:lineRule="auto"/>
              <w:ind w:firstLine="0" w:firstLineChars="0"/>
              <w:jc w:val="both"/>
              <w:textAlignment w:val="auto"/>
              <w:outlineLvl w:val="0"/>
              <w:rPr>
                <w:color w:val="auto"/>
              </w:rPr>
            </w:pPr>
            <w:r>
              <w:rPr>
                <w:rFonts w:hint="eastAsia" w:ascii="宋体" w:hAnsi="宋体"/>
                <w:color w:val="auto"/>
                <w:spacing w:val="-6"/>
                <w:sz w:val="21"/>
                <w:szCs w:val="21"/>
              </w:rPr>
              <w:t>乙方</w:t>
            </w:r>
            <w:r>
              <w:rPr>
                <w:rFonts w:hint="eastAsia"/>
                <w:color w:val="auto"/>
              </w:rPr>
              <w:t>：（公章）</w:t>
            </w:r>
          </w:p>
        </w:tc>
      </w:tr>
      <w:tr w14:paraId="09D88F85">
        <w:tblPrEx>
          <w:tblCellMar>
            <w:top w:w="0" w:type="dxa"/>
            <w:left w:w="108" w:type="dxa"/>
            <w:bottom w:w="0" w:type="dxa"/>
            <w:right w:w="108" w:type="dxa"/>
          </w:tblCellMar>
        </w:tblPrEx>
        <w:trPr>
          <w:trHeight w:val="1547" w:hRule="atLeast"/>
          <w:jc w:val="center"/>
        </w:trPr>
        <w:tc>
          <w:tcPr>
            <w:tcW w:w="5073" w:type="dxa"/>
            <w:vAlign w:val="center"/>
          </w:tcPr>
          <w:p w14:paraId="0E26E85D">
            <w:pPr>
              <w:keepNext w:val="0"/>
              <w:keepLines w:val="0"/>
              <w:pageBreakBefore w:val="0"/>
              <w:widowControl w:val="0"/>
              <w:kinsoku/>
              <w:wordWrap/>
              <w:overflowPunct/>
              <w:topLinePunct w:val="0"/>
              <w:bidi w:val="0"/>
              <w:snapToGrid/>
              <w:spacing w:line="288" w:lineRule="auto"/>
              <w:jc w:val="both"/>
              <w:textAlignment w:val="auto"/>
              <w:outlineLvl w:val="0"/>
              <w:rPr>
                <w:color w:val="auto"/>
              </w:rPr>
            </w:pPr>
            <w:r>
              <w:rPr>
                <w:rFonts w:hint="eastAsia"/>
                <w:color w:val="auto"/>
              </w:rPr>
              <w:t>法定（授权）代表人：</w:t>
            </w:r>
          </w:p>
          <w:p w14:paraId="5596DA2E">
            <w:pPr>
              <w:keepNext w:val="0"/>
              <w:keepLines w:val="0"/>
              <w:pageBreakBefore w:val="0"/>
              <w:widowControl w:val="0"/>
              <w:kinsoku/>
              <w:wordWrap/>
              <w:overflowPunct/>
              <w:topLinePunct w:val="0"/>
              <w:bidi w:val="0"/>
              <w:snapToGrid/>
              <w:spacing w:line="288" w:lineRule="auto"/>
              <w:ind w:firstLine="396"/>
              <w:jc w:val="both"/>
              <w:textAlignment w:val="auto"/>
              <w:outlineLvl w:val="0"/>
              <w:rPr>
                <w:color w:val="auto"/>
              </w:rPr>
            </w:pPr>
            <w:r>
              <w:rPr>
                <w:rFonts w:hint="eastAsia"/>
                <w:color w:val="auto"/>
              </w:rPr>
              <w:t>(签字）</w:t>
            </w:r>
          </w:p>
        </w:tc>
        <w:tc>
          <w:tcPr>
            <w:tcW w:w="4176" w:type="dxa"/>
            <w:vAlign w:val="center"/>
          </w:tcPr>
          <w:p w14:paraId="14C926E5">
            <w:pPr>
              <w:keepNext w:val="0"/>
              <w:keepLines w:val="0"/>
              <w:pageBreakBefore w:val="0"/>
              <w:widowControl w:val="0"/>
              <w:kinsoku/>
              <w:wordWrap/>
              <w:overflowPunct/>
              <w:topLinePunct w:val="0"/>
              <w:bidi w:val="0"/>
              <w:snapToGrid/>
              <w:spacing w:line="288" w:lineRule="auto"/>
              <w:jc w:val="both"/>
              <w:textAlignment w:val="auto"/>
              <w:outlineLvl w:val="0"/>
              <w:rPr>
                <w:color w:val="auto"/>
                <w:sz w:val="21"/>
                <w:szCs w:val="21"/>
              </w:rPr>
            </w:pPr>
            <w:r>
              <w:rPr>
                <w:rFonts w:hint="eastAsia"/>
                <w:color w:val="auto"/>
                <w:sz w:val="21"/>
                <w:szCs w:val="21"/>
              </w:rPr>
              <w:t>法定（授权）代表人：</w:t>
            </w:r>
          </w:p>
          <w:p w14:paraId="5327647B">
            <w:pPr>
              <w:keepNext w:val="0"/>
              <w:keepLines w:val="0"/>
              <w:pageBreakBefore w:val="0"/>
              <w:widowControl w:val="0"/>
              <w:kinsoku/>
              <w:wordWrap/>
              <w:overflowPunct/>
              <w:topLinePunct w:val="0"/>
              <w:bidi w:val="0"/>
              <w:snapToGrid/>
              <w:spacing w:line="288" w:lineRule="auto"/>
              <w:ind w:firstLine="396"/>
              <w:jc w:val="both"/>
              <w:textAlignment w:val="auto"/>
              <w:outlineLvl w:val="0"/>
              <w:rPr>
                <w:rFonts w:ascii="宋体" w:hAnsi="宋体"/>
                <w:color w:val="auto"/>
                <w:spacing w:val="-6"/>
                <w:sz w:val="21"/>
                <w:szCs w:val="21"/>
              </w:rPr>
            </w:pPr>
            <w:r>
              <w:rPr>
                <w:rFonts w:hint="eastAsia" w:ascii="宋体" w:hAnsi="宋体"/>
                <w:color w:val="auto"/>
                <w:spacing w:val="-6"/>
                <w:sz w:val="21"/>
                <w:szCs w:val="21"/>
              </w:rPr>
              <w:t>（签字）</w:t>
            </w:r>
          </w:p>
        </w:tc>
      </w:tr>
      <w:tr w14:paraId="18723F62">
        <w:tblPrEx>
          <w:tblCellMar>
            <w:top w:w="0" w:type="dxa"/>
            <w:left w:w="108" w:type="dxa"/>
            <w:bottom w:w="0" w:type="dxa"/>
            <w:right w:w="108" w:type="dxa"/>
          </w:tblCellMar>
        </w:tblPrEx>
        <w:trPr>
          <w:jc w:val="center"/>
        </w:trPr>
        <w:tc>
          <w:tcPr>
            <w:tcW w:w="5073" w:type="dxa"/>
            <w:vAlign w:val="center"/>
          </w:tcPr>
          <w:p w14:paraId="478E852D">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地址：杭州下沙高教园区二号大街1158号</w:t>
            </w:r>
          </w:p>
        </w:tc>
        <w:tc>
          <w:tcPr>
            <w:tcW w:w="4176" w:type="dxa"/>
            <w:vAlign w:val="center"/>
          </w:tcPr>
          <w:p w14:paraId="6D7FAC67">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地址：</w:t>
            </w:r>
            <w:r>
              <w:rPr>
                <w:rFonts w:hint="eastAsia" w:ascii="宋体" w:hAnsi="宋体"/>
                <w:color w:val="auto"/>
                <w:spacing w:val="-6"/>
                <w:sz w:val="21"/>
                <w:szCs w:val="21"/>
              </w:rPr>
              <w:tab/>
            </w:r>
            <w:r>
              <w:rPr>
                <w:rFonts w:hint="eastAsia" w:ascii="宋体" w:hAnsi="宋体"/>
                <w:color w:val="auto"/>
                <w:spacing w:val="-6"/>
                <w:sz w:val="21"/>
                <w:szCs w:val="21"/>
              </w:rPr>
              <w:tab/>
            </w:r>
          </w:p>
        </w:tc>
      </w:tr>
      <w:tr w14:paraId="0FF61845">
        <w:tblPrEx>
          <w:tblCellMar>
            <w:top w:w="0" w:type="dxa"/>
            <w:left w:w="108" w:type="dxa"/>
            <w:bottom w:w="0" w:type="dxa"/>
            <w:right w:w="108" w:type="dxa"/>
          </w:tblCellMar>
        </w:tblPrEx>
        <w:trPr>
          <w:jc w:val="center"/>
        </w:trPr>
        <w:tc>
          <w:tcPr>
            <w:tcW w:w="5073" w:type="dxa"/>
            <w:vAlign w:val="center"/>
          </w:tcPr>
          <w:p w14:paraId="5562572A">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电话： </w:t>
            </w:r>
          </w:p>
        </w:tc>
        <w:tc>
          <w:tcPr>
            <w:tcW w:w="4176" w:type="dxa"/>
            <w:vAlign w:val="center"/>
          </w:tcPr>
          <w:p w14:paraId="3902929D">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电话：</w:t>
            </w:r>
            <w:r>
              <w:rPr>
                <w:rFonts w:hint="eastAsia" w:ascii="宋体" w:hAnsi="宋体"/>
                <w:color w:val="auto"/>
                <w:spacing w:val="-6"/>
                <w:sz w:val="21"/>
                <w:szCs w:val="21"/>
              </w:rPr>
              <w:tab/>
            </w:r>
          </w:p>
        </w:tc>
      </w:tr>
      <w:tr w14:paraId="14D5B565">
        <w:tblPrEx>
          <w:tblCellMar>
            <w:top w:w="0" w:type="dxa"/>
            <w:left w:w="108" w:type="dxa"/>
            <w:bottom w:w="0" w:type="dxa"/>
            <w:right w:w="108" w:type="dxa"/>
          </w:tblCellMar>
        </w:tblPrEx>
        <w:trPr>
          <w:jc w:val="center"/>
        </w:trPr>
        <w:tc>
          <w:tcPr>
            <w:tcW w:w="5073" w:type="dxa"/>
            <w:vAlign w:val="center"/>
          </w:tcPr>
          <w:p w14:paraId="2C6C41B3">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 xml:space="preserve">开户银行：工行高新支行 </w:t>
            </w:r>
          </w:p>
        </w:tc>
        <w:tc>
          <w:tcPr>
            <w:tcW w:w="4176" w:type="dxa"/>
            <w:vAlign w:val="center"/>
          </w:tcPr>
          <w:p w14:paraId="611F60BB">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开户银行：</w:t>
            </w:r>
            <w:r>
              <w:rPr>
                <w:rFonts w:hint="eastAsia" w:ascii="宋体" w:hAnsi="宋体"/>
                <w:color w:val="auto"/>
                <w:spacing w:val="-6"/>
                <w:sz w:val="21"/>
                <w:szCs w:val="21"/>
              </w:rPr>
              <w:tab/>
            </w:r>
          </w:p>
        </w:tc>
      </w:tr>
      <w:tr w14:paraId="4BD3E338">
        <w:tblPrEx>
          <w:tblCellMar>
            <w:top w:w="0" w:type="dxa"/>
            <w:left w:w="108" w:type="dxa"/>
            <w:bottom w:w="0" w:type="dxa"/>
            <w:right w:w="108" w:type="dxa"/>
          </w:tblCellMar>
        </w:tblPrEx>
        <w:trPr>
          <w:jc w:val="center"/>
        </w:trPr>
        <w:tc>
          <w:tcPr>
            <w:tcW w:w="5073" w:type="dxa"/>
            <w:vAlign w:val="center"/>
          </w:tcPr>
          <w:p w14:paraId="11D1CE12">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帐号：1202026209008806216</w:t>
            </w:r>
          </w:p>
        </w:tc>
        <w:tc>
          <w:tcPr>
            <w:tcW w:w="4176" w:type="dxa"/>
            <w:vAlign w:val="center"/>
          </w:tcPr>
          <w:p w14:paraId="537E0EFB">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帐号：</w:t>
            </w:r>
          </w:p>
        </w:tc>
      </w:tr>
      <w:tr w14:paraId="4CFAD36F">
        <w:tblPrEx>
          <w:tblCellMar>
            <w:top w:w="0" w:type="dxa"/>
            <w:left w:w="108" w:type="dxa"/>
            <w:bottom w:w="0" w:type="dxa"/>
            <w:right w:w="108" w:type="dxa"/>
          </w:tblCellMar>
        </w:tblPrEx>
        <w:trPr>
          <w:jc w:val="center"/>
        </w:trPr>
        <w:tc>
          <w:tcPr>
            <w:tcW w:w="5073" w:type="dxa"/>
            <w:vAlign w:val="center"/>
          </w:tcPr>
          <w:p w14:paraId="32E65D36">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c>
          <w:tcPr>
            <w:tcW w:w="4176" w:type="dxa"/>
            <w:vAlign w:val="center"/>
          </w:tcPr>
          <w:p w14:paraId="1E1B9E61">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0"/>
              <w:rPr>
                <w:rFonts w:ascii="宋体" w:hAnsi="宋体"/>
                <w:color w:val="auto"/>
                <w:spacing w:val="-6"/>
                <w:sz w:val="21"/>
                <w:szCs w:val="21"/>
              </w:rPr>
            </w:pPr>
            <w:r>
              <w:rPr>
                <w:rFonts w:hint="eastAsia" w:ascii="宋体" w:hAnsi="宋体"/>
                <w:color w:val="auto"/>
                <w:spacing w:val="-6"/>
                <w:sz w:val="21"/>
                <w:szCs w:val="21"/>
              </w:rPr>
              <w:t>签字日期：      年    月    日</w:t>
            </w:r>
          </w:p>
        </w:tc>
      </w:tr>
    </w:tbl>
    <w:p w14:paraId="78CFECA8">
      <w:pPr>
        <w:outlineLvl w:val="0"/>
        <w:rPr>
          <w:color w:val="auto"/>
        </w:rPr>
      </w:pPr>
    </w:p>
    <w:p w14:paraId="49998E1C">
      <w:pPr>
        <w:outlineLvl w:val="0"/>
        <w:rPr>
          <w:rStyle w:val="55"/>
          <w:rFonts w:hint="eastAsia"/>
          <w:color w:val="auto"/>
        </w:rPr>
      </w:pPr>
      <w:r>
        <w:rPr>
          <w:rStyle w:val="55"/>
          <w:rFonts w:hint="eastAsia"/>
          <w:color w:val="auto"/>
        </w:rPr>
        <w:br w:type="page"/>
      </w:r>
    </w:p>
    <w:p w14:paraId="076FF500">
      <w:pPr>
        <w:snapToGrid w:val="0"/>
        <w:spacing w:before="240" w:beforeLines="100" w:after="240" w:afterLines="100"/>
        <w:jc w:val="center"/>
        <w:outlineLvl w:val="0"/>
        <w:rPr>
          <w:rStyle w:val="55"/>
          <w:color w:val="auto"/>
        </w:rPr>
      </w:pPr>
      <w:bookmarkStart w:id="466" w:name="_Toc30799_WPSOffice_Level1"/>
      <w:r>
        <w:rPr>
          <w:rStyle w:val="55"/>
          <w:rFonts w:hint="eastAsia"/>
          <w:color w:val="auto"/>
        </w:rPr>
        <w:t>第六部分</w:t>
      </w:r>
      <w:r>
        <w:rPr>
          <w:rStyle w:val="55"/>
          <w:color w:val="auto"/>
        </w:rPr>
        <w:t xml:space="preserve"> </w:t>
      </w:r>
      <w:r>
        <w:rPr>
          <w:rStyle w:val="55"/>
          <w:rFonts w:hint="eastAsia"/>
          <w:color w:val="auto"/>
        </w:rPr>
        <w:t>响应文件格式</w:t>
      </w:r>
      <w:bookmarkEnd w:id="466"/>
    </w:p>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14:paraId="1433B09C">
      <w:pPr>
        <w:adjustRightInd w:val="0"/>
        <w:snapToGrid w:val="0"/>
        <w:spacing w:line="288" w:lineRule="auto"/>
        <w:jc w:val="center"/>
        <w:outlineLvl w:val="0"/>
        <w:rPr>
          <w:b/>
          <w:bCs/>
          <w:color w:val="auto"/>
          <w:sz w:val="24"/>
          <w:szCs w:val="24"/>
        </w:rPr>
      </w:pPr>
      <w:bookmarkStart w:id="467" w:name="_Toc30720_WPSOffice_Level1"/>
      <w:bookmarkStart w:id="468" w:name="_Toc24168"/>
      <w:bookmarkStart w:id="469" w:name="_Toc7710"/>
      <w:bookmarkStart w:id="470" w:name="_Toc32223"/>
      <w:bookmarkStart w:id="471" w:name="_Toc3964"/>
      <w:bookmarkStart w:id="472" w:name="_Toc9502"/>
      <w:bookmarkStart w:id="473" w:name="_Toc14202"/>
      <w:bookmarkStart w:id="474" w:name="_Toc22675"/>
      <w:bookmarkStart w:id="475" w:name="_Toc26648"/>
      <w:bookmarkStart w:id="476" w:name="_Toc9623"/>
      <w:bookmarkStart w:id="477" w:name="_Toc27551"/>
      <w:bookmarkStart w:id="478" w:name="_Toc14400"/>
      <w:bookmarkStart w:id="479" w:name="_Toc6868"/>
      <w:bookmarkStart w:id="480" w:name="_Toc7409"/>
      <w:bookmarkStart w:id="481" w:name="_Toc32288"/>
      <w:bookmarkStart w:id="482" w:name="_Toc7013"/>
      <w:bookmarkStart w:id="483" w:name="_Toc17119"/>
      <w:bookmarkStart w:id="484" w:name="_Toc23756"/>
      <w:bookmarkStart w:id="485" w:name="_Toc20870"/>
      <w:bookmarkStart w:id="486" w:name="_Toc32185"/>
      <w:bookmarkStart w:id="487" w:name="_Toc20738"/>
      <w:bookmarkStart w:id="488" w:name="_Toc28613"/>
      <w:bookmarkStart w:id="489" w:name="_Toc11204"/>
      <w:bookmarkStart w:id="490" w:name="_Toc32522"/>
      <w:bookmarkStart w:id="491" w:name="_Toc706"/>
      <w:bookmarkStart w:id="492" w:name="_Toc31085"/>
      <w:bookmarkStart w:id="493" w:name="_Toc20766"/>
      <w:bookmarkStart w:id="494" w:name="_Toc13819"/>
      <w:bookmarkStart w:id="495" w:name="_Toc19286"/>
      <w:bookmarkStart w:id="496" w:name="_Toc4274"/>
      <w:bookmarkStart w:id="497" w:name="_Toc2326"/>
      <w:bookmarkStart w:id="498" w:name="_Toc9636"/>
      <w:bookmarkStart w:id="499" w:name="_Toc4610"/>
      <w:bookmarkStart w:id="500" w:name="_Toc19804"/>
      <w:bookmarkStart w:id="501" w:name="_Toc25819"/>
      <w:bookmarkStart w:id="502" w:name="_Toc27063"/>
      <w:bookmarkStart w:id="503" w:name="_Toc2886"/>
      <w:bookmarkStart w:id="504" w:name="_Toc28159"/>
      <w:bookmarkStart w:id="505" w:name="_Toc8070"/>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67"/>
    </w:p>
    <w:p w14:paraId="7E71067A">
      <w:pPr>
        <w:adjustRightInd w:val="0"/>
        <w:snapToGrid w:val="0"/>
        <w:spacing w:line="288" w:lineRule="auto"/>
        <w:rPr>
          <w:color w:val="auto"/>
          <w:sz w:val="24"/>
          <w:szCs w:val="24"/>
        </w:rPr>
      </w:pPr>
    </w:p>
    <w:p w14:paraId="7111CCFF">
      <w:pPr>
        <w:adjustRightInd w:val="0"/>
        <w:snapToGrid w:val="0"/>
        <w:spacing w:line="288" w:lineRule="auto"/>
        <w:ind w:firstLine="482" w:firstLineChars="200"/>
        <w:outlineLvl w:val="0"/>
        <w:rPr>
          <w:b/>
          <w:bCs/>
          <w:color w:val="auto"/>
          <w:sz w:val="24"/>
          <w:szCs w:val="24"/>
        </w:rPr>
      </w:pPr>
      <w:bookmarkStart w:id="506" w:name="_Toc4688_WPSOffice_Level1"/>
      <w:bookmarkStart w:id="507" w:name="_Hlk71884160"/>
      <w:r>
        <w:rPr>
          <w:rFonts w:hint="eastAsia"/>
          <w:b/>
          <w:bCs/>
          <w:color w:val="auto"/>
          <w:sz w:val="24"/>
          <w:szCs w:val="24"/>
        </w:rPr>
        <w:t>1.资格文件</w:t>
      </w:r>
      <w:bookmarkEnd w:id="506"/>
    </w:p>
    <w:p w14:paraId="47069B76">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07"/>
    <w:p w14:paraId="4BEC8862">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45733A40">
      <w:pPr>
        <w:adjustRightInd w:val="0"/>
        <w:snapToGrid w:val="0"/>
        <w:spacing w:line="288" w:lineRule="auto"/>
        <w:ind w:firstLine="480" w:firstLineChars="200"/>
        <w:outlineLvl w:val="1"/>
        <w:rPr>
          <w:color w:val="auto"/>
          <w:sz w:val="24"/>
          <w:szCs w:val="24"/>
        </w:rPr>
      </w:pPr>
      <w:bookmarkStart w:id="508"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bookmarkEnd w:id="508"/>
    <w:p w14:paraId="712BB619">
      <w:pPr>
        <w:adjustRightInd w:val="0"/>
        <w:snapToGrid w:val="0"/>
        <w:spacing w:line="288" w:lineRule="auto"/>
        <w:ind w:firstLine="482" w:firstLineChars="200"/>
        <w:outlineLvl w:val="0"/>
        <w:rPr>
          <w:b/>
          <w:bCs/>
          <w:color w:val="auto"/>
          <w:sz w:val="24"/>
          <w:szCs w:val="24"/>
        </w:rPr>
      </w:pPr>
      <w:bookmarkStart w:id="509" w:name="_Toc10533_WPSOffice_Level1"/>
      <w:r>
        <w:rPr>
          <w:rFonts w:hint="eastAsia"/>
          <w:b/>
          <w:bCs/>
          <w:color w:val="auto"/>
          <w:sz w:val="24"/>
          <w:szCs w:val="24"/>
        </w:rPr>
        <w:t>2.报价文件</w:t>
      </w:r>
      <w:bookmarkEnd w:id="509"/>
    </w:p>
    <w:p w14:paraId="60AC64A7">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3391B6F6">
      <w:pPr>
        <w:adjustRightInd w:val="0"/>
        <w:snapToGrid w:val="0"/>
        <w:spacing w:line="288" w:lineRule="auto"/>
        <w:ind w:firstLine="480" w:firstLineChars="200"/>
        <w:outlineLvl w:val="1"/>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16B543B0">
      <w:pPr>
        <w:adjustRightInd w:val="0"/>
        <w:snapToGrid w:val="0"/>
        <w:spacing w:line="288" w:lineRule="auto"/>
        <w:ind w:firstLine="480" w:firstLineChars="200"/>
        <w:outlineLvl w:val="1"/>
        <w:rPr>
          <w:color w:val="auto"/>
          <w:sz w:val="24"/>
          <w:szCs w:val="24"/>
        </w:rPr>
      </w:pPr>
      <w:bookmarkStart w:id="510"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5165B056">
      <w:pPr>
        <w:adjustRightInd w:val="0"/>
        <w:snapToGrid w:val="0"/>
        <w:spacing w:line="288" w:lineRule="auto"/>
        <w:ind w:firstLine="480" w:firstLineChars="200"/>
        <w:outlineLvl w:val="1"/>
        <w:rPr>
          <w:color w:val="auto"/>
          <w:sz w:val="24"/>
          <w:szCs w:val="24"/>
        </w:rPr>
      </w:pPr>
      <w:bookmarkStart w:id="511" w:name="OLE_LINK13"/>
      <w:bookmarkStart w:id="512" w:name="OLE_LINK14"/>
      <w:r>
        <w:rPr>
          <w:rFonts w:hint="eastAsia"/>
          <w:color w:val="auto"/>
          <w:sz w:val="24"/>
          <w:szCs w:val="24"/>
        </w:rPr>
        <w:t>（</w:t>
      </w:r>
      <w:r>
        <w:rPr>
          <w:color w:val="auto"/>
          <w:sz w:val="24"/>
          <w:szCs w:val="24"/>
        </w:rPr>
        <w:t>4</w:t>
      </w:r>
      <w:r>
        <w:rPr>
          <w:rFonts w:hint="eastAsia"/>
          <w:color w:val="auto"/>
          <w:sz w:val="24"/>
          <w:szCs w:val="24"/>
        </w:rPr>
        <w:t>）残疾人福利性单位声明函</w:t>
      </w:r>
      <w:bookmarkEnd w:id="511"/>
      <w:bookmarkEnd w:id="512"/>
      <w:r>
        <w:rPr>
          <w:rFonts w:hint="eastAsia"/>
          <w:color w:val="auto"/>
          <w:sz w:val="24"/>
          <w:szCs w:val="24"/>
        </w:rPr>
        <w:t>（若属于残疾人福利性单位）</w:t>
      </w:r>
    </w:p>
    <w:bookmarkEnd w:id="510"/>
    <w:p w14:paraId="45FEC37B">
      <w:pPr>
        <w:adjustRightInd w:val="0"/>
        <w:snapToGrid w:val="0"/>
        <w:spacing w:line="288" w:lineRule="auto"/>
        <w:ind w:firstLine="482" w:firstLineChars="200"/>
        <w:outlineLvl w:val="0"/>
        <w:rPr>
          <w:b/>
          <w:bCs/>
          <w:color w:val="auto"/>
          <w:sz w:val="24"/>
          <w:szCs w:val="24"/>
        </w:rPr>
      </w:pPr>
      <w:bookmarkStart w:id="513" w:name="_Toc23946_WPSOffice_Level1"/>
      <w:r>
        <w:rPr>
          <w:rFonts w:hint="eastAsia"/>
          <w:b/>
          <w:bCs/>
          <w:color w:val="auto"/>
          <w:sz w:val="24"/>
          <w:szCs w:val="24"/>
        </w:rPr>
        <w:t>3.商务和技术文件</w:t>
      </w:r>
      <w:bookmarkEnd w:id="513"/>
    </w:p>
    <w:p w14:paraId="16469B2D">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5D6692BF">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2B96FC97">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lang w:eastAsia="zh-CN"/>
        </w:rPr>
        <w:t>2026年1月</w:t>
      </w:r>
      <w:r>
        <w:rPr>
          <w:rFonts w:hint="eastAsia"/>
          <w:color w:val="auto"/>
          <w:sz w:val="24"/>
          <w:szCs w:val="24"/>
        </w:rPr>
        <w:t>（含）以后任意一月供应商授权代表社保缴纳证明（非法定代表人参加时提供）</w:t>
      </w:r>
    </w:p>
    <w:p w14:paraId="144245B4">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14:paraId="4758C9C4">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14:paraId="0AA0CE7C">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62D3F56B">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14" w:name="_Hlk71884196"/>
      <w:r>
        <w:rPr>
          <w:rFonts w:hint="eastAsia"/>
          <w:color w:val="auto"/>
          <w:sz w:val="24"/>
          <w:szCs w:val="24"/>
        </w:rPr>
        <w:t>详细技术和服务方案</w:t>
      </w:r>
    </w:p>
    <w:p w14:paraId="76D0F98F">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33C5D6F8">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14"/>
    <w:p w14:paraId="71229CAB">
      <w:pPr>
        <w:adjustRightInd w:val="0"/>
        <w:snapToGrid w:val="0"/>
        <w:spacing w:line="288" w:lineRule="auto"/>
        <w:ind w:firstLine="482" w:firstLineChars="200"/>
        <w:outlineLvl w:val="0"/>
        <w:rPr>
          <w:b/>
          <w:bCs/>
          <w:color w:val="auto"/>
          <w:sz w:val="24"/>
          <w:szCs w:val="24"/>
        </w:rPr>
      </w:pPr>
      <w:bookmarkStart w:id="515" w:name="_Toc5926_WPSOffice_Level1"/>
      <w:r>
        <w:rPr>
          <w:rFonts w:hint="eastAsia"/>
          <w:b/>
          <w:bCs/>
          <w:color w:val="auto"/>
          <w:sz w:val="24"/>
          <w:szCs w:val="24"/>
        </w:rPr>
        <w:t>4.评分标准索引表</w:t>
      </w:r>
      <w:bookmarkEnd w:id="515"/>
      <w:r>
        <w:rPr>
          <w:rFonts w:hint="eastAsia"/>
          <w:b/>
          <w:bCs/>
          <w:color w:val="auto"/>
          <w:sz w:val="24"/>
          <w:szCs w:val="24"/>
        </w:rPr>
        <w:br w:type="page"/>
      </w:r>
    </w:p>
    <w:p w14:paraId="6C91CA6D">
      <w:pPr>
        <w:adjustRightInd w:val="0"/>
        <w:snapToGrid w:val="0"/>
        <w:spacing w:line="288" w:lineRule="auto"/>
        <w:jc w:val="center"/>
        <w:outlineLvl w:val="0"/>
        <w:rPr>
          <w:b/>
          <w:bCs/>
          <w:color w:val="auto"/>
          <w:sz w:val="84"/>
          <w:szCs w:val="84"/>
        </w:rPr>
      </w:pPr>
      <w:bookmarkStart w:id="516" w:name="_Toc24992_WPSOffice_Level1"/>
      <w:r>
        <w:rPr>
          <w:rFonts w:hint="eastAsia"/>
          <w:b/>
          <w:bCs/>
          <w:color w:val="auto"/>
          <w:sz w:val="84"/>
          <w:szCs w:val="84"/>
        </w:rPr>
        <w:t>资格文件</w:t>
      </w:r>
      <w:bookmarkEnd w:id="516"/>
    </w:p>
    <w:p w14:paraId="41BB74AE">
      <w:pPr>
        <w:adjustRightInd w:val="0"/>
        <w:snapToGrid w:val="0"/>
        <w:spacing w:line="288" w:lineRule="auto"/>
        <w:jc w:val="center"/>
        <w:outlineLvl w:val="0"/>
        <w:rPr>
          <w:b/>
          <w:bCs/>
          <w:color w:val="auto"/>
          <w:sz w:val="24"/>
          <w:szCs w:val="24"/>
        </w:rPr>
      </w:pPr>
      <w:bookmarkStart w:id="517" w:name="_Toc26934_WPSOffice_Level1"/>
      <w:bookmarkStart w:id="518" w:name="_Hlk94097338"/>
      <w:r>
        <w:rPr>
          <w:rFonts w:hint="eastAsia"/>
          <w:b/>
          <w:bCs/>
          <w:color w:val="auto"/>
          <w:sz w:val="24"/>
          <w:szCs w:val="24"/>
        </w:rPr>
        <w:t>资格审查要求的资格证明材料(均需加盖公章)</w:t>
      </w:r>
      <w:bookmarkEnd w:id="517"/>
      <w:bookmarkEnd w:id="518"/>
    </w:p>
    <w:p w14:paraId="75D4A6AB">
      <w:pPr>
        <w:pStyle w:val="22"/>
        <w:ind w:firstLine="480"/>
        <w:rPr>
          <w:color w:val="auto"/>
          <w:sz w:val="24"/>
        </w:rPr>
      </w:pPr>
    </w:p>
    <w:p w14:paraId="66D2A556">
      <w:pPr>
        <w:adjustRightInd w:val="0"/>
        <w:snapToGrid w:val="0"/>
        <w:spacing w:line="288" w:lineRule="auto"/>
        <w:jc w:val="left"/>
        <w:outlineLvl w:val="9"/>
        <w:rPr>
          <w:b/>
          <w:bCs/>
          <w:color w:val="auto"/>
          <w:sz w:val="24"/>
          <w:szCs w:val="24"/>
        </w:rPr>
      </w:pPr>
    </w:p>
    <w:p w14:paraId="4A2F276A">
      <w:pPr>
        <w:adjustRightInd w:val="0"/>
        <w:snapToGrid w:val="0"/>
        <w:spacing w:line="288" w:lineRule="auto"/>
        <w:jc w:val="left"/>
        <w:outlineLvl w:val="9"/>
        <w:rPr>
          <w:b/>
          <w:bCs/>
          <w:color w:val="auto"/>
          <w:sz w:val="24"/>
          <w:szCs w:val="24"/>
        </w:rPr>
      </w:pPr>
    </w:p>
    <w:p w14:paraId="1016E528">
      <w:pPr>
        <w:adjustRightInd w:val="0"/>
        <w:snapToGrid w:val="0"/>
        <w:spacing w:line="288" w:lineRule="auto"/>
        <w:jc w:val="left"/>
        <w:outlineLvl w:val="9"/>
        <w:rPr>
          <w:b/>
          <w:bCs/>
          <w:color w:val="auto"/>
          <w:sz w:val="24"/>
          <w:szCs w:val="24"/>
        </w:rPr>
      </w:pPr>
    </w:p>
    <w:p w14:paraId="2EC20B47">
      <w:pPr>
        <w:adjustRightInd w:val="0"/>
        <w:snapToGrid w:val="0"/>
        <w:spacing w:line="288" w:lineRule="auto"/>
        <w:jc w:val="left"/>
        <w:outlineLvl w:val="9"/>
        <w:rPr>
          <w:b/>
          <w:bCs/>
          <w:color w:val="auto"/>
          <w:sz w:val="24"/>
          <w:szCs w:val="24"/>
        </w:rPr>
      </w:pPr>
    </w:p>
    <w:p w14:paraId="0C747430">
      <w:pPr>
        <w:pStyle w:val="4"/>
        <w:ind w:left="0" w:firstLine="0"/>
        <w:outlineLvl w:val="0"/>
        <w:rPr>
          <w:color w:val="auto"/>
        </w:rPr>
      </w:pPr>
      <w:bookmarkStart w:id="519" w:name="_Toc30357_WPSOffice_Level1"/>
      <w:r>
        <w:rPr>
          <w:rFonts w:hint="eastAsia"/>
          <w:color w:val="auto"/>
        </w:rPr>
        <w:t>1）有效的法人或者其他组织的营业执照等证明文件，自然人的身份证明</w:t>
      </w:r>
      <w:bookmarkEnd w:id="519"/>
    </w:p>
    <w:p w14:paraId="549C7C60">
      <w:pPr>
        <w:adjustRightInd w:val="0"/>
        <w:snapToGrid w:val="0"/>
        <w:spacing w:line="288" w:lineRule="auto"/>
        <w:rPr>
          <w:b/>
          <w:bCs/>
          <w:color w:val="auto"/>
          <w:sz w:val="24"/>
          <w:szCs w:val="24"/>
        </w:rPr>
      </w:pPr>
      <w:r>
        <w:rPr>
          <w:rFonts w:hint="eastAsia"/>
          <w:b/>
          <w:bCs/>
          <w:color w:val="auto"/>
          <w:sz w:val="24"/>
          <w:szCs w:val="24"/>
        </w:rPr>
        <w:t>说明：</w:t>
      </w:r>
    </w:p>
    <w:p w14:paraId="0AA362F3">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49D7AD15">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2CEEB679">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40EE8A6F">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2BA91AB8">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6C7D6E6E">
      <w:pPr>
        <w:adjustRightInd w:val="0"/>
        <w:snapToGrid w:val="0"/>
        <w:spacing w:line="288" w:lineRule="auto"/>
        <w:rPr>
          <w:color w:val="auto"/>
          <w:szCs w:val="21"/>
        </w:rPr>
      </w:pPr>
      <w:r>
        <w:rPr>
          <w:rFonts w:hint="eastAsia"/>
          <w:color w:val="auto"/>
          <w:szCs w:val="21"/>
        </w:rPr>
        <w:br w:type="page"/>
      </w:r>
    </w:p>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14:paraId="5E597C73">
      <w:pPr>
        <w:jc w:val="center"/>
        <w:rPr>
          <w:b/>
          <w:bCs/>
          <w:color w:val="auto"/>
          <w:sz w:val="32"/>
          <w:szCs w:val="32"/>
        </w:rPr>
      </w:pPr>
    </w:p>
    <w:p w14:paraId="227B075B">
      <w:pPr>
        <w:pStyle w:val="4"/>
        <w:ind w:left="0" w:firstLine="0"/>
        <w:outlineLvl w:val="0"/>
        <w:rPr>
          <w:color w:val="auto"/>
        </w:rPr>
      </w:pPr>
      <w:bookmarkStart w:id="520" w:name="_Toc5762_WPSOffice_Level1"/>
      <w:r>
        <w:rPr>
          <w:rFonts w:hint="eastAsia"/>
          <w:color w:val="auto"/>
        </w:rPr>
        <w:t>2）资格条件承诺函</w:t>
      </w:r>
      <w:bookmarkEnd w:id="520"/>
    </w:p>
    <w:p w14:paraId="5358C1FE">
      <w:pPr>
        <w:jc w:val="center"/>
        <w:outlineLvl w:val="1"/>
        <w:rPr>
          <w:b/>
          <w:bCs/>
          <w:color w:val="auto"/>
          <w:sz w:val="32"/>
          <w:szCs w:val="32"/>
        </w:rPr>
      </w:pPr>
      <w:r>
        <w:rPr>
          <w:rFonts w:hint="eastAsia"/>
          <w:b/>
          <w:bCs/>
          <w:color w:val="auto"/>
          <w:sz w:val="32"/>
          <w:szCs w:val="32"/>
        </w:rPr>
        <w:t>资格条件承诺函</w:t>
      </w:r>
    </w:p>
    <w:p w14:paraId="0098DE2E">
      <w:pPr>
        <w:snapToGrid w:val="0"/>
        <w:spacing w:line="360" w:lineRule="auto"/>
        <w:rPr>
          <w:color w:val="auto"/>
          <w:sz w:val="24"/>
        </w:rPr>
      </w:pPr>
    </w:p>
    <w:p w14:paraId="2AFE4C82">
      <w:pPr>
        <w:snapToGrid w:val="0"/>
        <w:spacing w:line="360" w:lineRule="auto"/>
        <w:rPr>
          <w:color w:val="auto"/>
          <w:sz w:val="24"/>
        </w:rPr>
      </w:pPr>
      <w:r>
        <w:rPr>
          <w:rFonts w:hint="eastAsia"/>
          <w:color w:val="auto"/>
          <w:sz w:val="24"/>
        </w:rPr>
        <w:t>杭州电子科技大学：</w:t>
      </w:r>
    </w:p>
    <w:p w14:paraId="7016D98D">
      <w:pPr>
        <w:snapToGrid w:val="0"/>
        <w:spacing w:line="360" w:lineRule="auto"/>
        <w:ind w:firstLine="480" w:firstLineChars="200"/>
        <w:rPr>
          <w:color w:val="auto"/>
          <w:sz w:val="24"/>
        </w:rPr>
      </w:pPr>
      <w:r>
        <w:rPr>
          <w:rFonts w:hint="eastAsia"/>
          <w:color w:val="auto"/>
          <w:sz w:val="24"/>
        </w:rPr>
        <w:t>我方（供应商）承诺：</w:t>
      </w:r>
    </w:p>
    <w:p w14:paraId="61A21792">
      <w:pPr>
        <w:snapToGrid w:val="0"/>
        <w:spacing w:line="360" w:lineRule="auto"/>
        <w:ind w:firstLine="480" w:firstLineChars="200"/>
        <w:rPr>
          <w:color w:val="auto"/>
          <w:sz w:val="24"/>
        </w:rPr>
      </w:pPr>
      <w:r>
        <w:rPr>
          <w:rFonts w:hint="eastAsia"/>
          <w:color w:val="auto"/>
          <w:sz w:val="24"/>
        </w:rPr>
        <w:t>1、具有良好的商业信誉和健全的财务会计制度；</w:t>
      </w:r>
    </w:p>
    <w:p w14:paraId="582F8672">
      <w:pPr>
        <w:snapToGrid w:val="0"/>
        <w:spacing w:line="360" w:lineRule="auto"/>
        <w:ind w:firstLine="480" w:firstLineChars="200"/>
        <w:rPr>
          <w:color w:val="auto"/>
          <w:sz w:val="24"/>
        </w:rPr>
      </w:pPr>
      <w:r>
        <w:rPr>
          <w:rFonts w:hint="eastAsia"/>
          <w:color w:val="auto"/>
          <w:sz w:val="24"/>
        </w:rPr>
        <w:t>2、具有履行合同所必需的设备和专业技术能力；</w:t>
      </w:r>
    </w:p>
    <w:p w14:paraId="210FCBA7">
      <w:pPr>
        <w:snapToGrid w:val="0"/>
        <w:spacing w:line="360" w:lineRule="auto"/>
        <w:ind w:firstLine="480" w:firstLineChars="200"/>
        <w:rPr>
          <w:color w:val="auto"/>
          <w:sz w:val="24"/>
        </w:rPr>
      </w:pPr>
      <w:r>
        <w:rPr>
          <w:rFonts w:hint="eastAsia"/>
          <w:color w:val="auto"/>
          <w:sz w:val="24"/>
        </w:rPr>
        <w:t>3、严格依法缴纳税收和社会保障资金；</w:t>
      </w:r>
    </w:p>
    <w:p w14:paraId="349B289F">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2816A58B">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76EF5079">
      <w:pPr>
        <w:snapToGrid w:val="0"/>
        <w:spacing w:line="360" w:lineRule="auto"/>
        <w:ind w:firstLine="480" w:firstLineChars="200"/>
        <w:rPr>
          <w:color w:val="auto"/>
          <w:sz w:val="24"/>
        </w:rPr>
      </w:pPr>
      <w:r>
        <w:rPr>
          <w:rFonts w:hint="eastAsia"/>
          <w:color w:val="auto"/>
          <w:sz w:val="24"/>
        </w:rPr>
        <w:t>6、不存在以下情况：</w:t>
      </w:r>
    </w:p>
    <w:p w14:paraId="4A162322">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42477742">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68D86E18">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6547C2DD">
      <w:pPr>
        <w:snapToGrid w:val="0"/>
        <w:spacing w:line="360" w:lineRule="auto"/>
        <w:ind w:firstLine="480" w:firstLineChars="200"/>
        <w:rPr>
          <w:color w:val="auto"/>
          <w:sz w:val="24"/>
        </w:rPr>
      </w:pPr>
      <w:r>
        <w:rPr>
          <w:rFonts w:hint="eastAsia"/>
          <w:color w:val="auto"/>
          <w:sz w:val="24"/>
        </w:rPr>
        <w:t> </w:t>
      </w:r>
    </w:p>
    <w:p w14:paraId="6FF4AAE4">
      <w:pPr>
        <w:snapToGrid w:val="0"/>
        <w:spacing w:line="360" w:lineRule="auto"/>
        <w:ind w:firstLine="480" w:firstLineChars="200"/>
        <w:rPr>
          <w:color w:val="auto"/>
          <w:sz w:val="24"/>
        </w:rPr>
      </w:pPr>
      <w:r>
        <w:rPr>
          <w:rFonts w:hint="eastAsia"/>
          <w:color w:val="auto"/>
          <w:sz w:val="24"/>
        </w:rPr>
        <w:t>特此承诺！</w:t>
      </w:r>
    </w:p>
    <w:p w14:paraId="2FC6FD2C">
      <w:pPr>
        <w:pStyle w:val="6"/>
        <w:rPr>
          <w:color w:val="auto"/>
          <w:sz w:val="24"/>
        </w:rPr>
      </w:pPr>
    </w:p>
    <w:p w14:paraId="0A3204A1">
      <w:pPr>
        <w:rPr>
          <w:color w:val="auto"/>
          <w:sz w:val="24"/>
        </w:rPr>
      </w:pPr>
    </w:p>
    <w:p w14:paraId="729A8993">
      <w:pPr>
        <w:pStyle w:val="6"/>
        <w:rPr>
          <w:color w:val="auto"/>
        </w:rPr>
      </w:pPr>
    </w:p>
    <w:p w14:paraId="2C5CEE1E">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28C2F48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8284CDA">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042F5973">
      <w:pPr>
        <w:adjustRightInd w:val="0"/>
        <w:snapToGrid w:val="0"/>
        <w:spacing w:line="288" w:lineRule="auto"/>
        <w:ind w:firstLine="480" w:firstLineChars="200"/>
        <w:rPr>
          <w:color w:val="auto"/>
          <w:sz w:val="24"/>
          <w:szCs w:val="24"/>
        </w:rPr>
      </w:pPr>
    </w:p>
    <w:p w14:paraId="5826A212">
      <w:pPr>
        <w:adjustRightInd w:val="0"/>
        <w:snapToGrid w:val="0"/>
        <w:spacing w:line="288" w:lineRule="auto"/>
        <w:ind w:firstLine="480" w:firstLineChars="200"/>
        <w:rPr>
          <w:color w:val="auto"/>
          <w:sz w:val="24"/>
          <w:szCs w:val="24"/>
        </w:rPr>
      </w:pPr>
    </w:p>
    <w:p w14:paraId="0AFC054E">
      <w:pPr>
        <w:adjustRightInd w:val="0"/>
        <w:snapToGrid w:val="0"/>
        <w:spacing w:line="288" w:lineRule="auto"/>
        <w:jc w:val="center"/>
        <w:outlineLvl w:val="0"/>
        <w:rPr>
          <w:b/>
          <w:bCs/>
          <w:color w:val="auto"/>
          <w:sz w:val="84"/>
          <w:szCs w:val="84"/>
        </w:rPr>
      </w:pPr>
      <w:bookmarkStart w:id="521" w:name="_Toc337_WPSOffice_Level1"/>
      <w:r>
        <w:rPr>
          <w:rFonts w:hint="eastAsia"/>
          <w:b/>
          <w:bCs/>
          <w:color w:val="auto"/>
          <w:sz w:val="84"/>
          <w:szCs w:val="84"/>
        </w:rPr>
        <w:t>报价文件</w:t>
      </w:r>
      <w:bookmarkEnd w:id="521"/>
    </w:p>
    <w:p w14:paraId="3FCC77C6">
      <w:pPr>
        <w:pStyle w:val="4"/>
        <w:ind w:left="0" w:firstLine="0"/>
        <w:outlineLvl w:val="0"/>
        <w:rPr>
          <w:color w:val="auto"/>
        </w:rPr>
      </w:pPr>
      <w:bookmarkStart w:id="522" w:name="_Toc14612_WPSOffice_Level1"/>
      <w:bookmarkStart w:id="523" w:name="_Toc24403"/>
      <w:bookmarkStart w:id="524" w:name="_Toc3471"/>
      <w:bookmarkStart w:id="525" w:name="_Toc25012"/>
      <w:bookmarkStart w:id="526" w:name="_Toc13470"/>
      <w:bookmarkStart w:id="527" w:name="_Toc19949"/>
      <w:bookmarkStart w:id="528" w:name="_Toc23539"/>
      <w:bookmarkStart w:id="529" w:name="_Toc20907"/>
      <w:bookmarkStart w:id="530" w:name="_Toc23089"/>
      <w:bookmarkStart w:id="531" w:name="_Toc4455"/>
      <w:bookmarkStart w:id="532" w:name="_Toc25418"/>
      <w:bookmarkStart w:id="533" w:name="_Toc19897"/>
      <w:bookmarkStart w:id="534" w:name="_Toc22542"/>
      <w:bookmarkStart w:id="535" w:name="_Toc10749"/>
      <w:bookmarkStart w:id="536" w:name="_Toc27484"/>
      <w:bookmarkStart w:id="537" w:name="_Toc16624"/>
      <w:bookmarkStart w:id="538" w:name="_Toc28695"/>
      <w:bookmarkStart w:id="539" w:name="_Toc11579"/>
      <w:bookmarkStart w:id="540" w:name="_Toc32416"/>
      <w:bookmarkStart w:id="541" w:name="_Toc14637"/>
      <w:bookmarkStart w:id="542" w:name="_Toc25971"/>
      <w:bookmarkStart w:id="543" w:name="_Toc18705"/>
      <w:bookmarkStart w:id="544" w:name="_Toc15307"/>
      <w:bookmarkStart w:id="545" w:name="_Toc14186"/>
      <w:bookmarkStart w:id="546" w:name="_Toc24738"/>
      <w:bookmarkStart w:id="547" w:name="_Toc28619"/>
      <w:bookmarkStart w:id="548" w:name="_Toc6771"/>
      <w:bookmarkStart w:id="549" w:name="_Toc19268"/>
      <w:bookmarkStart w:id="550" w:name="_Toc23410"/>
      <w:bookmarkStart w:id="551" w:name="_Toc13060"/>
      <w:bookmarkStart w:id="552" w:name="_Toc25718"/>
      <w:bookmarkStart w:id="553" w:name="_Toc24678"/>
      <w:bookmarkStart w:id="554" w:name="_Toc2198"/>
      <w:bookmarkStart w:id="555" w:name="_Toc16736"/>
      <w:bookmarkStart w:id="556" w:name="_Toc5206"/>
      <w:bookmarkStart w:id="557" w:name="_Toc12332"/>
      <w:r>
        <w:rPr>
          <w:rFonts w:hint="eastAsia"/>
          <w:color w:val="auto"/>
        </w:rPr>
        <w:t>（1）初次报价一览表</w:t>
      </w:r>
      <w:bookmarkEnd w:id="522"/>
    </w:p>
    <w:p w14:paraId="04CDAB20">
      <w:pPr>
        <w:pStyle w:val="4"/>
        <w:tabs>
          <w:tab w:val="left" w:pos="0"/>
          <w:tab w:val="clear" w:pos="1275"/>
        </w:tabs>
        <w:ind w:left="15" w:hanging="15"/>
        <w:outlineLvl w:val="9"/>
        <w:rPr>
          <w:rFonts w:ascii="黑体" w:hAnsi="黑体" w:eastAsia="黑体" w:cs="黑体"/>
          <w:color w:val="auto"/>
          <w:szCs w:val="28"/>
        </w:rPr>
      </w:pPr>
    </w:p>
    <w:p w14:paraId="54A305A7">
      <w:pPr>
        <w:jc w:val="center"/>
        <w:outlineLvl w:val="1"/>
        <w:rPr>
          <w:b/>
          <w:bCs/>
          <w:color w:val="auto"/>
          <w:sz w:val="32"/>
          <w:szCs w:val="32"/>
        </w:rPr>
      </w:pPr>
      <w:r>
        <w:rPr>
          <w:rFonts w:hint="eastAsia"/>
          <w:b/>
          <w:bCs/>
          <w:color w:val="auto"/>
          <w:sz w:val="32"/>
          <w:szCs w:val="32"/>
        </w:rPr>
        <w:t>初次报价一览表</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3A4ED570">
      <w:pPr>
        <w:spacing w:line="460" w:lineRule="exact"/>
        <w:rPr>
          <w:color w:val="auto"/>
          <w:sz w:val="24"/>
        </w:rPr>
      </w:pPr>
      <w:r>
        <w:rPr>
          <w:rFonts w:hint="eastAsia"/>
          <w:color w:val="auto"/>
          <w:sz w:val="24"/>
        </w:rPr>
        <w:t>项目名称：</w:t>
      </w:r>
    </w:p>
    <w:p w14:paraId="64D0160A">
      <w:pPr>
        <w:spacing w:line="460" w:lineRule="exact"/>
        <w:rPr>
          <w:color w:val="auto"/>
          <w:sz w:val="24"/>
        </w:rPr>
      </w:pPr>
      <w:r>
        <w:rPr>
          <w:rFonts w:hint="eastAsia"/>
          <w:color w:val="auto"/>
          <w:sz w:val="24"/>
        </w:rPr>
        <w:t>项目编号：</w:t>
      </w:r>
    </w:p>
    <w:p w14:paraId="2311E6FF">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1459FF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50A4C3C4">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2F9C03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7F63BC8F">
            <w:pPr>
              <w:spacing w:line="360" w:lineRule="auto"/>
              <w:rPr>
                <w:rFonts w:ascii="宋体" w:hAnsi="宋体"/>
                <w:b/>
                <w:color w:val="auto"/>
                <w:spacing w:val="-6"/>
                <w:sz w:val="24"/>
              </w:rPr>
            </w:pPr>
          </w:p>
          <w:p w14:paraId="033211BE">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6B3BF3E8">
            <w:pPr>
              <w:spacing w:line="360" w:lineRule="auto"/>
              <w:rPr>
                <w:rFonts w:ascii="宋体" w:hAnsi="宋体"/>
                <w:color w:val="auto"/>
                <w:spacing w:val="-6"/>
                <w:sz w:val="24"/>
                <w:u w:val="single"/>
              </w:rPr>
            </w:pPr>
          </w:p>
          <w:p w14:paraId="099FBAF1">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2E1E0E37">
      <w:pPr>
        <w:pStyle w:val="42"/>
        <w:snapToGrid w:val="0"/>
        <w:spacing w:line="400" w:lineRule="exact"/>
        <w:rPr>
          <w:color w:val="auto"/>
          <w:szCs w:val="24"/>
        </w:rPr>
      </w:pPr>
      <w:r>
        <w:rPr>
          <w:rFonts w:hint="eastAsia"/>
          <w:color w:val="auto"/>
          <w:szCs w:val="24"/>
        </w:rPr>
        <w:t>注：本报价中应包含乙方完成本项目所需的一切费用，包括但不限于其他技术服务费、培训费、保修保换费、保险费、税费等。</w:t>
      </w:r>
    </w:p>
    <w:p w14:paraId="408C244E">
      <w:pPr>
        <w:pStyle w:val="42"/>
        <w:snapToGrid w:val="0"/>
        <w:spacing w:line="400" w:lineRule="exact"/>
        <w:rPr>
          <w:color w:val="auto"/>
          <w:szCs w:val="24"/>
        </w:rPr>
      </w:pPr>
      <w:r>
        <w:rPr>
          <w:rFonts w:hint="eastAsia"/>
          <w:color w:val="auto"/>
          <w:szCs w:val="24"/>
        </w:rPr>
        <w:t>货币单位：元（人民币）</w:t>
      </w:r>
    </w:p>
    <w:p w14:paraId="3B67641B">
      <w:pPr>
        <w:spacing w:line="360" w:lineRule="auto"/>
        <w:ind w:right="-21" w:rightChars="-10"/>
        <w:rPr>
          <w:color w:val="auto"/>
          <w:sz w:val="24"/>
        </w:rPr>
      </w:pPr>
    </w:p>
    <w:p w14:paraId="4F515B5D">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5D04E1DA">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69FA883">
      <w:pPr>
        <w:spacing w:before="240" w:beforeLines="100" w:after="240" w:afterLines="100"/>
        <w:jc w:val="left"/>
        <w:rPr>
          <w:color w:val="auto"/>
          <w:sz w:val="24"/>
          <w:szCs w:val="24"/>
        </w:rPr>
      </w:pPr>
      <w:r>
        <w:rPr>
          <w:rFonts w:hint="eastAsia" w:ascii="宋体" w:hAnsi="宋体" w:cs="宋体"/>
          <w:color w:val="auto"/>
          <w:sz w:val="24"/>
        </w:rPr>
        <w:t>日期：      年   月   日</w:t>
      </w:r>
    </w:p>
    <w:p w14:paraId="6CC6B1C2">
      <w:pPr>
        <w:spacing w:line="360" w:lineRule="auto"/>
        <w:ind w:right="-21" w:rightChars="-10"/>
        <w:rPr>
          <w:color w:val="auto"/>
          <w:sz w:val="24"/>
        </w:rPr>
      </w:pPr>
    </w:p>
    <w:p w14:paraId="35832A44">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50"/>
    <w:bookmarkEnd w:id="551"/>
    <w:bookmarkEnd w:id="552"/>
    <w:bookmarkEnd w:id="553"/>
    <w:bookmarkEnd w:id="554"/>
    <w:bookmarkEnd w:id="555"/>
    <w:bookmarkEnd w:id="556"/>
    <w:bookmarkEnd w:id="557"/>
    <w:p w14:paraId="7E86E196">
      <w:pPr>
        <w:pStyle w:val="4"/>
        <w:ind w:left="0" w:firstLine="0"/>
        <w:outlineLvl w:val="0"/>
        <w:rPr>
          <w:color w:val="auto"/>
        </w:rPr>
      </w:pPr>
      <w:bookmarkStart w:id="558" w:name="_Toc24936_WPSOffice_Level1"/>
      <w:bookmarkStart w:id="559" w:name="OLE_LINK4"/>
      <w:r>
        <w:rPr>
          <w:rFonts w:hint="eastAsia"/>
          <w:color w:val="auto"/>
        </w:rPr>
        <w:t>（2）中小企业声明函</w:t>
      </w:r>
      <w:r>
        <w:rPr>
          <w:rFonts w:hint="eastAsia"/>
          <w:color w:val="auto"/>
        </w:rPr>
        <w:t>（若属于中小企业）</w:t>
      </w:r>
      <w:bookmarkEnd w:id="558"/>
    </w:p>
    <w:p w14:paraId="3BD5EBAD">
      <w:pPr>
        <w:pStyle w:val="27"/>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55414CCA">
      <w:pPr>
        <w:snapToGrid w:val="0"/>
        <w:spacing w:line="360" w:lineRule="auto"/>
        <w:jc w:val="center"/>
        <w:rPr>
          <w:b/>
          <w:bCs/>
          <w:color w:val="auto"/>
          <w:sz w:val="24"/>
        </w:rPr>
      </w:pPr>
      <w:r>
        <w:rPr>
          <w:rFonts w:hint="eastAsia"/>
          <w:b/>
          <w:color w:val="auto"/>
          <w:szCs w:val="21"/>
        </w:rPr>
        <w:t>【不属于中小微企业的无需填写、递交】</w:t>
      </w:r>
    </w:p>
    <w:p w14:paraId="1C3BF12D">
      <w:pPr>
        <w:pStyle w:val="18"/>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15933617">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（标的名称）</w:t>
      </w:r>
      <w:r>
        <w:rPr>
          <w:rFonts w:hint="eastAsia" w:ascii="宋体" w:hAnsi="宋体" w:cs="宋体"/>
          <w:color w:val="auto"/>
          <w:w w:val="99"/>
          <w:szCs w:val="21"/>
        </w:rPr>
        <w:t>，属于</w:t>
      </w:r>
      <w:r>
        <w:rPr>
          <w:rFonts w:hint="eastAsia" w:ascii="宋体" w:hAnsi="宋体" w:cs="宋体"/>
          <w:i/>
          <w:color w:val="auto"/>
          <w:w w:val="96"/>
          <w:szCs w:val="21"/>
          <w:u w:val="single"/>
        </w:rPr>
        <w:t>（采购文件中明确的所属行业）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0318AD5D">
      <w:pPr>
        <w:pStyle w:val="18"/>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05C7762D">
      <w:pPr>
        <w:pStyle w:val="18"/>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w:t>
      </w:r>
      <w:r>
        <w:rPr>
          <w:rFonts w:hint="eastAsia" w:ascii="宋体" w:hAnsi="宋体" w:cs="宋体"/>
          <w:color w:val="auto"/>
          <w:szCs w:val="21"/>
        </w:rPr>
        <w:t>也不存在与大企业的负责人为同一人的情形。</w:t>
      </w:r>
    </w:p>
    <w:p w14:paraId="6691D75A">
      <w:pPr>
        <w:pStyle w:val="18"/>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69DCF045">
      <w:pPr>
        <w:pStyle w:val="27"/>
        <w:spacing w:line="360" w:lineRule="auto"/>
        <w:ind w:left="-27" w:firstLine="4796" w:firstLineChars="2275"/>
        <w:rPr>
          <w:rFonts w:hAnsi="宋体" w:cs="宋体"/>
          <w:b/>
          <w:bCs/>
          <w:color w:val="auto"/>
          <w:sz w:val="21"/>
          <w:szCs w:val="21"/>
        </w:rPr>
      </w:pPr>
    </w:p>
    <w:p w14:paraId="7D30645D">
      <w:pPr>
        <w:pStyle w:val="27"/>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1834FEBF">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0FBF24CC">
      <w:pPr>
        <w:pStyle w:val="27"/>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2E4378C1">
      <w:pPr>
        <w:autoSpaceDE w:val="0"/>
        <w:autoSpaceDN w:val="0"/>
        <w:spacing w:line="360" w:lineRule="auto"/>
        <w:rPr>
          <w:color w:val="auto"/>
          <w:szCs w:val="21"/>
          <w:highlight w:val="green"/>
        </w:rPr>
      </w:pPr>
    </w:p>
    <w:p w14:paraId="0E1E2C08">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47F956F4">
      <w:pPr>
        <w:pStyle w:val="18"/>
        <w:rPr>
          <w:b/>
          <w:bCs/>
          <w:color w:val="auto"/>
        </w:rPr>
      </w:pPr>
      <w:r>
        <w:rPr>
          <w:rFonts w:hint="eastAsia"/>
          <w:b/>
          <w:bCs/>
          <w:color w:val="auto"/>
        </w:rPr>
        <w:t>1.从业人员、营业收入、资产总额填报上一年度数据，无上一年度数据的新成立企业可不填报。</w:t>
      </w:r>
    </w:p>
    <w:p w14:paraId="5E0D2FE9">
      <w:pPr>
        <w:pStyle w:val="18"/>
        <w:rPr>
          <w:b/>
          <w:bCs/>
          <w:color w:val="auto"/>
        </w:rPr>
      </w:pPr>
      <w:r>
        <w:rPr>
          <w:rFonts w:hint="eastAsia"/>
          <w:b/>
          <w:bCs/>
          <w:color w:val="auto"/>
        </w:rPr>
        <w:t>2.本项目所属行业见前附表。</w:t>
      </w:r>
    </w:p>
    <w:p w14:paraId="22D73D1A">
      <w:pPr>
        <w:pStyle w:val="18"/>
        <w:rPr>
          <w:b/>
          <w:bCs/>
          <w:color w:val="auto"/>
        </w:rPr>
      </w:pPr>
      <w:r>
        <w:rPr>
          <w:rFonts w:hint="eastAsia"/>
          <w:b/>
          <w:bCs/>
          <w:color w:val="auto"/>
        </w:rPr>
        <w:t>3.中小企业划型标准规定（工信部联企业[2011]300号）附后。</w:t>
      </w:r>
    </w:p>
    <w:p w14:paraId="1B58070D">
      <w:pPr>
        <w:pStyle w:val="18"/>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22320039">
      <w:pPr>
        <w:pStyle w:val="18"/>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22C6DB04">
      <w:pPr>
        <w:pStyle w:val="18"/>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0A043CFE">
      <w:pPr>
        <w:pStyle w:val="18"/>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400C73C9">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2E1CB76E">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64A71A93">
      <w:pPr>
        <w:rPr>
          <w:b/>
          <w:color w:val="auto"/>
          <w:sz w:val="32"/>
          <w:szCs w:val="32"/>
        </w:rPr>
      </w:pPr>
    </w:p>
    <w:p w14:paraId="535294F1">
      <w:pPr>
        <w:pStyle w:val="4"/>
        <w:ind w:left="0" w:firstLine="0"/>
        <w:outlineLvl w:val="0"/>
        <w:rPr>
          <w:color w:val="auto"/>
        </w:rPr>
      </w:pPr>
      <w:bookmarkStart w:id="560" w:name="_Toc4351_WPSOffice_Level1"/>
      <w:r>
        <w:rPr>
          <w:rFonts w:hint="eastAsia"/>
          <w:color w:val="auto"/>
        </w:rPr>
        <w:t>（3）属于监狱企业的证明文件（若属于监狱企业）</w:t>
      </w:r>
      <w:bookmarkEnd w:id="560"/>
    </w:p>
    <w:p w14:paraId="57956F72">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2AF66618">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632E94C9">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0BD7C1F6">
      <w:pPr>
        <w:adjustRightInd w:val="0"/>
        <w:snapToGrid w:val="0"/>
        <w:spacing w:line="288" w:lineRule="auto"/>
        <w:rPr>
          <w:color w:val="auto"/>
          <w:szCs w:val="21"/>
        </w:rPr>
      </w:pPr>
    </w:p>
    <w:p w14:paraId="073BA8AF">
      <w:pPr>
        <w:adjustRightInd w:val="0"/>
        <w:snapToGrid w:val="0"/>
        <w:spacing w:line="288" w:lineRule="auto"/>
        <w:rPr>
          <w:b/>
          <w:bCs/>
          <w:color w:val="auto"/>
          <w:szCs w:val="21"/>
        </w:rPr>
      </w:pPr>
      <w:r>
        <w:rPr>
          <w:rFonts w:hint="eastAsia"/>
          <w:b/>
          <w:bCs/>
          <w:color w:val="auto"/>
          <w:szCs w:val="21"/>
        </w:rPr>
        <w:t>说明：</w:t>
      </w:r>
    </w:p>
    <w:p w14:paraId="05B0E551">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E5505A5">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1D67F2F8">
      <w:pPr>
        <w:widowControl/>
        <w:adjustRightInd w:val="0"/>
        <w:snapToGrid w:val="0"/>
        <w:spacing w:line="288" w:lineRule="auto"/>
        <w:jc w:val="left"/>
        <w:rPr>
          <w:b/>
          <w:color w:val="auto"/>
          <w:spacing w:val="-6"/>
          <w:szCs w:val="21"/>
        </w:rPr>
      </w:pPr>
      <w:r>
        <w:rPr>
          <w:b/>
          <w:color w:val="auto"/>
          <w:spacing w:val="-6"/>
          <w:szCs w:val="21"/>
        </w:rPr>
        <w:br w:type="page"/>
      </w:r>
    </w:p>
    <w:p w14:paraId="66E9F7D4">
      <w:pPr>
        <w:pStyle w:val="4"/>
        <w:ind w:left="0" w:firstLine="0"/>
        <w:outlineLvl w:val="0"/>
        <w:rPr>
          <w:color w:val="auto"/>
        </w:rPr>
      </w:pPr>
      <w:bookmarkStart w:id="561" w:name="_Toc562_WPSOffice_Level1"/>
      <w:r>
        <w:rPr>
          <w:rFonts w:hint="eastAsia"/>
          <w:color w:val="auto"/>
        </w:rPr>
        <w:t>（4）残疾人福利性单位声明函（若属于残疾人福利性单位）</w:t>
      </w:r>
      <w:bookmarkEnd w:id="561"/>
    </w:p>
    <w:p w14:paraId="3DE99E4B">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0CBBB86C">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24E5C2F1">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6D414378">
      <w:pPr>
        <w:spacing w:line="360" w:lineRule="auto"/>
        <w:ind w:firstLine="504" w:firstLineChars="200"/>
        <w:rPr>
          <w:color w:val="auto"/>
          <w:spacing w:val="6"/>
          <w:sz w:val="24"/>
        </w:rPr>
      </w:pPr>
    </w:p>
    <w:p w14:paraId="7DFA0C95">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12D55170">
      <w:pPr>
        <w:pStyle w:val="53"/>
        <w:rPr>
          <w:color w:val="auto"/>
        </w:rPr>
      </w:pPr>
    </w:p>
    <w:p w14:paraId="57F88F51">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0B1C2BD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DB7CEC6">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64653774">
      <w:pPr>
        <w:adjustRightInd w:val="0"/>
        <w:snapToGrid w:val="0"/>
        <w:spacing w:line="288" w:lineRule="auto"/>
        <w:rPr>
          <w:rFonts w:ascii="宋体" w:hAnsi="宋体"/>
          <w:b/>
          <w:bCs/>
          <w:color w:val="auto"/>
          <w:szCs w:val="21"/>
        </w:rPr>
      </w:pPr>
    </w:p>
    <w:p w14:paraId="0F8C977E">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5DCBC31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391AEC7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6989322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71D0FCDB">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1571E9A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5F25F23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57DA7EB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3870D4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797AC56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7AF9388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559"/>
    <w:p w14:paraId="27642FA0">
      <w:pPr>
        <w:adjustRightInd w:val="0"/>
        <w:snapToGrid w:val="0"/>
        <w:spacing w:line="288" w:lineRule="auto"/>
        <w:jc w:val="center"/>
        <w:outlineLvl w:val="0"/>
        <w:rPr>
          <w:b/>
          <w:bCs/>
          <w:color w:val="auto"/>
          <w:sz w:val="84"/>
          <w:szCs w:val="84"/>
        </w:rPr>
      </w:pPr>
      <w:r>
        <w:rPr>
          <w:rFonts w:hint="eastAsia" w:hAnsi="宋体"/>
          <w:color w:val="auto"/>
          <w:sz w:val="24"/>
        </w:rPr>
        <w:br w:type="page"/>
      </w:r>
      <w:bookmarkStart w:id="562" w:name="_Toc419_WPSOffice_Level1"/>
      <w:bookmarkStart w:id="563" w:name="_Toc20322"/>
      <w:bookmarkStart w:id="564" w:name="_Toc593"/>
      <w:bookmarkStart w:id="565" w:name="_Toc2678"/>
      <w:bookmarkStart w:id="566" w:name="_Toc13604"/>
      <w:bookmarkStart w:id="567" w:name="_Toc17061"/>
      <w:bookmarkStart w:id="568" w:name="_Toc4882"/>
      <w:bookmarkStart w:id="569" w:name="_Toc31197"/>
      <w:bookmarkStart w:id="570" w:name="_Toc27765"/>
      <w:bookmarkStart w:id="571" w:name="_Toc19321"/>
      <w:bookmarkStart w:id="572" w:name="_Toc9514"/>
      <w:bookmarkStart w:id="573" w:name="_Toc17483"/>
      <w:bookmarkStart w:id="574" w:name="_Toc32174"/>
      <w:bookmarkStart w:id="575" w:name="_Toc27848"/>
      <w:bookmarkStart w:id="576" w:name="_Toc4245"/>
      <w:bookmarkStart w:id="577" w:name="_Toc21599"/>
      <w:bookmarkStart w:id="578" w:name="_Toc6658"/>
      <w:bookmarkStart w:id="579" w:name="_Toc5305"/>
      <w:bookmarkStart w:id="580" w:name="_Toc10583"/>
      <w:bookmarkStart w:id="581" w:name="_Toc25574"/>
      <w:bookmarkStart w:id="582" w:name="_Toc22262"/>
      <w:bookmarkStart w:id="583" w:name="_Toc28796"/>
      <w:bookmarkStart w:id="584" w:name="_Toc2960"/>
      <w:bookmarkStart w:id="585" w:name="_Toc29034"/>
      <w:bookmarkStart w:id="586" w:name="_Toc23382"/>
      <w:bookmarkStart w:id="587" w:name="_Toc1234"/>
      <w:bookmarkStart w:id="588" w:name="_Toc11033"/>
      <w:bookmarkStart w:id="589" w:name="_Toc8554"/>
      <w:bookmarkStart w:id="590" w:name="_Toc4954"/>
      <w:bookmarkStart w:id="591" w:name="_Toc4011"/>
      <w:bookmarkStart w:id="592" w:name="_Toc10465"/>
      <w:bookmarkStart w:id="593" w:name="_Toc21390"/>
      <w:bookmarkStart w:id="594" w:name="_Toc13355"/>
      <w:bookmarkStart w:id="595" w:name="_Toc432"/>
      <w:bookmarkStart w:id="596" w:name="_Toc30975"/>
      <w:bookmarkStart w:id="597" w:name="_Toc3902"/>
      <w:bookmarkStart w:id="598" w:name="_Toc118516210"/>
      <w:r>
        <w:rPr>
          <w:rFonts w:hint="eastAsia"/>
          <w:b/>
          <w:bCs/>
          <w:color w:val="auto"/>
          <w:sz w:val="84"/>
          <w:szCs w:val="84"/>
        </w:rPr>
        <w:t>商务和技术文件</w:t>
      </w:r>
      <w:bookmarkEnd w:id="562"/>
    </w:p>
    <w:p w14:paraId="43959828">
      <w:pPr>
        <w:pStyle w:val="4"/>
        <w:tabs>
          <w:tab w:val="left" w:pos="0"/>
          <w:tab w:val="clear" w:pos="1275"/>
        </w:tabs>
        <w:ind w:left="15" w:hanging="15"/>
        <w:outlineLvl w:val="9"/>
        <w:rPr>
          <w:color w:val="auto"/>
          <w:sz w:val="24"/>
          <w:szCs w:val="24"/>
        </w:rPr>
      </w:pPr>
    </w:p>
    <w:p w14:paraId="1D80623A">
      <w:pPr>
        <w:pStyle w:val="4"/>
        <w:ind w:left="0" w:firstLine="0"/>
        <w:outlineLvl w:val="0"/>
        <w:rPr>
          <w:color w:val="auto"/>
        </w:rPr>
      </w:pPr>
      <w:bookmarkStart w:id="599" w:name="_Toc20838_WPSOffice_Level1"/>
      <w:r>
        <w:rPr>
          <w:rFonts w:hint="eastAsia"/>
          <w:color w:val="auto"/>
        </w:rPr>
        <w:t>（1）磋商响应函</w:t>
      </w:r>
      <w:bookmarkEnd w:id="599"/>
      <w:r>
        <w:rPr>
          <w:rFonts w:hint="eastAsia"/>
          <w:color w:val="auto"/>
        </w:rPr>
        <w:t xml:space="preserve">   </w:t>
      </w:r>
    </w:p>
    <w:p w14:paraId="47DE9EDB">
      <w:pPr>
        <w:jc w:val="center"/>
        <w:outlineLvl w:val="1"/>
        <w:rPr>
          <w:b/>
          <w:color w:val="auto"/>
          <w:sz w:val="32"/>
          <w:szCs w:val="32"/>
        </w:rPr>
      </w:pPr>
      <w:r>
        <w:rPr>
          <w:rFonts w:hint="eastAsia"/>
          <w:b/>
          <w:color w:val="auto"/>
          <w:sz w:val="32"/>
          <w:szCs w:val="32"/>
        </w:rPr>
        <w:t>磋商响应函</w:t>
      </w:r>
    </w:p>
    <w:p w14:paraId="2067B16D">
      <w:pPr>
        <w:pStyle w:val="27"/>
        <w:ind w:left="-27" w:firstLine="530"/>
        <w:rPr>
          <w:rFonts w:ascii="Times New Roman" w:hAnsi="Times New Roman"/>
          <w:b/>
          <w:color w:val="auto"/>
          <w:sz w:val="30"/>
        </w:rPr>
      </w:pPr>
    </w:p>
    <w:p w14:paraId="030A6A52">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5478E7C8">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420396D0">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02A94A01">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75A21F28">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4F1CCE85">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568264B3">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43610783">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31041192">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195753FF">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3951945A">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4909381F">
      <w:pPr>
        <w:pStyle w:val="27"/>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519A1560">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2AF70CB6">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7B5C6DAB">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3247BD58">
      <w:pPr>
        <w:pStyle w:val="27"/>
        <w:spacing w:line="312" w:lineRule="auto"/>
        <w:ind w:left="-27" w:firstLine="422"/>
        <w:rPr>
          <w:rFonts w:ascii="Times New Roman" w:hAnsi="Times New Roman"/>
          <w:color w:val="auto"/>
          <w:sz w:val="24"/>
        </w:rPr>
      </w:pPr>
    </w:p>
    <w:p w14:paraId="4D5C72B1">
      <w:pPr>
        <w:pStyle w:val="27"/>
        <w:spacing w:line="312" w:lineRule="auto"/>
        <w:ind w:left="-27" w:firstLine="480" w:firstLineChars="200"/>
        <w:rPr>
          <w:rFonts w:ascii="Times New Roman" w:hAnsi="Times New Roman"/>
          <w:color w:val="auto"/>
          <w:sz w:val="24"/>
        </w:rPr>
      </w:pPr>
    </w:p>
    <w:p w14:paraId="311FAD56">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4DC7691">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37A8954">
      <w:pPr>
        <w:spacing w:before="240" w:beforeLines="100" w:after="240" w:afterLines="100"/>
        <w:jc w:val="left"/>
        <w:rPr>
          <w:color w:val="auto"/>
          <w:sz w:val="24"/>
          <w:szCs w:val="24"/>
        </w:rPr>
      </w:pPr>
      <w:r>
        <w:rPr>
          <w:rFonts w:hint="eastAsia" w:ascii="宋体" w:hAnsi="宋体" w:cs="宋体"/>
          <w:color w:val="auto"/>
          <w:sz w:val="24"/>
        </w:rPr>
        <w:t>日期：      年   月   日</w:t>
      </w:r>
    </w:p>
    <w:p w14:paraId="28AEC3BB">
      <w:pPr>
        <w:rPr>
          <w:color w:val="auto"/>
          <w:sz w:val="24"/>
          <w:szCs w:val="24"/>
        </w:rPr>
      </w:pPr>
    </w:p>
    <w:p w14:paraId="6A095097">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383FA6C6">
      <w:pPr>
        <w:pStyle w:val="4"/>
        <w:ind w:left="0" w:firstLine="0"/>
        <w:outlineLvl w:val="0"/>
        <w:rPr>
          <w:color w:val="auto"/>
        </w:rPr>
      </w:pPr>
      <w:bookmarkStart w:id="600" w:name="_Toc25157_WPSOffice_Level1"/>
      <w:r>
        <w:rPr>
          <w:rFonts w:hint="eastAsia"/>
          <w:color w:val="auto"/>
        </w:rPr>
        <w:t>（2）法定代表人授权书（非法定代表人参加时提供）</w:t>
      </w:r>
      <w:bookmarkEnd w:id="600"/>
    </w:p>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14:paraId="49048A85">
      <w:pPr>
        <w:pStyle w:val="27"/>
        <w:tabs>
          <w:tab w:val="left" w:pos="450"/>
        </w:tabs>
        <w:spacing w:line="400" w:lineRule="atLeast"/>
        <w:ind w:left="-27" w:firstLine="422"/>
        <w:rPr>
          <w:rFonts w:ascii="Times New Roman" w:hAnsi="Times New Roman"/>
          <w:color w:val="auto"/>
          <w:sz w:val="24"/>
          <w:szCs w:val="24"/>
        </w:rPr>
      </w:pPr>
    </w:p>
    <w:p w14:paraId="40A737D1">
      <w:pPr>
        <w:pStyle w:val="27"/>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180B77EC">
      <w:pPr>
        <w:pStyle w:val="27"/>
        <w:spacing w:line="600" w:lineRule="atLeast"/>
        <w:ind w:left="-27" w:firstLine="493"/>
        <w:rPr>
          <w:rFonts w:ascii="Times New Roman" w:hAnsi="Times New Roman"/>
          <w:color w:val="auto"/>
          <w:sz w:val="28"/>
          <w:u w:val="single"/>
        </w:rPr>
      </w:pPr>
    </w:p>
    <w:p w14:paraId="3DB63142">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4CA07F7B">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216BA220">
      <w:pPr>
        <w:pStyle w:val="27"/>
        <w:spacing w:line="600" w:lineRule="atLeast"/>
        <w:ind w:left="-27" w:firstLine="422"/>
        <w:rPr>
          <w:rFonts w:ascii="Times New Roman" w:hAnsi="Times New Roman"/>
          <w:color w:val="auto"/>
          <w:sz w:val="24"/>
          <w:szCs w:val="24"/>
        </w:rPr>
      </w:pPr>
    </w:p>
    <w:p w14:paraId="294F7DDF">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w:t>
      </w:r>
      <w:r>
        <w:rPr>
          <w:rFonts w:hint="eastAsia" w:ascii="宋体" w:hAnsi="宋体"/>
          <w:b/>
          <w:bCs/>
          <w:color w:val="auto"/>
          <w:spacing w:val="-6"/>
          <w:sz w:val="24"/>
          <w:szCs w:val="24"/>
          <w:u w:val="single"/>
          <w:lang w:eastAsia="zh-CN"/>
        </w:rPr>
        <w:t>2026年1月</w:t>
      </w:r>
      <w:r>
        <w:rPr>
          <w:rFonts w:hint="eastAsia" w:ascii="宋体" w:hAnsi="宋体"/>
          <w:b/>
          <w:bCs/>
          <w:color w:val="auto"/>
          <w:spacing w:val="-6"/>
          <w:sz w:val="24"/>
          <w:szCs w:val="24"/>
          <w:u w:val="single"/>
        </w:rPr>
        <w:t>（含）以后任意一月社保缴纳证明。</w:t>
      </w:r>
    </w:p>
    <w:p w14:paraId="4696E369">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6230F684">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742E744D">
      <w:pPr>
        <w:pStyle w:val="27"/>
        <w:spacing w:line="400" w:lineRule="atLeast"/>
        <w:ind w:left="-27" w:firstLine="422"/>
        <w:rPr>
          <w:rFonts w:ascii="Times New Roman" w:hAnsi="Times New Roman"/>
          <w:color w:val="auto"/>
          <w:sz w:val="24"/>
          <w:szCs w:val="24"/>
        </w:rPr>
      </w:pPr>
    </w:p>
    <w:p w14:paraId="7974064D">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1368284B">
      <w:pPr>
        <w:pStyle w:val="27"/>
        <w:spacing w:line="400" w:lineRule="atLeast"/>
        <w:ind w:left="-27" w:firstLine="422"/>
        <w:rPr>
          <w:rFonts w:ascii="Times New Roman" w:hAnsi="Times New Roman"/>
          <w:color w:val="auto"/>
          <w:sz w:val="24"/>
          <w:szCs w:val="24"/>
        </w:rPr>
      </w:pPr>
    </w:p>
    <w:p w14:paraId="22FFBC7E">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482AB4A9">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1C3D7A12">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6D80DCEC">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6A5CB697">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491EC1AA">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60AD0BFD">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64A2C677">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229EC497">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68014BEF">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03B9F777">
      <w:pPr>
        <w:widowControl/>
        <w:ind w:firstLine="723" w:firstLineChars="225"/>
        <w:jc w:val="left"/>
        <w:rPr>
          <w:b/>
          <w:color w:val="auto"/>
          <w:sz w:val="32"/>
          <w:szCs w:val="32"/>
        </w:rPr>
      </w:pPr>
    </w:p>
    <w:p w14:paraId="194D0D5E">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6E102565">
      <w:pPr>
        <w:widowControl/>
        <w:ind w:firstLine="723" w:firstLineChars="225"/>
        <w:jc w:val="left"/>
        <w:rPr>
          <w:b/>
          <w:color w:val="auto"/>
          <w:sz w:val="32"/>
          <w:szCs w:val="32"/>
        </w:rPr>
      </w:pPr>
    </w:p>
    <w:p w14:paraId="685C527E">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3F2273AB">
      <w:pPr>
        <w:pStyle w:val="4"/>
        <w:ind w:left="0" w:firstLine="0"/>
        <w:outlineLvl w:val="0"/>
        <w:rPr>
          <w:color w:val="auto"/>
        </w:rPr>
      </w:pPr>
      <w:bookmarkStart w:id="601" w:name="_Toc12256_WPSOffice_Level1"/>
      <w:r>
        <w:rPr>
          <w:rFonts w:hint="eastAsia"/>
          <w:color w:val="auto"/>
        </w:rPr>
        <w:t>（3）</w:t>
      </w:r>
      <w:r>
        <w:rPr>
          <w:rFonts w:hint="eastAsia"/>
          <w:color w:val="auto"/>
        </w:rPr>
        <w:t>授权代表社保缴纳证明</w:t>
      </w:r>
      <w:bookmarkEnd w:id="601"/>
    </w:p>
    <w:p w14:paraId="1BF5E3D5">
      <w:pPr>
        <w:rPr>
          <w:rFonts w:ascii="宋体" w:hAnsi="宋体" w:cs="宋体"/>
          <w:b/>
          <w:color w:val="auto"/>
          <w:spacing w:val="-6"/>
          <w:sz w:val="32"/>
          <w:szCs w:val="32"/>
        </w:rPr>
      </w:pPr>
    </w:p>
    <w:p w14:paraId="628341FE">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lang w:eastAsia="zh-CN"/>
        </w:rPr>
        <w:t>2026年1月</w:t>
      </w:r>
      <w:r>
        <w:rPr>
          <w:rFonts w:hint="eastAsia" w:ascii="宋体" w:hAnsi="宋体" w:cs="宋体"/>
          <w:b/>
          <w:color w:val="auto"/>
          <w:spacing w:val="-6"/>
          <w:sz w:val="32"/>
          <w:szCs w:val="32"/>
        </w:rPr>
        <w:t>（含）以后任意一月授权代表社保缴纳证明</w:t>
      </w:r>
    </w:p>
    <w:p w14:paraId="3868B7D8">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618DF0FF">
      <w:pPr>
        <w:widowControl/>
        <w:ind w:firstLine="723" w:firstLineChars="225"/>
        <w:jc w:val="left"/>
        <w:rPr>
          <w:b/>
          <w:color w:val="auto"/>
          <w:sz w:val="32"/>
          <w:szCs w:val="32"/>
        </w:rPr>
      </w:pPr>
    </w:p>
    <w:p w14:paraId="3D0B1AB5">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5DE1CFAB">
      <w:pPr>
        <w:pStyle w:val="4"/>
        <w:ind w:left="0" w:firstLine="0"/>
        <w:outlineLvl w:val="0"/>
        <w:rPr>
          <w:color w:val="auto"/>
        </w:rPr>
      </w:pPr>
      <w:bookmarkStart w:id="602" w:name="_Toc2212"/>
      <w:bookmarkStart w:id="603" w:name="_Toc25890"/>
      <w:bookmarkStart w:id="604" w:name="_Toc25749"/>
      <w:bookmarkStart w:id="605" w:name="_Toc21021"/>
      <w:bookmarkStart w:id="606" w:name="_Toc30038"/>
      <w:bookmarkStart w:id="607" w:name="_Toc4883"/>
      <w:bookmarkStart w:id="608" w:name="_Toc26387"/>
      <w:bookmarkStart w:id="609" w:name="_Toc14222"/>
      <w:bookmarkStart w:id="610" w:name="_Toc23121"/>
      <w:bookmarkStart w:id="611" w:name="_Toc19676"/>
      <w:bookmarkStart w:id="612" w:name="_Toc1116_WPSOffice_Level1"/>
      <w:bookmarkStart w:id="613" w:name="_Toc26242"/>
      <w:bookmarkStart w:id="614" w:name="_Toc31568"/>
      <w:bookmarkStart w:id="615" w:name="_Toc3968"/>
      <w:bookmarkStart w:id="616" w:name="_Toc31758"/>
      <w:bookmarkStart w:id="617" w:name="_Toc31464"/>
      <w:bookmarkStart w:id="618" w:name="_Toc350"/>
      <w:bookmarkStart w:id="619" w:name="_Toc22103"/>
      <w:bookmarkStart w:id="620" w:name="_Toc26592"/>
      <w:bookmarkStart w:id="621" w:name="_Toc20129"/>
      <w:bookmarkStart w:id="622" w:name="_Toc11813"/>
      <w:bookmarkStart w:id="623" w:name="_Toc11332"/>
      <w:bookmarkStart w:id="624" w:name="_Toc32360"/>
      <w:bookmarkStart w:id="625" w:name="_Toc12615"/>
      <w:bookmarkStart w:id="626" w:name="_Toc9338"/>
      <w:bookmarkStart w:id="627" w:name="_Toc24184"/>
      <w:bookmarkStart w:id="628" w:name="_Toc28598"/>
      <w:bookmarkStart w:id="629" w:name="_Toc20443"/>
      <w:bookmarkStart w:id="630" w:name="_Toc30387"/>
      <w:bookmarkStart w:id="631" w:name="_Toc14954"/>
      <w:bookmarkStart w:id="632" w:name="_Toc14198"/>
      <w:bookmarkStart w:id="633" w:name="_Toc24848"/>
      <w:bookmarkStart w:id="634" w:name="_Toc18481"/>
      <w:bookmarkStart w:id="635" w:name="_Toc772"/>
      <w:bookmarkStart w:id="636" w:name="_Toc2570"/>
      <w:bookmarkStart w:id="637" w:name="_Toc5481"/>
      <w:bookmarkStart w:id="638" w:name="_Toc2974"/>
      <w:bookmarkStart w:id="639" w:name="_Toc4577"/>
      <w:bookmarkStart w:id="640" w:name="_Toc14931"/>
      <w:r>
        <w:rPr>
          <w:rFonts w:hint="eastAsia"/>
          <w:color w:val="auto"/>
        </w:rPr>
        <w:t>（4）法定代表人资格证明书</w:t>
      </w:r>
      <w:bookmarkEnd w:id="602"/>
      <w:bookmarkEnd w:id="603"/>
      <w:bookmarkEnd w:id="604"/>
      <w:bookmarkEnd w:id="605"/>
      <w:bookmarkEnd w:id="606"/>
      <w:bookmarkEnd w:id="607"/>
      <w:bookmarkEnd w:id="608"/>
      <w:bookmarkEnd w:id="609"/>
      <w:bookmarkEnd w:id="610"/>
      <w:bookmarkEnd w:id="611"/>
      <w:r>
        <w:rPr>
          <w:rFonts w:hint="eastAsia"/>
          <w:color w:val="auto"/>
        </w:rPr>
        <w:t>（法定代表人参加时提供）</w:t>
      </w:r>
      <w:bookmarkEnd w:id="612"/>
    </w:p>
    <w:p w14:paraId="081132D7">
      <w:pPr>
        <w:pStyle w:val="22"/>
        <w:ind w:left="0" w:leftChars="0" w:firstLine="0" w:firstLineChars="0"/>
        <w:rPr>
          <w:color w:val="auto"/>
        </w:rPr>
      </w:pPr>
    </w:p>
    <w:p w14:paraId="018D34B3">
      <w:pPr>
        <w:pStyle w:val="27"/>
        <w:tabs>
          <w:tab w:val="left" w:pos="450"/>
        </w:tabs>
        <w:spacing w:line="400" w:lineRule="atLeast"/>
        <w:ind w:left="-27" w:firstLine="565"/>
        <w:jc w:val="center"/>
        <w:outlineLvl w:val="1"/>
        <w:rPr>
          <w:rFonts w:ascii="Times New Roman" w:hAnsi="Times New Roman"/>
          <w:b/>
          <w:color w:val="auto"/>
          <w:sz w:val="32"/>
          <w:szCs w:val="32"/>
        </w:rPr>
      </w:pPr>
      <w:bookmarkStart w:id="641" w:name="_Toc10019"/>
      <w:r>
        <w:rPr>
          <w:rFonts w:hint="eastAsia" w:ascii="Times New Roman" w:hAnsi="Times New Roman"/>
          <w:b/>
          <w:color w:val="auto"/>
          <w:sz w:val="32"/>
          <w:szCs w:val="32"/>
        </w:rPr>
        <w:t>法定代表人资格证明书</w:t>
      </w:r>
      <w:bookmarkEnd w:id="641"/>
    </w:p>
    <w:p w14:paraId="5F574FFA">
      <w:pPr>
        <w:spacing w:line="360" w:lineRule="auto"/>
        <w:jc w:val="center"/>
        <w:rPr>
          <w:b/>
          <w:color w:val="auto"/>
          <w:spacing w:val="-6"/>
          <w:sz w:val="24"/>
        </w:rPr>
      </w:pPr>
    </w:p>
    <w:p w14:paraId="7D7907A2">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03BFDEEF">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1541D11B">
      <w:pPr>
        <w:spacing w:line="360" w:lineRule="auto"/>
        <w:ind w:firstLine="456" w:firstLineChars="200"/>
        <w:rPr>
          <w:bCs/>
          <w:color w:val="auto"/>
          <w:spacing w:val="-6"/>
          <w:sz w:val="24"/>
        </w:rPr>
      </w:pPr>
      <w:r>
        <w:rPr>
          <w:bCs/>
          <w:color w:val="auto"/>
          <w:spacing w:val="-6"/>
          <w:sz w:val="24"/>
        </w:rPr>
        <w:t>特此证明。</w:t>
      </w:r>
    </w:p>
    <w:p w14:paraId="35C7B603">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6EE3D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132CD0AC">
            <w:pPr>
              <w:jc w:val="center"/>
              <w:rPr>
                <w:color w:val="auto"/>
                <w:sz w:val="24"/>
              </w:rPr>
            </w:pPr>
            <w:r>
              <w:rPr>
                <w:color w:val="auto"/>
                <w:sz w:val="24"/>
              </w:rPr>
              <w:t>法定代表人身份证(正、反面)复印件粘贴处</w:t>
            </w:r>
          </w:p>
          <w:p w14:paraId="13E2EA3B">
            <w:pPr>
              <w:spacing w:line="360" w:lineRule="auto"/>
              <w:jc w:val="center"/>
              <w:rPr>
                <w:bCs/>
                <w:color w:val="auto"/>
                <w:spacing w:val="-6"/>
                <w:sz w:val="24"/>
              </w:rPr>
            </w:pPr>
          </w:p>
        </w:tc>
      </w:tr>
    </w:tbl>
    <w:p w14:paraId="41FE083D">
      <w:pPr>
        <w:spacing w:line="360" w:lineRule="auto"/>
        <w:rPr>
          <w:bCs/>
          <w:color w:val="auto"/>
          <w:spacing w:val="-6"/>
          <w:sz w:val="24"/>
        </w:rPr>
      </w:pPr>
    </w:p>
    <w:p w14:paraId="679F89B2">
      <w:pPr>
        <w:spacing w:line="360" w:lineRule="auto"/>
        <w:ind w:right="456"/>
        <w:rPr>
          <w:b/>
          <w:bCs/>
          <w:color w:val="auto"/>
          <w:spacing w:val="-6"/>
          <w:sz w:val="24"/>
        </w:rPr>
      </w:pPr>
    </w:p>
    <w:p w14:paraId="19812570">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48D2B220">
      <w:pPr>
        <w:pStyle w:val="27"/>
        <w:spacing w:line="400" w:lineRule="atLeast"/>
        <w:ind w:left="-27" w:firstLine="2530" w:firstLineChars="1050"/>
        <w:rPr>
          <w:rFonts w:ascii="Times New Roman" w:hAnsi="Times New Roman"/>
          <w:b/>
          <w:bCs/>
          <w:color w:val="auto"/>
          <w:sz w:val="24"/>
          <w:szCs w:val="24"/>
        </w:rPr>
      </w:pPr>
    </w:p>
    <w:p w14:paraId="53F60E49">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1A338089">
      <w:pPr>
        <w:spacing w:line="360" w:lineRule="auto"/>
        <w:ind w:left="3578" w:leftChars="1704" w:right="456"/>
        <w:rPr>
          <w:b/>
          <w:bCs/>
          <w:color w:val="auto"/>
          <w:sz w:val="24"/>
          <w:szCs w:val="24"/>
        </w:rPr>
      </w:pPr>
      <w:r>
        <w:rPr>
          <w:rFonts w:hint="eastAsia"/>
          <w:b/>
          <w:bCs/>
          <w:color w:val="auto"/>
          <w:sz w:val="24"/>
          <w:szCs w:val="24"/>
        </w:rPr>
        <w:t xml:space="preserve"> </w:t>
      </w:r>
    </w:p>
    <w:p w14:paraId="2A7081EE">
      <w:pPr>
        <w:spacing w:line="360" w:lineRule="auto"/>
        <w:ind w:left="3360" w:leftChars="1600" w:right="456"/>
        <w:rPr>
          <w:color w:val="auto"/>
          <w:sz w:val="24"/>
          <w:szCs w:val="24"/>
        </w:rPr>
      </w:pPr>
    </w:p>
    <w:p w14:paraId="00651459">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14:paraId="3D36CD98">
      <w:pPr>
        <w:pStyle w:val="4"/>
        <w:ind w:left="0" w:firstLine="0"/>
        <w:outlineLvl w:val="0"/>
        <w:rPr>
          <w:color w:val="auto"/>
        </w:rPr>
      </w:pPr>
      <w:bookmarkStart w:id="642" w:name="_Toc21811_WPSOffice_Level1"/>
      <w:bookmarkStart w:id="643" w:name="_Toc15720"/>
      <w:bookmarkStart w:id="644" w:name="_Toc27945"/>
      <w:bookmarkStart w:id="645" w:name="_Toc24989"/>
      <w:bookmarkStart w:id="646" w:name="_Toc30921"/>
      <w:bookmarkStart w:id="647" w:name="_Toc27024"/>
      <w:bookmarkStart w:id="648" w:name="_Toc20101"/>
      <w:bookmarkStart w:id="649" w:name="_Toc2218"/>
      <w:bookmarkStart w:id="650" w:name="_Toc24530"/>
      <w:bookmarkStart w:id="651" w:name="_Toc32465"/>
      <w:bookmarkStart w:id="652" w:name="_Toc11889"/>
      <w:bookmarkStart w:id="653" w:name="_Toc1553"/>
      <w:bookmarkStart w:id="654" w:name="_Toc3162"/>
      <w:bookmarkStart w:id="655" w:name="_Toc16347"/>
      <w:bookmarkStart w:id="656" w:name="_Toc29343"/>
      <w:bookmarkStart w:id="657" w:name="_Toc26243"/>
      <w:bookmarkStart w:id="658" w:name="_Toc32367"/>
      <w:bookmarkStart w:id="659" w:name="_Toc23078"/>
      <w:bookmarkStart w:id="660" w:name="_Toc30022"/>
      <w:bookmarkStart w:id="661" w:name="_Toc21741"/>
      <w:bookmarkStart w:id="662" w:name="_Toc17219"/>
      <w:bookmarkStart w:id="663" w:name="_Toc30169"/>
      <w:bookmarkStart w:id="664" w:name="_Toc1334"/>
      <w:bookmarkStart w:id="665" w:name="_Toc5970"/>
      <w:bookmarkStart w:id="666" w:name="_Toc15510"/>
      <w:bookmarkStart w:id="667" w:name="_Toc4163"/>
      <w:bookmarkStart w:id="668" w:name="_Toc21937"/>
      <w:bookmarkStart w:id="669" w:name="_Toc22052"/>
      <w:bookmarkStart w:id="670" w:name="_Toc6625"/>
      <w:bookmarkStart w:id="671" w:name="_Toc27347"/>
      <w:bookmarkStart w:id="672" w:name="_Toc25655"/>
      <w:bookmarkStart w:id="673" w:name="_Toc441"/>
      <w:bookmarkStart w:id="674" w:name="_Toc20480"/>
      <w:bookmarkStart w:id="675" w:name="_Toc17126"/>
      <w:bookmarkStart w:id="676" w:name="_Toc3893"/>
      <w:bookmarkStart w:id="677" w:name="_Toc11492"/>
      <w:r>
        <w:rPr>
          <w:rFonts w:hint="eastAsia"/>
          <w:color w:val="auto"/>
        </w:rPr>
        <w:t>（5）采购需求偏离表</w:t>
      </w:r>
      <w:bookmarkEnd w:id="642"/>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14:paraId="6D5C5E57">
      <w:pPr>
        <w:jc w:val="center"/>
        <w:outlineLvl w:val="1"/>
        <w:rPr>
          <w:b/>
          <w:bCs/>
          <w:color w:val="auto"/>
          <w:sz w:val="32"/>
        </w:rPr>
      </w:pPr>
      <w:r>
        <w:rPr>
          <w:rFonts w:hint="eastAsia"/>
          <w:b/>
          <w:bCs/>
          <w:color w:val="auto"/>
          <w:sz w:val="32"/>
        </w:rPr>
        <w:t>采购需求偏离表</w:t>
      </w:r>
    </w:p>
    <w:p w14:paraId="102E6117">
      <w:pPr>
        <w:rPr>
          <w:b/>
          <w:bCs/>
          <w:color w:val="auto"/>
          <w:sz w:val="32"/>
        </w:rPr>
      </w:pPr>
    </w:p>
    <w:p w14:paraId="508AC21B">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69D4F25C">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40F2F97A">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4197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7521ED8E">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7B5464CF">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68E0DCBB">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50ABF88B">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1E7D1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5A604079">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54702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C2243F5">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74244A16">
            <w:pPr>
              <w:rPr>
                <w:rFonts w:ascii="宋体" w:hAnsi="宋体" w:cs="宋体"/>
                <w:color w:val="auto"/>
                <w:szCs w:val="21"/>
              </w:rPr>
            </w:pPr>
          </w:p>
        </w:tc>
        <w:tc>
          <w:tcPr>
            <w:tcW w:w="2574" w:type="dxa"/>
            <w:vAlign w:val="center"/>
          </w:tcPr>
          <w:p w14:paraId="48C1B7BE">
            <w:pPr>
              <w:rPr>
                <w:rFonts w:ascii="宋体" w:hAnsi="宋体" w:cs="宋体"/>
                <w:color w:val="auto"/>
                <w:szCs w:val="21"/>
              </w:rPr>
            </w:pPr>
          </w:p>
        </w:tc>
        <w:tc>
          <w:tcPr>
            <w:tcW w:w="2124" w:type="dxa"/>
            <w:vAlign w:val="center"/>
          </w:tcPr>
          <w:p w14:paraId="3B2841EE">
            <w:pPr>
              <w:rPr>
                <w:rFonts w:ascii="宋体" w:hAnsi="宋体" w:cs="宋体"/>
                <w:color w:val="auto"/>
                <w:szCs w:val="21"/>
              </w:rPr>
            </w:pPr>
          </w:p>
        </w:tc>
      </w:tr>
      <w:tr w14:paraId="676F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5E079B4">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671ED355">
            <w:pPr>
              <w:rPr>
                <w:rFonts w:ascii="宋体" w:hAnsi="宋体" w:cs="宋体"/>
                <w:color w:val="auto"/>
                <w:szCs w:val="21"/>
              </w:rPr>
            </w:pPr>
          </w:p>
        </w:tc>
        <w:tc>
          <w:tcPr>
            <w:tcW w:w="2574" w:type="dxa"/>
            <w:vAlign w:val="center"/>
          </w:tcPr>
          <w:p w14:paraId="62C00E96">
            <w:pPr>
              <w:rPr>
                <w:rFonts w:ascii="宋体" w:hAnsi="宋体" w:cs="宋体"/>
                <w:color w:val="auto"/>
                <w:szCs w:val="21"/>
              </w:rPr>
            </w:pPr>
          </w:p>
        </w:tc>
        <w:tc>
          <w:tcPr>
            <w:tcW w:w="2124" w:type="dxa"/>
            <w:vAlign w:val="center"/>
          </w:tcPr>
          <w:p w14:paraId="552AD113">
            <w:pPr>
              <w:rPr>
                <w:rFonts w:ascii="宋体" w:hAnsi="宋体" w:cs="宋体"/>
                <w:color w:val="auto"/>
                <w:szCs w:val="21"/>
              </w:rPr>
            </w:pPr>
          </w:p>
        </w:tc>
      </w:tr>
      <w:tr w14:paraId="2484C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BE1A5FF">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33D78165">
            <w:pPr>
              <w:rPr>
                <w:rFonts w:ascii="宋体" w:hAnsi="宋体" w:cs="宋体"/>
                <w:color w:val="auto"/>
                <w:szCs w:val="21"/>
              </w:rPr>
            </w:pPr>
          </w:p>
        </w:tc>
        <w:tc>
          <w:tcPr>
            <w:tcW w:w="2574" w:type="dxa"/>
            <w:vAlign w:val="center"/>
          </w:tcPr>
          <w:p w14:paraId="4BC1E2CD">
            <w:pPr>
              <w:rPr>
                <w:rFonts w:ascii="宋体" w:hAnsi="宋体" w:cs="宋体"/>
                <w:color w:val="auto"/>
                <w:szCs w:val="21"/>
              </w:rPr>
            </w:pPr>
          </w:p>
        </w:tc>
        <w:tc>
          <w:tcPr>
            <w:tcW w:w="2124" w:type="dxa"/>
            <w:vAlign w:val="center"/>
          </w:tcPr>
          <w:p w14:paraId="209F6B97">
            <w:pPr>
              <w:rPr>
                <w:rFonts w:ascii="宋体" w:hAnsi="宋体" w:cs="宋体"/>
                <w:color w:val="auto"/>
                <w:szCs w:val="21"/>
              </w:rPr>
            </w:pPr>
          </w:p>
        </w:tc>
      </w:tr>
      <w:tr w14:paraId="6999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6E8E36D6">
            <w:pPr>
              <w:rPr>
                <w:rFonts w:ascii="宋体" w:hAnsi="宋体" w:cs="宋体"/>
                <w:color w:val="auto"/>
                <w:szCs w:val="21"/>
              </w:rPr>
            </w:pPr>
            <w:r>
              <w:rPr>
                <w:rFonts w:hint="eastAsia" w:ascii="宋体" w:hAnsi="宋体" w:cs="宋体"/>
                <w:b/>
                <w:bCs/>
                <w:color w:val="auto"/>
                <w:szCs w:val="21"/>
              </w:rPr>
              <w:t>技术参数、功能、服务等技术要求</w:t>
            </w:r>
          </w:p>
        </w:tc>
      </w:tr>
      <w:tr w14:paraId="33378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FDA13A5">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708293D3">
            <w:pPr>
              <w:jc w:val="left"/>
              <w:rPr>
                <w:rFonts w:ascii="宋体" w:hAnsi="宋体" w:cs="宋体"/>
                <w:color w:val="auto"/>
                <w:szCs w:val="21"/>
              </w:rPr>
            </w:pPr>
          </w:p>
        </w:tc>
        <w:tc>
          <w:tcPr>
            <w:tcW w:w="2574" w:type="dxa"/>
            <w:vAlign w:val="center"/>
          </w:tcPr>
          <w:p w14:paraId="55746E06">
            <w:pPr>
              <w:jc w:val="left"/>
              <w:rPr>
                <w:rFonts w:ascii="宋体" w:hAnsi="宋体" w:cs="宋体"/>
                <w:color w:val="auto"/>
                <w:szCs w:val="21"/>
              </w:rPr>
            </w:pPr>
          </w:p>
        </w:tc>
        <w:tc>
          <w:tcPr>
            <w:tcW w:w="2124" w:type="dxa"/>
            <w:vAlign w:val="center"/>
          </w:tcPr>
          <w:p w14:paraId="19D0DABB">
            <w:pPr>
              <w:jc w:val="left"/>
              <w:rPr>
                <w:rFonts w:ascii="宋体" w:hAnsi="宋体" w:cs="宋体"/>
                <w:color w:val="auto"/>
                <w:szCs w:val="21"/>
              </w:rPr>
            </w:pPr>
          </w:p>
        </w:tc>
      </w:tr>
      <w:tr w14:paraId="2D77F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89ED726">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0B7F1A60">
            <w:pPr>
              <w:jc w:val="left"/>
              <w:rPr>
                <w:rFonts w:ascii="宋体" w:hAnsi="宋体" w:cs="宋体"/>
                <w:color w:val="auto"/>
                <w:szCs w:val="21"/>
              </w:rPr>
            </w:pPr>
          </w:p>
        </w:tc>
        <w:tc>
          <w:tcPr>
            <w:tcW w:w="2574" w:type="dxa"/>
            <w:vAlign w:val="center"/>
          </w:tcPr>
          <w:p w14:paraId="0DEB9C3B">
            <w:pPr>
              <w:jc w:val="left"/>
              <w:rPr>
                <w:rFonts w:ascii="宋体" w:hAnsi="宋体" w:cs="宋体"/>
                <w:color w:val="auto"/>
                <w:szCs w:val="21"/>
              </w:rPr>
            </w:pPr>
          </w:p>
        </w:tc>
        <w:tc>
          <w:tcPr>
            <w:tcW w:w="2124" w:type="dxa"/>
            <w:vAlign w:val="center"/>
          </w:tcPr>
          <w:p w14:paraId="653DBEAC">
            <w:pPr>
              <w:jc w:val="left"/>
              <w:rPr>
                <w:rFonts w:ascii="宋体" w:hAnsi="宋体" w:cs="宋体"/>
                <w:color w:val="auto"/>
                <w:szCs w:val="21"/>
              </w:rPr>
            </w:pPr>
          </w:p>
        </w:tc>
      </w:tr>
      <w:tr w14:paraId="7CED7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000BB6D">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1F48374C">
            <w:pPr>
              <w:jc w:val="left"/>
              <w:rPr>
                <w:rFonts w:ascii="宋体" w:hAnsi="宋体" w:cs="宋体"/>
                <w:color w:val="auto"/>
                <w:szCs w:val="21"/>
              </w:rPr>
            </w:pPr>
          </w:p>
        </w:tc>
        <w:tc>
          <w:tcPr>
            <w:tcW w:w="2574" w:type="dxa"/>
            <w:vAlign w:val="center"/>
          </w:tcPr>
          <w:p w14:paraId="3492EF04">
            <w:pPr>
              <w:jc w:val="left"/>
              <w:rPr>
                <w:rFonts w:ascii="宋体" w:hAnsi="宋体" w:cs="宋体"/>
                <w:color w:val="auto"/>
                <w:szCs w:val="21"/>
              </w:rPr>
            </w:pPr>
          </w:p>
        </w:tc>
        <w:tc>
          <w:tcPr>
            <w:tcW w:w="2124" w:type="dxa"/>
            <w:vAlign w:val="center"/>
          </w:tcPr>
          <w:p w14:paraId="349F1D7B">
            <w:pPr>
              <w:jc w:val="left"/>
              <w:rPr>
                <w:rFonts w:ascii="宋体" w:hAnsi="宋体" w:cs="宋体"/>
                <w:color w:val="auto"/>
                <w:szCs w:val="21"/>
              </w:rPr>
            </w:pPr>
          </w:p>
        </w:tc>
      </w:tr>
    </w:tbl>
    <w:p w14:paraId="062F5479">
      <w:pPr>
        <w:spacing w:line="360" w:lineRule="auto"/>
        <w:rPr>
          <w:rFonts w:ascii="宋体" w:hAnsi="宋体"/>
          <w:b/>
          <w:bCs/>
          <w:color w:val="auto"/>
          <w:spacing w:val="-6"/>
          <w:szCs w:val="21"/>
        </w:rPr>
      </w:pPr>
    </w:p>
    <w:p w14:paraId="7834BA29">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673BD7D1">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4D10BEEB">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19F0D6F0">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661A4122">
      <w:pPr>
        <w:pStyle w:val="27"/>
        <w:spacing w:line="400" w:lineRule="atLeast"/>
        <w:ind w:left="-27" w:firstLine="422"/>
        <w:rPr>
          <w:rFonts w:ascii="Times New Roman" w:hAnsi="Times New Roman"/>
          <w:color w:val="auto"/>
          <w:sz w:val="24"/>
        </w:rPr>
      </w:pPr>
    </w:p>
    <w:p w14:paraId="1E69C9FA">
      <w:pPr>
        <w:pStyle w:val="27"/>
        <w:spacing w:line="400" w:lineRule="atLeast"/>
        <w:ind w:left="-27" w:firstLine="422"/>
        <w:rPr>
          <w:rFonts w:ascii="Times New Roman" w:hAnsi="Times New Roman"/>
          <w:color w:val="auto"/>
          <w:sz w:val="24"/>
        </w:rPr>
      </w:pPr>
    </w:p>
    <w:p w14:paraId="496DA7E8">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346DFEC">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091CDCD">
      <w:pPr>
        <w:spacing w:before="240" w:beforeLines="100" w:after="240" w:afterLines="100"/>
        <w:jc w:val="left"/>
        <w:rPr>
          <w:color w:val="auto"/>
          <w:sz w:val="24"/>
          <w:szCs w:val="24"/>
        </w:rPr>
      </w:pPr>
      <w:r>
        <w:rPr>
          <w:rFonts w:hint="eastAsia" w:ascii="宋体" w:hAnsi="宋体" w:cs="宋体"/>
          <w:color w:val="auto"/>
          <w:sz w:val="24"/>
        </w:rPr>
        <w:t>日期：      年   月   日</w:t>
      </w:r>
    </w:p>
    <w:p w14:paraId="36E61A03">
      <w:pPr>
        <w:pStyle w:val="27"/>
        <w:spacing w:line="400" w:lineRule="atLeast"/>
        <w:ind w:left="-27" w:firstLine="528"/>
        <w:rPr>
          <w:rFonts w:ascii="Times New Roman" w:hAnsi="Times New Roman"/>
          <w:color w:val="auto"/>
          <w:sz w:val="30"/>
        </w:rPr>
      </w:pPr>
    </w:p>
    <w:p w14:paraId="4692887A">
      <w:pPr>
        <w:pStyle w:val="4"/>
        <w:ind w:left="0" w:firstLine="0"/>
        <w:outlineLvl w:val="0"/>
        <w:rPr>
          <w:color w:val="auto"/>
        </w:rPr>
      </w:pPr>
      <w:r>
        <w:rPr>
          <w:bCs/>
          <w:color w:val="auto"/>
          <w:sz w:val="32"/>
        </w:rPr>
        <w:br w:type="page"/>
      </w:r>
      <w:bookmarkStart w:id="678" w:name="_Toc9528_WPSOffice_Level1"/>
      <w:bookmarkStart w:id="679" w:name="_Toc12587"/>
      <w:bookmarkStart w:id="680" w:name="_Toc1162"/>
      <w:bookmarkStart w:id="681" w:name="_Toc24911"/>
      <w:bookmarkStart w:id="682" w:name="_Toc5561"/>
      <w:bookmarkStart w:id="683" w:name="_Toc32055"/>
      <w:bookmarkStart w:id="684" w:name="_Toc21423"/>
      <w:bookmarkStart w:id="685" w:name="_Toc10664"/>
      <w:bookmarkStart w:id="686" w:name="_Toc24720"/>
      <w:bookmarkStart w:id="687" w:name="_Toc13064"/>
      <w:bookmarkStart w:id="688" w:name="_Toc7973"/>
      <w:bookmarkStart w:id="689" w:name="_Toc31125"/>
      <w:bookmarkStart w:id="690" w:name="_Toc8117"/>
      <w:bookmarkStart w:id="691" w:name="_Toc28469"/>
      <w:bookmarkStart w:id="692" w:name="_Toc13471"/>
      <w:bookmarkStart w:id="693" w:name="_Toc2658"/>
      <w:bookmarkStart w:id="694" w:name="_Toc5417"/>
      <w:bookmarkStart w:id="695" w:name="_Toc12636"/>
      <w:bookmarkStart w:id="696" w:name="_Toc21289"/>
      <w:bookmarkStart w:id="697" w:name="_Toc27033"/>
      <w:bookmarkStart w:id="698" w:name="_Toc19442"/>
      <w:bookmarkStart w:id="699" w:name="_Toc18149"/>
      <w:bookmarkStart w:id="700" w:name="_Toc18959"/>
      <w:bookmarkStart w:id="701" w:name="_Toc29052"/>
      <w:bookmarkStart w:id="702" w:name="_Toc16944"/>
      <w:bookmarkStart w:id="703" w:name="_Toc25833"/>
      <w:bookmarkStart w:id="704" w:name="_Toc14028"/>
      <w:bookmarkStart w:id="705" w:name="_Toc21740"/>
      <w:bookmarkStart w:id="706" w:name="_Toc15291"/>
      <w:bookmarkStart w:id="707" w:name="_Toc31984"/>
      <w:bookmarkStart w:id="708" w:name="_Toc4311"/>
      <w:bookmarkStart w:id="709" w:name="_Toc5267"/>
      <w:bookmarkStart w:id="710" w:name="_Toc23576"/>
      <w:bookmarkStart w:id="711" w:name="_Toc27408"/>
      <w:bookmarkStart w:id="712" w:name="_Toc21842"/>
      <w:bookmarkStart w:id="713" w:name="_Toc10611"/>
      <w:bookmarkStart w:id="714" w:name="_Toc26665"/>
      <w:bookmarkStart w:id="715" w:name="_Toc16636"/>
      <w:bookmarkStart w:id="716" w:name="_Toc15898"/>
      <w:bookmarkStart w:id="717" w:name="_Toc22794"/>
      <w:bookmarkStart w:id="718" w:name="_Toc20418"/>
      <w:bookmarkStart w:id="719" w:name="_Toc16423"/>
      <w:bookmarkStart w:id="720" w:name="_Toc22688"/>
      <w:bookmarkStart w:id="721" w:name="_Toc23923"/>
      <w:bookmarkStart w:id="722" w:name="_Toc17790"/>
      <w:bookmarkStart w:id="723" w:name="_Toc3703"/>
      <w:bookmarkStart w:id="724" w:name="_Toc18451"/>
      <w:bookmarkStart w:id="725" w:name="_Toc27705"/>
      <w:bookmarkStart w:id="726" w:name="_Toc22720"/>
      <w:bookmarkStart w:id="727" w:name="_Toc14653"/>
      <w:bookmarkStart w:id="728" w:name="_Toc25187"/>
      <w:bookmarkStart w:id="729" w:name="_Toc23122"/>
      <w:bookmarkStart w:id="730" w:name="_Toc12787"/>
      <w:bookmarkStart w:id="731" w:name="_Toc16502"/>
      <w:bookmarkStart w:id="732" w:name="_Toc13985"/>
      <w:bookmarkStart w:id="733" w:name="_Toc3061"/>
      <w:bookmarkStart w:id="734" w:name="_Toc19416"/>
      <w:bookmarkStart w:id="735" w:name="_Toc32508"/>
      <w:bookmarkStart w:id="736" w:name="_Toc1110"/>
      <w:bookmarkStart w:id="737" w:name="_Toc26450"/>
      <w:bookmarkStart w:id="738" w:name="_Toc9470"/>
      <w:r>
        <w:rPr>
          <w:rFonts w:hint="eastAsia"/>
          <w:color w:val="auto"/>
        </w:rPr>
        <w:t>（6）响应方基本情况表</w:t>
      </w:r>
      <w:bookmarkEnd w:id="678"/>
    </w:p>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14:paraId="46818F0A">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28A74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5331227">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534B22A9">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42382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505A3B6">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0EFEA449">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34AD4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D7E3873">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3AFD52EE">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22312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00D5F15">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62A0DDB1">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1612E874">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3500C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DB389A2">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179A2AE9">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1F3EE8E5">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1E97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D0BE393">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23B13240">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488A1B57">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72B0E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DA268F4">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760BB028">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5C20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A02D5A9">
            <w:pPr>
              <w:spacing w:line="288" w:lineRule="auto"/>
              <w:jc w:val="center"/>
              <w:rPr>
                <w:rFonts w:hint="eastAsia" w:ascii="宋体" w:hAnsi="宋体" w:eastAsia="宋体" w:cs="宋体"/>
                <w:color w:val="auto"/>
                <w:sz w:val="24"/>
                <w:szCs w:val="24"/>
                <w:lang w:eastAsia="zh-CN"/>
              </w:rPr>
            </w:pPr>
            <w:r>
              <w:rPr>
                <w:rFonts w:hint="eastAsia" w:ascii="宋体" w:hAnsi="宋体" w:cs="宋体"/>
                <w:color w:val="auto"/>
                <w:spacing w:val="-6"/>
                <w:sz w:val="24"/>
                <w:szCs w:val="24"/>
                <w:lang w:val="en-US" w:eastAsia="zh-CN"/>
              </w:rPr>
              <w:t>8</w:t>
            </w:r>
          </w:p>
        </w:tc>
        <w:tc>
          <w:tcPr>
            <w:tcW w:w="2520" w:type="dxa"/>
            <w:vAlign w:val="center"/>
          </w:tcPr>
          <w:p w14:paraId="274DE414">
            <w:pPr>
              <w:spacing w:line="288" w:lineRule="auto"/>
              <w:jc w:val="center"/>
              <w:rPr>
                <w:rFonts w:hint="default" w:ascii="宋体" w:hAnsi="宋体" w:eastAsia="宋体" w:cs="宋体"/>
                <w:color w:val="auto"/>
                <w:sz w:val="24"/>
                <w:szCs w:val="24"/>
                <w:lang w:val="en-US" w:eastAsia="zh-CN"/>
              </w:rPr>
            </w:pPr>
            <w:r>
              <w:rPr>
                <w:rFonts w:hint="eastAsia" w:ascii="宋体" w:hAnsi="宋体" w:cs="宋体"/>
                <w:color w:val="auto"/>
                <w:spacing w:val="-6"/>
                <w:sz w:val="24"/>
                <w:szCs w:val="24"/>
                <w:lang w:val="en-US" w:eastAsia="zh-CN"/>
              </w:rPr>
              <w:t>企业规模</w:t>
            </w:r>
          </w:p>
        </w:tc>
        <w:tc>
          <w:tcPr>
            <w:tcW w:w="6348" w:type="dxa"/>
            <w:gridSpan w:val="2"/>
            <w:vAlign w:val="center"/>
          </w:tcPr>
          <w:p w14:paraId="69E153C1">
            <w:pPr>
              <w:spacing w:line="360" w:lineRule="auto"/>
              <w:rPr>
                <w:rFonts w:hint="default" w:ascii="宋体" w:hAnsi="宋体" w:eastAsia="宋体" w:cs="宋体"/>
                <w:color w:val="auto"/>
                <w:sz w:val="24"/>
                <w:szCs w:val="24"/>
                <w:lang w:val="en-US"/>
              </w:rPr>
            </w:pP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val="en-US" w:eastAsia="zh-CN"/>
              </w:rPr>
              <w:t>承建（承接）</w:t>
            </w:r>
            <w:r>
              <w:rPr>
                <w:rFonts w:hint="eastAsia" w:ascii="宋体" w:hAnsi="宋体" w:cs="宋体"/>
                <w:color w:val="auto"/>
                <w:spacing w:val="-6"/>
                <w:sz w:val="24"/>
                <w:szCs w:val="24"/>
                <w:lang w:val="en-US" w:eastAsia="zh-CN"/>
              </w:rPr>
              <w:t>企业</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r>
              <w:rPr>
                <w:rFonts w:hint="eastAsia" w:ascii="宋体" w:hAnsi="宋体" w:eastAsia="宋体" w:cs="宋体"/>
                <w:i/>
                <w:iCs/>
                <w:color w:val="auto"/>
                <w:sz w:val="24"/>
                <w:szCs w:val="24"/>
                <w:lang w:eastAsia="zh-CN"/>
              </w:rPr>
              <w:t>（</w:t>
            </w:r>
            <w:r>
              <w:rPr>
                <w:rFonts w:hint="eastAsia" w:ascii="宋体" w:hAnsi="宋体" w:eastAsia="宋体" w:cs="宋体"/>
                <w:i/>
                <w:iCs/>
                <w:color w:val="auto"/>
                <w:sz w:val="24"/>
                <w:szCs w:val="24"/>
                <w:lang w:val="en-US" w:eastAsia="zh-CN"/>
              </w:rPr>
              <w:t>注：若有多家承建（承接）企业，请自行增添</w:t>
            </w:r>
            <w:r>
              <w:rPr>
                <w:rFonts w:hint="eastAsia" w:ascii="宋体" w:hAnsi="宋体" w:cs="宋体"/>
                <w:i/>
                <w:iCs/>
                <w:color w:val="auto"/>
                <w:sz w:val="24"/>
                <w:szCs w:val="24"/>
                <w:lang w:val="en-US" w:eastAsia="zh-CN"/>
              </w:rPr>
              <w:t>）。</w:t>
            </w:r>
          </w:p>
        </w:tc>
      </w:tr>
      <w:tr w14:paraId="6CD9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E6FFDEE">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p>
        </w:tc>
        <w:tc>
          <w:tcPr>
            <w:tcW w:w="2520" w:type="dxa"/>
            <w:vAlign w:val="center"/>
          </w:tcPr>
          <w:p w14:paraId="45DC6FE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20EE669C">
            <w:pPr>
              <w:spacing w:line="360" w:lineRule="auto"/>
              <w:rPr>
                <w:rFonts w:hint="eastAsia" w:ascii="宋体" w:hAnsi="宋体" w:eastAsia="宋体" w:cs="宋体"/>
                <w:color w:val="auto"/>
                <w:sz w:val="24"/>
                <w:szCs w:val="24"/>
              </w:rPr>
            </w:pPr>
          </w:p>
        </w:tc>
      </w:tr>
    </w:tbl>
    <w:p w14:paraId="37CD2C29">
      <w:pPr>
        <w:spacing w:line="360" w:lineRule="auto"/>
        <w:ind w:firstLine="240" w:firstLineChars="100"/>
        <w:rPr>
          <w:color w:val="auto"/>
          <w:sz w:val="24"/>
          <w:szCs w:val="24"/>
        </w:rPr>
      </w:pPr>
      <w:r>
        <w:rPr>
          <w:rFonts w:hint="eastAsia"/>
          <w:color w:val="auto"/>
          <w:sz w:val="24"/>
          <w:szCs w:val="24"/>
        </w:rPr>
        <w:t>说明：</w:t>
      </w:r>
    </w:p>
    <w:p w14:paraId="5D3747B5">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4A76633C">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6CAD7CE4">
      <w:pPr>
        <w:spacing w:line="360" w:lineRule="auto"/>
        <w:ind w:firstLine="360" w:firstLineChars="150"/>
        <w:jc w:val="left"/>
        <w:rPr>
          <w:color w:val="auto"/>
          <w:sz w:val="24"/>
          <w:szCs w:val="24"/>
        </w:rPr>
      </w:pPr>
    </w:p>
    <w:p w14:paraId="2CEBBE1B">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3586DB6F">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EB2EFB3">
      <w:pPr>
        <w:spacing w:before="240" w:beforeLines="100" w:after="240" w:afterLines="100"/>
        <w:jc w:val="left"/>
        <w:rPr>
          <w:color w:val="auto"/>
          <w:sz w:val="24"/>
          <w:szCs w:val="24"/>
        </w:rPr>
      </w:pPr>
      <w:r>
        <w:rPr>
          <w:rFonts w:hint="eastAsia" w:ascii="宋体" w:hAnsi="宋体" w:cs="宋体"/>
          <w:color w:val="auto"/>
          <w:sz w:val="24"/>
        </w:rPr>
        <w:t>日期：      年   月   日</w:t>
      </w:r>
    </w:p>
    <w:p w14:paraId="2F6EAA23">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0E7E1E47">
      <w:pPr>
        <w:pStyle w:val="4"/>
        <w:ind w:left="0" w:firstLine="0"/>
        <w:outlineLvl w:val="0"/>
        <w:rPr>
          <w:color w:val="auto"/>
        </w:rPr>
      </w:pPr>
      <w:bookmarkStart w:id="739" w:name="_Toc9529_WPSOffice_Level1"/>
      <w:bookmarkStart w:id="740" w:name="_Toc24426"/>
      <w:bookmarkStart w:id="741" w:name="_Toc18777"/>
      <w:bookmarkStart w:id="742" w:name="_Toc3841"/>
      <w:bookmarkStart w:id="743" w:name="_Toc16592"/>
      <w:bookmarkStart w:id="744" w:name="_Toc17265"/>
      <w:bookmarkStart w:id="745" w:name="_Toc21110"/>
      <w:bookmarkStart w:id="746" w:name="_Toc20174"/>
      <w:bookmarkStart w:id="747" w:name="_Toc5024"/>
      <w:bookmarkStart w:id="748" w:name="_Toc3327"/>
      <w:bookmarkStart w:id="749" w:name="_Toc21767"/>
      <w:r>
        <w:rPr>
          <w:rFonts w:hint="eastAsia"/>
          <w:color w:val="auto"/>
        </w:rPr>
        <w:t>（7）供应商同类合同一览表</w:t>
      </w:r>
      <w:bookmarkEnd w:id="739"/>
    </w:p>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40"/>
    <w:bookmarkEnd w:id="741"/>
    <w:bookmarkEnd w:id="742"/>
    <w:bookmarkEnd w:id="743"/>
    <w:bookmarkEnd w:id="744"/>
    <w:bookmarkEnd w:id="745"/>
    <w:bookmarkEnd w:id="746"/>
    <w:bookmarkEnd w:id="747"/>
    <w:bookmarkEnd w:id="748"/>
    <w:bookmarkEnd w:id="749"/>
    <w:p w14:paraId="20827035">
      <w:pPr>
        <w:adjustRightInd w:val="0"/>
        <w:snapToGrid w:val="0"/>
        <w:spacing w:line="288" w:lineRule="auto"/>
        <w:jc w:val="center"/>
        <w:outlineLvl w:val="1"/>
        <w:rPr>
          <w:rFonts w:hint="eastAsia"/>
          <w:color w:val="auto"/>
          <w:sz w:val="24"/>
          <w:szCs w:val="24"/>
        </w:rPr>
      </w:pPr>
      <w:bookmarkStart w:id="750"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7DF57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F6018E5">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4FE70581">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3C9AB7F8">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7F201AAB">
            <w:pPr>
              <w:adjustRightInd w:val="0"/>
              <w:snapToGrid w:val="0"/>
              <w:spacing w:line="288" w:lineRule="auto"/>
              <w:jc w:val="center"/>
              <w:rPr>
                <w:color w:val="auto"/>
                <w:sz w:val="24"/>
                <w:szCs w:val="24"/>
              </w:rPr>
            </w:pPr>
            <w:r>
              <w:rPr>
                <w:rFonts w:hint="eastAsia"/>
                <w:color w:val="auto"/>
                <w:sz w:val="24"/>
                <w:szCs w:val="24"/>
              </w:rPr>
              <w:t>合同金额</w:t>
            </w:r>
          </w:p>
          <w:p w14:paraId="470C67FE">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0DDEA7BE">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0038E536">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355E5F34">
            <w:pPr>
              <w:adjustRightInd w:val="0"/>
              <w:snapToGrid w:val="0"/>
              <w:spacing w:line="288" w:lineRule="auto"/>
              <w:jc w:val="center"/>
              <w:rPr>
                <w:color w:val="auto"/>
                <w:sz w:val="24"/>
                <w:szCs w:val="24"/>
              </w:rPr>
            </w:pPr>
            <w:r>
              <w:rPr>
                <w:rFonts w:hint="eastAsia"/>
                <w:color w:val="auto"/>
                <w:sz w:val="24"/>
                <w:szCs w:val="24"/>
              </w:rPr>
              <w:t>采购单位</w:t>
            </w:r>
          </w:p>
          <w:p w14:paraId="433E9213">
            <w:pPr>
              <w:adjustRightInd w:val="0"/>
              <w:snapToGrid w:val="0"/>
              <w:spacing w:line="288" w:lineRule="auto"/>
              <w:jc w:val="center"/>
              <w:rPr>
                <w:color w:val="auto"/>
                <w:sz w:val="24"/>
                <w:szCs w:val="24"/>
              </w:rPr>
            </w:pPr>
            <w:r>
              <w:rPr>
                <w:rFonts w:hint="eastAsia"/>
                <w:color w:val="auto"/>
                <w:sz w:val="24"/>
                <w:szCs w:val="24"/>
              </w:rPr>
              <w:t>联系人及电话</w:t>
            </w:r>
          </w:p>
        </w:tc>
      </w:tr>
      <w:tr w14:paraId="7C0FF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71303055">
            <w:pPr>
              <w:adjustRightInd w:val="0"/>
              <w:snapToGrid w:val="0"/>
              <w:spacing w:line="288" w:lineRule="auto"/>
              <w:jc w:val="center"/>
              <w:rPr>
                <w:color w:val="auto"/>
                <w:sz w:val="24"/>
                <w:szCs w:val="24"/>
              </w:rPr>
            </w:pPr>
          </w:p>
        </w:tc>
        <w:tc>
          <w:tcPr>
            <w:tcW w:w="1380" w:type="dxa"/>
            <w:vAlign w:val="center"/>
          </w:tcPr>
          <w:p w14:paraId="2AB5C6D8">
            <w:pPr>
              <w:adjustRightInd w:val="0"/>
              <w:snapToGrid w:val="0"/>
              <w:spacing w:line="288" w:lineRule="auto"/>
              <w:jc w:val="center"/>
              <w:rPr>
                <w:color w:val="auto"/>
                <w:sz w:val="24"/>
                <w:szCs w:val="24"/>
              </w:rPr>
            </w:pPr>
          </w:p>
        </w:tc>
        <w:tc>
          <w:tcPr>
            <w:tcW w:w="1510" w:type="dxa"/>
            <w:vAlign w:val="center"/>
          </w:tcPr>
          <w:p w14:paraId="777D4CF4">
            <w:pPr>
              <w:adjustRightInd w:val="0"/>
              <w:snapToGrid w:val="0"/>
              <w:spacing w:line="288" w:lineRule="auto"/>
              <w:jc w:val="center"/>
              <w:rPr>
                <w:color w:val="auto"/>
                <w:sz w:val="24"/>
                <w:szCs w:val="24"/>
              </w:rPr>
            </w:pPr>
          </w:p>
        </w:tc>
        <w:tc>
          <w:tcPr>
            <w:tcW w:w="1256" w:type="dxa"/>
            <w:vAlign w:val="center"/>
          </w:tcPr>
          <w:p w14:paraId="3E3F49CC">
            <w:pPr>
              <w:adjustRightInd w:val="0"/>
              <w:snapToGrid w:val="0"/>
              <w:spacing w:line="288" w:lineRule="auto"/>
              <w:jc w:val="center"/>
              <w:rPr>
                <w:color w:val="auto"/>
                <w:sz w:val="24"/>
                <w:szCs w:val="24"/>
              </w:rPr>
            </w:pPr>
          </w:p>
        </w:tc>
        <w:tc>
          <w:tcPr>
            <w:tcW w:w="732" w:type="dxa"/>
            <w:vAlign w:val="center"/>
          </w:tcPr>
          <w:p w14:paraId="7440A9CA">
            <w:pPr>
              <w:adjustRightInd w:val="0"/>
              <w:snapToGrid w:val="0"/>
              <w:spacing w:line="288" w:lineRule="auto"/>
              <w:jc w:val="center"/>
              <w:rPr>
                <w:color w:val="auto"/>
                <w:sz w:val="24"/>
                <w:szCs w:val="24"/>
              </w:rPr>
            </w:pPr>
          </w:p>
        </w:tc>
        <w:tc>
          <w:tcPr>
            <w:tcW w:w="1005" w:type="dxa"/>
            <w:vAlign w:val="center"/>
          </w:tcPr>
          <w:p w14:paraId="719AB6E0">
            <w:pPr>
              <w:adjustRightInd w:val="0"/>
              <w:snapToGrid w:val="0"/>
              <w:spacing w:line="288" w:lineRule="auto"/>
              <w:jc w:val="center"/>
              <w:rPr>
                <w:color w:val="auto"/>
                <w:sz w:val="24"/>
                <w:szCs w:val="24"/>
              </w:rPr>
            </w:pPr>
          </w:p>
        </w:tc>
        <w:tc>
          <w:tcPr>
            <w:tcW w:w="1675" w:type="dxa"/>
            <w:vAlign w:val="center"/>
          </w:tcPr>
          <w:p w14:paraId="13E7D567">
            <w:pPr>
              <w:adjustRightInd w:val="0"/>
              <w:snapToGrid w:val="0"/>
              <w:spacing w:line="288" w:lineRule="auto"/>
              <w:jc w:val="center"/>
              <w:rPr>
                <w:color w:val="auto"/>
                <w:sz w:val="24"/>
                <w:szCs w:val="24"/>
              </w:rPr>
            </w:pPr>
          </w:p>
        </w:tc>
      </w:tr>
      <w:tr w14:paraId="54327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099A490">
            <w:pPr>
              <w:adjustRightInd w:val="0"/>
              <w:snapToGrid w:val="0"/>
              <w:spacing w:line="288" w:lineRule="auto"/>
              <w:jc w:val="center"/>
              <w:rPr>
                <w:color w:val="auto"/>
                <w:sz w:val="24"/>
                <w:szCs w:val="24"/>
              </w:rPr>
            </w:pPr>
          </w:p>
        </w:tc>
        <w:tc>
          <w:tcPr>
            <w:tcW w:w="1380" w:type="dxa"/>
            <w:vAlign w:val="center"/>
          </w:tcPr>
          <w:p w14:paraId="2C52FF70">
            <w:pPr>
              <w:adjustRightInd w:val="0"/>
              <w:snapToGrid w:val="0"/>
              <w:spacing w:line="288" w:lineRule="auto"/>
              <w:jc w:val="center"/>
              <w:rPr>
                <w:color w:val="auto"/>
                <w:sz w:val="24"/>
                <w:szCs w:val="24"/>
              </w:rPr>
            </w:pPr>
          </w:p>
        </w:tc>
        <w:tc>
          <w:tcPr>
            <w:tcW w:w="1510" w:type="dxa"/>
            <w:vAlign w:val="center"/>
          </w:tcPr>
          <w:p w14:paraId="0264C521">
            <w:pPr>
              <w:adjustRightInd w:val="0"/>
              <w:snapToGrid w:val="0"/>
              <w:spacing w:line="288" w:lineRule="auto"/>
              <w:jc w:val="center"/>
              <w:rPr>
                <w:color w:val="auto"/>
                <w:sz w:val="24"/>
                <w:szCs w:val="24"/>
              </w:rPr>
            </w:pPr>
          </w:p>
        </w:tc>
        <w:tc>
          <w:tcPr>
            <w:tcW w:w="1256" w:type="dxa"/>
            <w:vAlign w:val="center"/>
          </w:tcPr>
          <w:p w14:paraId="21EA6B5A">
            <w:pPr>
              <w:adjustRightInd w:val="0"/>
              <w:snapToGrid w:val="0"/>
              <w:spacing w:line="288" w:lineRule="auto"/>
              <w:jc w:val="center"/>
              <w:rPr>
                <w:color w:val="auto"/>
                <w:sz w:val="24"/>
                <w:szCs w:val="24"/>
              </w:rPr>
            </w:pPr>
          </w:p>
        </w:tc>
        <w:tc>
          <w:tcPr>
            <w:tcW w:w="732" w:type="dxa"/>
            <w:vAlign w:val="center"/>
          </w:tcPr>
          <w:p w14:paraId="461FFEEC">
            <w:pPr>
              <w:adjustRightInd w:val="0"/>
              <w:snapToGrid w:val="0"/>
              <w:spacing w:line="288" w:lineRule="auto"/>
              <w:jc w:val="center"/>
              <w:rPr>
                <w:color w:val="auto"/>
                <w:sz w:val="24"/>
                <w:szCs w:val="24"/>
              </w:rPr>
            </w:pPr>
          </w:p>
        </w:tc>
        <w:tc>
          <w:tcPr>
            <w:tcW w:w="1005" w:type="dxa"/>
            <w:vAlign w:val="center"/>
          </w:tcPr>
          <w:p w14:paraId="71E573EB">
            <w:pPr>
              <w:adjustRightInd w:val="0"/>
              <w:snapToGrid w:val="0"/>
              <w:spacing w:line="288" w:lineRule="auto"/>
              <w:jc w:val="center"/>
              <w:rPr>
                <w:color w:val="auto"/>
                <w:sz w:val="24"/>
                <w:szCs w:val="24"/>
              </w:rPr>
            </w:pPr>
          </w:p>
        </w:tc>
        <w:tc>
          <w:tcPr>
            <w:tcW w:w="1675" w:type="dxa"/>
            <w:vAlign w:val="center"/>
          </w:tcPr>
          <w:p w14:paraId="66A08DB8">
            <w:pPr>
              <w:adjustRightInd w:val="0"/>
              <w:snapToGrid w:val="0"/>
              <w:spacing w:line="288" w:lineRule="auto"/>
              <w:jc w:val="center"/>
              <w:rPr>
                <w:color w:val="auto"/>
                <w:sz w:val="24"/>
                <w:szCs w:val="24"/>
              </w:rPr>
            </w:pPr>
          </w:p>
        </w:tc>
      </w:tr>
      <w:tr w14:paraId="74919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51086A6">
            <w:pPr>
              <w:adjustRightInd w:val="0"/>
              <w:snapToGrid w:val="0"/>
              <w:spacing w:line="288" w:lineRule="auto"/>
              <w:jc w:val="center"/>
              <w:rPr>
                <w:color w:val="auto"/>
                <w:sz w:val="24"/>
                <w:szCs w:val="24"/>
              </w:rPr>
            </w:pPr>
          </w:p>
        </w:tc>
        <w:tc>
          <w:tcPr>
            <w:tcW w:w="1380" w:type="dxa"/>
            <w:vAlign w:val="center"/>
          </w:tcPr>
          <w:p w14:paraId="416D40B7">
            <w:pPr>
              <w:adjustRightInd w:val="0"/>
              <w:snapToGrid w:val="0"/>
              <w:spacing w:line="288" w:lineRule="auto"/>
              <w:jc w:val="center"/>
              <w:rPr>
                <w:color w:val="auto"/>
                <w:sz w:val="24"/>
                <w:szCs w:val="24"/>
              </w:rPr>
            </w:pPr>
          </w:p>
        </w:tc>
        <w:tc>
          <w:tcPr>
            <w:tcW w:w="1510" w:type="dxa"/>
            <w:vAlign w:val="center"/>
          </w:tcPr>
          <w:p w14:paraId="2AC018E9">
            <w:pPr>
              <w:adjustRightInd w:val="0"/>
              <w:snapToGrid w:val="0"/>
              <w:spacing w:line="288" w:lineRule="auto"/>
              <w:jc w:val="center"/>
              <w:rPr>
                <w:color w:val="auto"/>
                <w:sz w:val="24"/>
                <w:szCs w:val="24"/>
              </w:rPr>
            </w:pPr>
          </w:p>
        </w:tc>
        <w:tc>
          <w:tcPr>
            <w:tcW w:w="1256" w:type="dxa"/>
            <w:vAlign w:val="center"/>
          </w:tcPr>
          <w:p w14:paraId="7FE19929">
            <w:pPr>
              <w:adjustRightInd w:val="0"/>
              <w:snapToGrid w:val="0"/>
              <w:spacing w:line="288" w:lineRule="auto"/>
              <w:jc w:val="center"/>
              <w:rPr>
                <w:color w:val="auto"/>
                <w:sz w:val="24"/>
                <w:szCs w:val="24"/>
              </w:rPr>
            </w:pPr>
          </w:p>
        </w:tc>
        <w:tc>
          <w:tcPr>
            <w:tcW w:w="732" w:type="dxa"/>
            <w:vAlign w:val="center"/>
          </w:tcPr>
          <w:p w14:paraId="33B304A2">
            <w:pPr>
              <w:adjustRightInd w:val="0"/>
              <w:snapToGrid w:val="0"/>
              <w:spacing w:line="288" w:lineRule="auto"/>
              <w:jc w:val="center"/>
              <w:rPr>
                <w:color w:val="auto"/>
                <w:sz w:val="24"/>
                <w:szCs w:val="24"/>
              </w:rPr>
            </w:pPr>
          </w:p>
        </w:tc>
        <w:tc>
          <w:tcPr>
            <w:tcW w:w="1005" w:type="dxa"/>
            <w:vAlign w:val="center"/>
          </w:tcPr>
          <w:p w14:paraId="072B86BC">
            <w:pPr>
              <w:adjustRightInd w:val="0"/>
              <w:snapToGrid w:val="0"/>
              <w:spacing w:line="288" w:lineRule="auto"/>
              <w:jc w:val="center"/>
              <w:rPr>
                <w:color w:val="auto"/>
                <w:sz w:val="24"/>
                <w:szCs w:val="24"/>
              </w:rPr>
            </w:pPr>
          </w:p>
        </w:tc>
        <w:tc>
          <w:tcPr>
            <w:tcW w:w="1675" w:type="dxa"/>
            <w:vAlign w:val="center"/>
          </w:tcPr>
          <w:p w14:paraId="21ED99B5">
            <w:pPr>
              <w:adjustRightInd w:val="0"/>
              <w:snapToGrid w:val="0"/>
              <w:spacing w:line="288" w:lineRule="auto"/>
              <w:jc w:val="center"/>
              <w:rPr>
                <w:color w:val="auto"/>
                <w:sz w:val="24"/>
                <w:szCs w:val="24"/>
              </w:rPr>
            </w:pPr>
          </w:p>
        </w:tc>
      </w:tr>
      <w:tr w14:paraId="44504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76D109F9">
            <w:pPr>
              <w:adjustRightInd w:val="0"/>
              <w:snapToGrid w:val="0"/>
              <w:spacing w:line="288" w:lineRule="auto"/>
              <w:jc w:val="center"/>
              <w:rPr>
                <w:color w:val="auto"/>
                <w:sz w:val="24"/>
                <w:szCs w:val="24"/>
              </w:rPr>
            </w:pPr>
          </w:p>
        </w:tc>
        <w:tc>
          <w:tcPr>
            <w:tcW w:w="1380" w:type="dxa"/>
            <w:vAlign w:val="center"/>
          </w:tcPr>
          <w:p w14:paraId="1D3E5F43">
            <w:pPr>
              <w:adjustRightInd w:val="0"/>
              <w:snapToGrid w:val="0"/>
              <w:spacing w:line="288" w:lineRule="auto"/>
              <w:jc w:val="center"/>
              <w:rPr>
                <w:color w:val="auto"/>
                <w:sz w:val="24"/>
                <w:szCs w:val="24"/>
              </w:rPr>
            </w:pPr>
          </w:p>
        </w:tc>
        <w:tc>
          <w:tcPr>
            <w:tcW w:w="1510" w:type="dxa"/>
            <w:vAlign w:val="center"/>
          </w:tcPr>
          <w:p w14:paraId="7E799FBF">
            <w:pPr>
              <w:adjustRightInd w:val="0"/>
              <w:snapToGrid w:val="0"/>
              <w:spacing w:line="288" w:lineRule="auto"/>
              <w:jc w:val="center"/>
              <w:rPr>
                <w:color w:val="auto"/>
                <w:sz w:val="24"/>
                <w:szCs w:val="24"/>
              </w:rPr>
            </w:pPr>
          </w:p>
        </w:tc>
        <w:tc>
          <w:tcPr>
            <w:tcW w:w="1256" w:type="dxa"/>
            <w:vAlign w:val="center"/>
          </w:tcPr>
          <w:p w14:paraId="4463EB86">
            <w:pPr>
              <w:adjustRightInd w:val="0"/>
              <w:snapToGrid w:val="0"/>
              <w:spacing w:line="288" w:lineRule="auto"/>
              <w:jc w:val="center"/>
              <w:rPr>
                <w:color w:val="auto"/>
                <w:sz w:val="24"/>
                <w:szCs w:val="24"/>
              </w:rPr>
            </w:pPr>
          </w:p>
        </w:tc>
        <w:tc>
          <w:tcPr>
            <w:tcW w:w="732" w:type="dxa"/>
            <w:vAlign w:val="center"/>
          </w:tcPr>
          <w:p w14:paraId="20AD3304">
            <w:pPr>
              <w:adjustRightInd w:val="0"/>
              <w:snapToGrid w:val="0"/>
              <w:spacing w:line="288" w:lineRule="auto"/>
              <w:jc w:val="center"/>
              <w:rPr>
                <w:color w:val="auto"/>
                <w:sz w:val="24"/>
                <w:szCs w:val="24"/>
              </w:rPr>
            </w:pPr>
          </w:p>
        </w:tc>
        <w:tc>
          <w:tcPr>
            <w:tcW w:w="1005" w:type="dxa"/>
            <w:vAlign w:val="center"/>
          </w:tcPr>
          <w:p w14:paraId="17CFE7C7">
            <w:pPr>
              <w:adjustRightInd w:val="0"/>
              <w:snapToGrid w:val="0"/>
              <w:spacing w:line="288" w:lineRule="auto"/>
              <w:jc w:val="center"/>
              <w:rPr>
                <w:color w:val="auto"/>
                <w:sz w:val="24"/>
                <w:szCs w:val="24"/>
              </w:rPr>
            </w:pPr>
          </w:p>
        </w:tc>
        <w:tc>
          <w:tcPr>
            <w:tcW w:w="1675" w:type="dxa"/>
            <w:vAlign w:val="center"/>
          </w:tcPr>
          <w:p w14:paraId="05B68B45">
            <w:pPr>
              <w:adjustRightInd w:val="0"/>
              <w:snapToGrid w:val="0"/>
              <w:spacing w:line="288" w:lineRule="auto"/>
              <w:jc w:val="center"/>
              <w:rPr>
                <w:color w:val="auto"/>
                <w:sz w:val="24"/>
                <w:szCs w:val="24"/>
              </w:rPr>
            </w:pPr>
          </w:p>
        </w:tc>
      </w:tr>
    </w:tbl>
    <w:p w14:paraId="082AAE55">
      <w:pPr>
        <w:adjustRightInd w:val="0"/>
        <w:snapToGrid w:val="0"/>
        <w:spacing w:line="288" w:lineRule="auto"/>
        <w:rPr>
          <w:color w:val="auto"/>
          <w:sz w:val="24"/>
          <w:szCs w:val="24"/>
        </w:rPr>
      </w:pPr>
    </w:p>
    <w:p w14:paraId="473F0B25">
      <w:pPr>
        <w:adjustRightInd w:val="0"/>
        <w:snapToGrid w:val="0"/>
        <w:spacing w:line="288" w:lineRule="auto"/>
        <w:rPr>
          <w:color w:val="auto"/>
          <w:sz w:val="24"/>
          <w:szCs w:val="24"/>
        </w:rPr>
      </w:pPr>
      <w:r>
        <w:rPr>
          <w:rFonts w:hint="eastAsia"/>
          <w:color w:val="auto"/>
          <w:sz w:val="24"/>
          <w:szCs w:val="24"/>
        </w:rPr>
        <w:t>说明：</w:t>
      </w:r>
    </w:p>
    <w:p w14:paraId="6722F22C">
      <w:pPr>
        <w:adjustRightInd w:val="0"/>
        <w:snapToGrid w:val="0"/>
        <w:spacing w:line="288" w:lineRule="auto"/>
        <w:rPr>
          <w:color w:val="auto"/>
          <w:sz w:val="24"/>
          <w:szCs w:val="24"/>
        </w:rPr>
      </w:pPr>
      <w:r>
        <w:rPr>
          <w:rFonts w:hint="eastAsia"/>
          <w:color w:val="auto"/>
          <w:sz w:val="24"/>
          <w:szCs w:val="24"/>
        </w:rPr>
        <w:t>1.供应商须提供上述业绩合同扫描件；</w:t>
      </w:r>
    </w:p>
    <w:p w14:paraId="5DBE80C5">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411991DF">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323EB88C">
      <w:pPr>
        <w:pStyle w:val="27"/>
        <w:spacing w:line="360" w:lineRule="auto"/>
        <w:ind w:left="-27" w:firstLine="424"/>
        <w:rPr>
          <w:rFonts w:ascii="Times New Roman" w:hAnsi="Times New Roman"/>
          <w:b/>
          <w:bCs/>
          <w:color w:val="auto"/>
          <w:sz w:val="24"/>
          <w:szCs w:val="24"/>
        </w:rPr>
      </w:pPr>
    </w:p>
    <w:p w14:paraId="4530A2E6">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3F5C3A2A">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C5961F2">
      <w:pPr>
        <w:spacing w:line="360" w:lineRule="auto"/>
        <w:rPr>
          <w:color w:val="auto"/>
          <w:sz w:val="24"/>
          <w:szCs w:val="24"/>
        </w:rPr>
      </w:pPr>
      <w:r>
        <w:rPr>
          <w:rFonts w:hint="eastAsia" w:ascii="宋体" w:hAnsi="宋体" w:cs="宋体"/>
          <w:color w:val="auto"/>
          <w:sz w:val="24"/>
        </w:rPr>
        <w:t>日期：      年   月   日</w:t>
      </w:r>
    </w:p>
    <w:p w14:paraId="6A8FBFEC">
      <w:pPr>
        <w:rPr>
          <w:rFonts w:ascii="黑体" w:hAnsi="黑体" w:eastAsia="黑体" w:cs="黑体"/>
          <w:color w:val="auto"/>
          <w:sz w:val="28"/>
          <w:szCs w:val="28"/>
        </w:rPr>
      </w:pPr>
      <w:bookmarkStart w:id="751" w:name="_Toc27754"/>
      <w:bookmarkStart w:id="752" w:name="_Toc12743"/>
      <w:bookmarkStart w:id="753" w:name="_Toc9100"/>
      <w:bookmarkStart w:id="754" w:name="_Toc9428"/>
      <w:bookmarkStart w:id="755" w:name="_Toc25395"/>
      <w:bookmarkStart w:id="756" w:name="_Toc20235"/>
      <w:bookmarkStart w:id="757" w:name="_Toc27736"/>
      <w:bookmarkStart w:id="758" w:name="_Toc16499"/>
      <w:bookmarkStart w:id="759" w:name="_Toc21474"/>
      <w:bookmarkStart w:id="760" w:name="_Toc28010"/>
      <w:bookmarkStart w:id="761" w:name="_Toc9650"/>
      <w:bookmarkStart w:id="762" w:name="_Toc29974"/>
      <w:bookmarkStart w:id="763" w:name="_Toc30618"/>
      <w:bookmarkStart w:id="764" w:name="_Toc8383"/>
      <w:bookmarkStart w:id="765" w:name="_Toc32660"/>
      <w:bookmarkStart w:id="766" w:name="_Toc18122"/>
      <w:bookmarkStart w:id="767" w:name="_Toc24884"/>
      <w:bookmarkStart w:id="768" w:name="_Toc6410"/>
      <w:bookmarkStart w:id="769" w:name="_Toc20421"/>
      <w:bookmarkStart w:id="770" w:name="_Toc31965"/>
      <w:bookmarkStart w:id="771" w:name="_Toc29300"/>
      <w:bookmarkStart w:id="772" w:name="_Toc27924"/>
      <w:bookmarkStart w:id="773" w:name="_Toc21901"/>
      <w:bookmarkStart w:id="774" w:name="_Toc5640"/>
      <w:bookmarkStart w:id="775" w:name="_Toc26175"/>
      <w:bookmarkStart w:id="776" w:name="_Toc11435"/>
      <w:bookmarkStart w:id="777" w:name="_Toc1352"/>
      <w:bookmarkStart w:id="778" w:name="_Toc23972"/>
      <w:bookmarkStart w:id="779" w:name="_Toc25847"/>
      <w:bookmarkStart w:id="780" w:name="_Toc3809"/>
      <w:bookmarkStart w:id="781" w:name="_Toc22005"/>
      <w:r>
        <w:rPr>
          <w:rFonts w:hint="eastAsia" w:ascii="黑体" w:hAnsi="黑体" w:eastAsia="黑体" w:cs="黑体"/>
          <w:color w:val="auto"/>
          <w:sz w:val="28"/>
          <w:szCs w:val="28"/>
        </w:rPr>
        <w:br w:type="page"/>
      </w:r>
    </w:p>
    <w:p w14:paraId="1BA5A011">
      <w:pPr>
        <w:pStyle w:val="4"/>
        <w:ind w:left="0" w:firstLine="0"/>
        <w:outlineLvl w:val="0"/>
        <w:rPr>
          <w:color w:val="auto"/>
        </w:rPr>
      </w:pPr>
      <w:bookmarkStart w:id="782" w:name="_Toc28146_WPSOffice_Level1"/>
      <w:r>
        <w:rPr>
          <w:rFonts w:hint="eastAsia"/>
          <w:color w:val="auto"/>
        </w:rPr>
        <w:t>（8）</w:t>
      </w:r>
      <w:bookmarkEnd w:id="751"/>
      <w:bookmarkEnd w:id="752"/>
      <w:bookmarkEnd w:id="753"/>
      <w:r>
        <w:rPr>
          <w:rFonts w:hint="eastAsia"/>
          <w:color w:val="auto"/>
        </w:rPr>
        <w:t>详细技术和服务方案</w:t>
      </w:r>
      <w:bookmarkEnd w:id="754"/>
      <w:bookmarkEnd w:id="755"/>
      <w:bookmarkEnd w:id="756"/>
      <w:bookmarkEnd w:id="757"/>
      <w:bookmarkEnd w:id="758"/>
      <w:bookmarkEnd w:id="759"/>
      <w:bookmarkEnd w:id="760"/>
      <w:bookmarkEnd w:id="782"/>
    </w:p>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14:paraId="674740EC">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含项目理解及重难点分析、实施方案，验收方案、培训计划、服务承诺等</w:t>
      </w:r>
      <w:r>
        <w:rPr>
          <w:rFonts w:hint="eastAsia"/>
          <w:color w:val="auto"/>
          <w:sz w:val="24"/>
        </w:rPr>
        <w:t>）</w:t>
      </w:r>
    </w:p>
    <w:p w14:paraId="3F972D3A">
      <w:pPr>
        <w:pStyle w:val="27"/>
        <w:snapToGrid w:val="0"/>
        <w:spacing w:line="440" w:lineRule="exact"/>
        <w:ind w:left="-27" w:firstLine="422"/>
        <w:rPr>
          <w:rFonts w:asciiTheme="majorEastAsia" w:hAnsiTheme="majorEastAsia" w:eastAsiaTheme="majorEastAsia" w:cstheme="majorEastAsia"/>
          <w:color w:val="auto"/>
          <w:sz w:val="24"/>
          <w:szCs w:val="24"/>
        </w:rPr>
      </w:pPr>
    </w:p>
    <w:p w14:paraId="561321E1">
      <w:pPr>
        <w:spacing w:before="312" w:beforeLines="100" w:after="312" w:afterLines="100"/>
        <w:jc w:val="left"/>
        <w:rPr>
          <w:color w:val="auto"/>
          <w:sz w:val="24"/>
          <w:szCs w:val="24"/>
        </w:rPr>
      </w:pPr>
    </w:p>
    <w:p w14:paraId="25FA6E13">
      <w:pPr>
        <w:rPr>
          <w:color w:val="auto"/>
        </w:rPr>
      </w:pPr>
    </w:p>
    <w:p w14:paraId="2258631A">
      <w:pPr>
        <w:pStyle w:val="4"/>
        <w:ind w:left="0" w:firstLine="0"/>
        <w:outlineLvl w:val="0"/>
        <w:rPr>
          <w:color w:val="auto"/>
        </w:rPr>
      </w:pPr>
      <w:bookmarkStart w:id="783" w:name="_Toc23685"/>
      <w:bookmarkStart w:id="784" w:name="_Toc10148"/>
      <w:bookmarkStart w:id="785" w:name="_Toc11974_WPSOffice_Level1"/>
      <w:bookmarkStart w:id="786" w:name="_Toc21572"/>
      <w:bookmarkStart w:id="787" w:name="_Toc14897"/>
      <w:bookmarkStart w:id="788" w:name="_Toc3089"/>
      <w:bookmarkStart w:id="789" w:name="_Toc19068"/>
      <w:bookmarkStart w:id="790" w:name="_Toc21017"/>
      <w:bookmarkStart w:id="791" w:name="_Toc13211"/>
      <w:bookmarkStart w:id="792" w:name="_Toc1664"/>
      <w:bookmarkStart w:id="793" w:name="_Toc1378"/>
      <w:r>
        <w:rPr>
          <w:rFonts w:hint="eastAsia"/>
          <w:color w:val="auto"/>
        </w:rPr>
        <w:t>（9）</w:t>
      </w:r>
      <w:bookmarkEnd w:id="783"/>
      <w:r>
        <w:rPr>
          <w:rFonts w:hint="eastAsia"/>
          <w:color w:val="auto"/>
        </w:rPr>
        <w:t>项目组成员一览表</w:t>
      </w:r>
      <w:bookmarkEnd w:id="784"/>
      <w:bookmarkEnd w:id="785"/>
      <w:bookmarkEnd w:id="786"/>
      <w:bookmarkEnd w:id="787"/>
      <w:bookmarkEnd w:id="788"/>
      <w:bookmarkEnd w:id="789"/>
      <w:bookmarkEnd w:id="790"/>
      <w:bookmarkEnd w:id="791"/>
    </w:p>
    <w:bookmarkEnd w:id="792"/>
    <w:bookmarkEnd w:id="793"/>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72A0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158162CF">
            <w:pPr>
              <w:pStyle w:val="27"/>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03828520">
            <w:pPr>
              <w:pStyle w:val="27"/>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47DB5A72">
            <w:pPr>
              <w:pStyle w:val="27"/>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14:paraId="600A00EA">
            <w:pPr>
              <w:pStyle w:val="27"/>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78A2B961">
            <w:pPr>
              <w:pStyle w:val="27"/>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5E77A2C9">
            <w:pPr>
              <w:pStyle w:val="27"/>
              <w:snapToGrid w:val="0"/>
              <w:spacing w:line="440" w:lineRule="exact"/>
              <w:jc w:val="center"/>
              <w:rPr>
                <w:color w:val="auto"/>
                <w:sz w:val="21"/>
                <w:szCs w:val="21"/>
              </w:rPr>
            </w:pPr>
            <w:r>
              <w:rPr>
                <w:rFonts w:hint="eastAsia"/>
                <w:color w:val="auto"/>
                <w:sz w:val="21"/>
                <w:szCs w:val="21"/>
              </w:rPr>
              <w:t>持证有效期</w:t>
            </w:r>
          </w:p>
        </w:tc>
      </w:tr>
      <w:tr w14:paraId="65BCA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AD55844">
            <w:pPr>
              <w:pStyle w:val="27"/>
              <w:snapToGrid w:val="0"/>
              <w:spacing w:line="440" w:lineRule="exact"/>
              <w:ind w:left="-27" w:firstLine="370"/>
              <w:rPr>
                <w:color w:val="auto"/>
                <w:sz w:val="21"/>
                <w:szCs w:val="21"/>
              </w:rPr>
            </w:pPr>
          </w:p>
        </w:tc>
        <w:tc>
          <w:tcPr>
            <w:tcW w:w="1326" w:type="dxa"/>
          </w:tcPr>
          <w:p w14:paraId="6F4137C3">
            <w:pPr>
              <w:pStyle w:val="27"/>
              <w:snapToGrid w:val="0"/>
              <w:spacing w:line="440" w:lineRule="exact"/>
              <w:ind w:left="-27" w:firstLine="370"/>
              <w:rPr>
                <w:color w:val="auto"/>
                <w:sz w:val="21"/>
                <w:szCs w:val="21"/>
              </w:rPr>
            </w:pPr>
          </w:p>
        </w:tc>
        <w:tc>
          <w:tcPr>
            <w:tcW w:w="1327" w:type="dxa"/>
          </w:tcPr>
          <w:p w14:paraId="7954FE1A">
            <w:pPr>
              <w:pStyle w:val="27"/>
              <w:snapToGrid w:val="0"/>
              <w:spacing w:line="440" w:lineRule="exact"/>
              <w:ind w:left="-27" w:firstLine="370"/>
              <w:rPr>
                <w:color w:val="auto"/>
                <w:sz w:val="21"/>
                <w:szCs w:val="21"/>
              </w:rPr>
            </w:pPr>
          </w:p>
        </w:tc>
        <w:tc>
          <w:tcPr>
            <w:tcW w:w="1327" w:type="dxa"/>
          </w:tcPr>
          <w:p w14:paraId="5EB48D29">
            <w:pPr>
              <w:pStyle w:val="27"/>
              <w:snapToGrid w:val="0"/>
              <w:spacing w:line="440" w:lineRule="exact"/>
              <w:ind w:left="-27" w:firstLine="370"/>
              <w:rPr>
                <w:color w:val="auto"/>
                <w:sz w:val="21"/>
                <w:szCs w:val="21"/>
              </w:rPr>
            </w:pPr>
          </w:p>
        </w:tc>
        <w:tc>
          <w:tcPr>
            <w:tcW w:w="1327" w:type="dxa"/>
          </w:tcPr>
          <w:p w14:paraId="2F3322F0">
            <w:pPr>
              <w:pStyle w:val="27"/>
              <w:snapToGrid w:val="0"/>
              <w:spacing w:line="440" w:lineRule="exact"/>
              <w:ind w:left="-27" w:firstLine="370"/>
              <w:rPr>
                <w:color w:val="auto"/>
                <w:sz w:val="21"/>
                <w:szCs w:val="21"/>
              </w:rPr>
            </w:pPr>
          </w:p>
        </w:tc>
        <w:tc>
          <w:tcPr>
            <w:tcW w:w="1648" w:type="dxa"/>
          </w:tcPr>
          <w:p w14:paraId="3B765BD9">
            <w:pPr>
              <w:pStyle w:val="27"/>
              <w:snapToGrid w:val="0"/>
              <w:spacing w:line="440" w:lineRule="exact"/>
              <w:ind w:left="-27" w:firstLine="370"/>
              <w:rPr>
                <w:color w:val="auto"/>
                <w:sz w:val="21"/>
                <w:szCs w:val="21"/>
              </w:rPr>
            </w:pPr>
          </w:p>
        </w:tc>
      </w:tr>
      <w:tr w14:paraId="384AE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74F9256">
            <w:pPr>
              <w:pStyle w:val="27"/>
              <w:snapToGrid w:val="0"/>
              <w:spacing w:line="440" w:lineRule="exact"/>
              <w:ind w:left="-27" w:firstLine="370"/>
              <w:rPr>
                <w:color w:val="auto"/>
                <w:sz w:val="21"/>
                <w:szCs w:val="21"/>
              </w:rPr>
            </w:pPr>
          </w:p>
        </w:tc>
        <w:tc>
          <w:tcPr>
            <w:tcW w:w="1326" w:type="dxa"/>
          </w:tcPr>
          <w:p w14:paraId="42D5BF7F">
            <w:pPr>
              <w:pStyle w:val="27"/>
              <w:snapToGrid w:val="0"/>
              <w:spacing w:line="440" w:lineRule="exact"/>
              <w:ind w:left="-27" w:firstLine="370"/>
              <w:rPr>
                <w:color w:val="auto"/>
                <w:sz w:val="21"/>
                <w:szCs w:val="21"/>
              </w:rPr>
            </w:pPr>
          </w:p>
        </w:tc>
        <w:tc>
          <w:tcPr>
            <w:tcW w:w="1327" w:type="dxa"/>
          </w:tcPr>
          <w:p w14:paraId="045CC5CE">
            <w:pPr>
              <w:pStyle w:val="27"/>
              <w:snapToGrid w:val="0"/>
              <w:spacing w:line="440" w:lineRule="exact"/>
              <w:ind w:left="-27" w:firstLine="370"/>
              <w:rPr>
                <w:color w:val="auto"/>
                <w:sz w:val="21"/>
                <w:szCs w:val="21"/>
              </w:rPr>
            </w:pPr>
          </w:p>
        </w:tc>
        <w:tc>
          <w:tcPr>
            <w:tcW w:w="1327" w:type="dxa"/>
          </w:tcPr>
          <w:p w14:paraId="38A6F729">
            <w:pPr>
              <w:pStyle w:val="27"/>
              <w:snapToGrid w:val="0"/>
              <w:spacing w:line="440" w:lineRule="exact"/>
              <w:ind w:left="-27" w:firstLine="370"/>
              <w:rPr>
                <w:color w:val="auto"/>
                <w:sz w:val="21"/>
                <w:szCs w:val="21"/>
              </w:rPr>
            </w:pPr>
          </w:p>
        </w:tc>
        <w:tc>
          <w:tcPr>
            <w:tcW w:w="1327" w:type="dxa"/>
          </w:tcPr>
          <w:p w14:paraId="20AD87C5">
            <w:pPr>
              <w:pStyle w:val="27"/>
              <w:snapToGrid w:val="0"/>
              <w:spacing w:line="440" w:lineRule="exact"/>
              <w:ind w:left="-27" w:firstLine="370"/>
              <w:rPr>
                <w:color w:val="auto"/>
                <w:sz w:val="21"/>
                <w:szCs w:val="21"/>
              </w:rPr>
            </w:pPr>
          </w:p>
        </w:tc>
        <w:tc>
          <w:tcPr>
            <w:tcW w:w="1648" w:type="dxa"/>
          </w:tcPr>
          <w:p w14:paraId="58BE1EF0">
            <w:pPr>
              <w:pStyle w:val="27"/>
              <w:snapToGrid w:val="0"/>
              <w:spacing w:line="440" w:lineRule="exact"/>
              <w:ind w:left="-27" w:firstLine="370"/>
              <w:rPr>
                <w:color w:val="auto"/>
                <w:sz w:val="21"/>
                <w:szCs w:val="21"/>
              </w:rPr>
            </w:pPr>
          </w:p>
        </w:tc>
      </w:tr>
      <w:tr w14:paraId="16E97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F69727A">
            <w:pPr>
              <w:pStyle w:val="27"/>
              <w:snapToGrid w:val="0"/>
              <w:spacing w:line="440" w:lineRule="exact"/>
              <w:ind w:left="-27" w:firstLine="370"/>
              <w:rPr>
                <w:color w:val="auto"/>
                <w:sz w:val="21"/>
                <w:szCs w:val="21"/>
              </w:rPr>
            </w:pPr>
          </w:p>
        </w:tc>
        <w:tc>
          <w:tcPr>
            <w:tcW w:w="1326" w:type="dxa"/>
          </w:tcPr>
          <w:p w14:paraId="118DA033">
            <w:pPr>
              <w:pStyle w:val="27"/>
              <w:snapToGrid w:val="0"/>
              <w:spacing w:line="440" w:lineRule="exact"/>
              <w:ind w:left="-27" w:firstLine="370"/>
              <w:rPr>
                <w:color w:val="auto"/>
                <w:sz w:val="21"/>
                <w:szCs w:val="21"/>
              </w:rPr>
            </w:pPr>
          </w:p>
        </w:tc>
        <w:tc>
          <w:tcPr>
            <w:tcW w:w="1327" w:type="dxa"/>
          </w:tcPr>
          <w:p w14:paraId="6D6C01ED">
            <w:pPr>
              <w:pStyle w:val="27"/>
              <w:snapToGrid w:val="0"/>
              <w:spacing w:line="440" w:lineRule="exact"/>
              <w:ind w:left="-27" w:firstLine="370"/>
              <w:rPr>
                <w:color w:val="auto"/>
                <w:sz w:val="21"/>
                <w:szCs w:val="21"/>
              </w:rPr>
            </w:pPr>
          </w:p>
        </w:tc>
        <w:tc>
          <w:tcPr>
            <w:tcW w:w="1327" w:type="dxa"/>
          </w:tcPr>
          <w:p w14:paraId="2C9DD497">
            <w:pPr>
              <w:pStyle w:val="27"/>
              <w:snapToGrid w:val="0"/>
              <w:spacing w:line="440" w:lineRule="exact"/>
              <w:ind w:left="-27" w:firstLine="370"/>
              <w:rPr>
                <w:color w:val="auto"/>
                <w:sz w:val="21"/>
                <w:szCs w:val="21"/>
              </w:rPr>
            </w:pPr>
          </w:p>
        </w:tc>
        <w:tc>
          <w:tcPr>
            <w:tcW w:w="1327" w:type="dxa"/>
          </w:tcPr>
          <w:p w14:paraId="7D31825F">
            <w:pPr>
              <w:pStyle w:val="27"/>
              <w:snapToGrid w:val="0"/>
              <w:spacing w:line="440" w:lineRule="exact"/>
              <w:ind w:left="-27" w:firstLine="370"/>
              <w:rPr>
                <w:color w:val="auto"/>
                <w:sz w:val="21"/>
                <w:szCs w:val="21"/>
              </w:rPr>
            </w:pPr>
          </w:p>
        </w:tc>
        <w:tc>
          <w:tcPr>
            <w:tcW w:w="1648" w:type="dxa"/>
          </w:tcPr>
          <w:p w14:paraId="3EBCA1D8">
            <w:pPr>
              <w:pStyle w:val="27"/>
              <w:snapToGrid w:val="0"/>
              <w:spacing w:line="440" w:lineRule="exact"/>
              <w:ind w:left="-27" w:firstLine="370"/>
              <w:rPr>
                <w:color w:val="auto"/>
                <w:sz w:val="21"/>
                <w:szCs w:val="21"/>
              </w:rPr>
            </w:pPr>
          </w:p>
        </w:tc>
      </w:tr>
      <w:tr w14:paraId="30D05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85BAB11">
            <w:pPr>
              <w:pStyle w:val="27"/>
              <w:snapToGrid w:val="0"/>
              <w:spacing w:line="440" w:lineRule="exact"/>
              <w:ind w:left="-27" w:firstLine="370"/>
              <w:rPr>
                <w:color w:val="auto"/>
                <w:sz w:val="21"/>
                <w:szCs w:val="21"/>
              </w:rPr>
            </w:pPr>
          </w:p>
        </w:tc>
        <w:tc>
          <w:tcPr>
            <w:tcW w:w="1326" w:type="dxa"/>
          </w:tcPr>
          <w:p w14:paraId="63F960B7">
            <w:pPr>
              <w:pStyle w:val="27"/>
              <w:snapToGrid w:val="0"/>
              <w:spacing w:line="440" w:lineRule="exact"/>
              <w:ind w:left="-27" w:firstLine="370"/>
              <w:rPr>
                <w:color w:val="auto"/>
                <w:sz w:val="21"/>
                <w:szCs w:val="21"/>
              </w:rPr>
            </w:pPr>
          </w:p>
        </w:tc>
        <w:tc>
          <w:tcPr>
            <w:tcW w:w="1327" w:type="dxa"/>
          </w:tcPr>
          <w:p w14:paraId="2D514FBE">
            <w:pPr>
              <w:pStyle w:val="27"/>
              <w:snapToGrid w:val="0"/>
              <w:spacing w:line="440" w:lineRule="exact"/>
              <w:ind w:left="-27" w:firstLine="370"/>
              <w:rPr>
                <w:color w:val="auto"/>
                <w:sz w:val="21"/>
                <w:szCs w:val="21"/>
              </w:rPr>
            </w:pPr>
          </w:p>
        </w:tc>
        <w:tc>
          <w:tcPr>
            <w:tcW w:w="1327" w:type="dxa"/>
          </w:tcPr>
          <w:p w14:paraId="3DB9B729">
            <w:pPr>
              <w:pStyle w:val="27"/>
              <w:snapToGrid w:val="0"/>
              <w:spacing w:line="440" w:lineRule="exact"/>
              <w:ind w:left="-27" w:firstLine="370"/>
              <w:rPr>
                <w:color w:val="auto"/>
                <w:sz w:val="21"/>
                <w:szCs w:val="21"/>
              </w:rPr>
            </w:pPr>
          </w:p>
        </w:tc>
        <w:tc>
          <w:tcPr>
            <w:tcW w:w="1327" w:type="dxa"/>
          </w:tcPr>
          <w:p w14:paraId="69819213">
            <w:pPr>
              <w:pStyle w:val="27"/>
              <w:snapToGrid w:val="0"/>
              <w:spacing w:line="440" w:lineRule="exact"/>
              <w:ind w:left="-27" w:firstLine="370"/>
              <w:rPr>
                <w:color w:val="auto"/>
                <w:sz w:val="21"/>
                <w:szCs w:val="21"/>
              </w:rPr>
            </w:pPr>
          </w:p>
        </w:tc>
        <w:tc>
          <w:tcPr>
            <w:tcW w:w="1648" w:type="dxa"/>
          </w:tcPr>
          <w:p w14:paraId="73DEEF7B">
            <w:pPr>
              <w:pStyle w:val="27"/>
              <w:snapToGrid w:val="0"/>
              <w:spacing w:line="440" w:lineRule="exact"/>
              <w:ind w:left="-27" w:firstLine="370"/>
              <w:rPr>
                <w:color w:val="auto"/>
                <w:sz w:val="21"/>
                <w:szCs w:val="21"/>
              </w:rPr>
            </w:pPr>
          </w:p>
        </w:tc>
      </w:tr>
      <w:tr w14:paraId="23B1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48305E9">
            <w:pPr>
              <w:pStyle w:val="27"/>
              <w:snapToGrid w:val="0"/>
              <w:spacing w:line="440" w:lineRule="exact"/>
              <w:ind w:left="-27" w:firstLine="370"/>
              <w:rPr>
                <w:color w:val="auto"/>
                <w:sz w:val="21"/>
                <w:szCs w:val="21"/>
              </w:rPr>
            </w:pPr>
          </w:p>
        </w:tc>
        <w:tc>
          <w:tcPr>
            <w:tcW w:w="1326" w:type="dxa"/>
          </w:tcPr>
          <w:p w14:paraId="30F0D081">
            <w:pPr>
              <w:pStyle w:val="27"/>
              <w:snapToGrid w:val="0"/>
              <w:spacing w:line="440" w:lineRule="exact"/>
              <w:ind w:left="-27" w:firstLine="370"/>
              <w:rPr>
                <w:color w:val="auto"/>
                <w:sz w:val="21"/>
                <w:szCs w:val="21"/>
              </w:rPr>
            </w:pPr>
          </w:p>
        </w:tc>
        <w:tc>
          <w:tcPr>
            <w:tcW w:w="1327" w:type="dxa"/>
          </w:tcPr>
          <w:p w14:paraId="1AE59805">
            <w:pPr>
              <w:pStyle w:val="27"/>
              <w:snapToGrid w:val="0"/>
              <w:spacing w:line="440" w:lineRule="exact"/>
              <w:ind w:left="-27" w:firstLine="370"/>
              <w:rPr>
                <w:color w:val="auto"/>
                <w:sz w:val="21"/>
                <w:szCs w:val="21"/>
              </w:rPr>
            </w:pPr>
          </w:p>
        </w:tc>
        <w:tc>
          <w:tcPr>
            <w:tcW w:w="1327" w:type="dxa"/>
          </w:tcPr>
          <w:p w14:paraId="3F04EEE9">
            <w:pPr>
              <w:pStyle w:val="27"/>
              <w:snapToGrid w:val="0"/>
              <w:spacing w:line="440" w:lineRule="exact"/>
              <w:ind w:left="-27" w:firstLine="370"/>
              <w:rPr>
                <w:color w:val="auto"/>
                <w:sz w:val="21"/>
                <w:szCs w:val="21"/>
              </w:rPr>
            </w:pPr>
          </w:p>
        </w:tc>
        <w:tc>
          <w:tcPr>
            <w:tcW w:w="1327" w:type="dxa"/>
          </w:tcPr>
          <w:p w14:paraId="3092F3CB">
            <w:pPr>
              <w:pStyle w:val="27"/>
              <w:snapToGrid w:val="0"/>
              <w:spacing w:line="440" w:lineRule="exact"/>
              <w:ind w:left="-27" w:firstLine="370"/>
              <w:rPr>
                <w:color w:val="auto"/>
                <w:sz w:val="21"/>
                <w:szCs w:val="21"/>
              </w:rPr>
            </w:pPr>
          </w:p>
        </w:tc>
        <w:tc>
          <w:tcPr>
            <w:tcW w:w="1648" w:type="dxa"/>
          </w:tcPr>
          <w:p w14:paraId="1F325462">
            <w:pPr>
              <w:pStyle w:val="27"/>
              <w:snapToGrid w:val="0"/>
              <w:spacing w:line="440" w:lineRule="exact"/>
              <w:ind w:left="-27" w:firstLine="370"/>
              <w:rPr>
                <w:color w:val="auto"/>
                <w:sz w:val="21"/>
                <w:szCs w:val="21"/>
              </w:rPr>
            </w:pPr>
          </w:p>
        </w:tc>
      </w:tr>
    </w:tbl>
    <w:p w14:paraId="142F6E0B">
      <w:pPr>
        <w:pStyle w:val="27"/>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r>
        <w:rPr>
          <w:rFonts w:hint="eastAsia"/>
          <w:color w:val="auto"/>
          <w:sz w:val="21"/>
          <w:szCs w:val="21"/>
          <w:lang w:val="en-US" w:eastAsia="zh-CN"/>
        </w:rPr>
        <w:t>或社保证明材料</w:t>
      </w:r>
      <w:r>
        <w:rPr>
          <w:rFonts w:hint="eastAsia"/>
          <w:color w:val="auto"/>
          <w:sz w:val="21"/>
          <w:szCs w:val="21"/>
        </w:rPr>
        <w:t>。</w:t>
      </w:r>
    </w:p>
    <w:p w14:paraId="16598D17">
      <w:pPr>
        <w:pStyle w:val="27"/>
        <w:spacing w:line="360" w:lineRule="auto"/>
        <w:ind w:left="-27" w:firstLine="422"/>
        <w:rPr>
          <w:rFonts w:ascii="Times New Roman" w:hAnsi="Times New Roman"/>
          <w:color w:val="auto"/>
          <w:sz w:val="24"/>
          <w:szCs w:val="24"/>
        </w:rPr>
      </w:pPr>
    </w:p>
    <w:p w14:paraId="3A7615DA">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3ED3F960">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A3A8792">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6C54722B">
      <w:pPr>
        <w:pStyle w:val="4"/>
        <w:ind w:left="0" w:firstLine="0"/>
        <w:jc w:val="left"/>
        <w:outlineLvl w:val="9"/>
        <w:rPr>
          <w:rFonts w:ascii="黑体" w:hAnsi="黑体" w:eastAsia="黑体" w:cs="黑体"/>
          <w:color w:val="auto"/>
          <w:sz w:val="24"/>
          <w:szCs w:val="24"/>
        </w:rPr>
      </w:pPr>
    </w:p>
    <w:p w14:paraId="582A01FD">
      <w:pPr>
        <w:pStyle w:val="4"/>
        <w:ind w:left="0" w:firstLine="0"/>
        <w:outlineLvl w:val="0"/>
        <w:rPr>
          <w:color w:val="auto"/>
        </w:rPr>
      </w:pPr>
      <w:bookmarkStart w:id="794" w:name="_Toc29121"/>
      <w:bookmarkStart w:id="795" w:name="_Toc20288"/>
      <w:bookmarkStart w:id="796" w:name="_Toc31682_WPSOffice_Level1"/>
      <w:bookmarkStart w:id="797" w:name="_Toc2271"/>
      <w:bookmarkStart w:id="798" w:name="_Toc14194"/>
      <w:bookmarkStart w:id="799" w:name="_Toc31661"/>
      <w:bookmarkStart w:id="800" w:name="_Toc30223"/>
      <w:bookmarkStart w:id="801" w:name="_Toc3296"/>
      <w:bookmarkStart w:id="802" w:name="_Toc15835"/>
      <w:bookmarkStart w:id="803" w:name="_Toc13735"/>
      <w:bookmarkStart w:id="804" w:name="_Toc10021"/>
      <w:r>
        <w:rPr>
          <w:rFonts w:hint="eastAsia"/>
          <w:color w:val="auto"/>
        </w:rPr>
        <w:t>（10）关于对磋商文件中有关条款的拒绝声明</w:t>
      </w:r>
      <w:bookmarkEnd w:id="750"/>
      <w:r>
        <w:rPr>
          <w:rFonts w:hint="eastAsia"/>
          <w:color w:val="auto"/>
        </w:rPr>
        <w:t>(如有)</w:t>
      </w:r>
      <w:bookmarkEnd w:id="794"/>
      <w:bookmarkEnd w:id="795"/>
      <w:bookmarkEnd w:id="796"/>
      <w:bookmarkEnd w:id="797"/>
      <w:bookmarkEnd w:id="798"/>
      <w:bookmarkEnd w:id="799"/>
      <w:bookmarkEnd w:id="800"/>
      <w:bookmarkEnd w:id="801"/>
      <w:bookmarkEnd w:id="802"/>
      <w:bookmarkEnd w:id="803"/>
      <w:bookmarkEnd w:id="804"/>
      <w:r>
        <w:rPr>
          <w:rFonts w:hint="eastAsia"/>
          <w:color w:val="auto"/>
        </w:rPr>
        <w:t xml:space="preserve"> </w:t>
      </w:r>
    </w:p>
    <w:bookmarkEnd w:id="0"/>
    <w:bookmarkEnd w:id="274"/>
    <w:bookmarkEnd w:id="598"/>
    <w:p w14:paraId="43855DB6">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5CA04502">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6545EA9">
      <w:pPr>
        <w:spacing w:before="312" w:beforeLines="100" w:after="312" w:afterLines="100"/>
        <w:jc w:val="left"/>
        <w:rPr>
          <w:color w:val="auto"/>
          <w:sz w:val="24"/>
        </w:rPr>
      </w:pPr>
      <w:r>
        <w:rPr>
          <w:rFonts w:hint="eastAsia" w:ascii="宋体" w:hAnsi="宋体" w:cs="宋体"/>
          <w:color w:val="auto"/>
          <w:sz w:val="24"/>
        </w:rPr>
        <w:t>日期：      年   月   日</w:t>
      </w:r>
    </w:p>
    <w:p w14:paraId="494EA7A1">
      <w:pPr>
        <w:pStyle w:val="4"/>
        <w:ind w:left="0" w:firstLine="0"/>
        <w:jc w:val="left"/>
        <w:outlineLvl w:val="0"/>
        <w:rPr>
          <w:color w:val="auto"/>
        </w:rPr>
      </w:pPr>
      <w:bookmarkStart w:id="805" w:name="_Toc1301_WPSOffice_Level1"/>
      <w:r>
        <w:rPr>
          <w:rFonts w:hint="eastAsia"/>
          <w:color w:val="auto"/>
        </w:rPr>
        <w:t>评分标准索引表</w:t>
      </w:r>
      <w:bookmarkEnd w:id="805"/>
    </w:p>
    <w:p w14:paraId="36A30667">
      <w:pPr>
        <w:jc w:val="center"/>
        <w:outlineLvl w:val="0"/>
        <w:rPr>
          <w:color w:val="auto"/>
          <w:sz w:val="36"/>
          <w:szCs w:val="36"/>
        </w:rPr>
      </w:pPr>
      <w:bookmarkStart w:id="806" w:name="_Toc31797_WPSOffice_Level1"/>
      <w:r>
        <w:rPr>
          <w:rFonts w:hint="eastAsia"/>
          <w:color w:val="auto"/>
          <w:sz w:val="36"/>
          <w:szCs w:val="36"/>
        </w:rPr>
        <w:t>评分标准索引表</w:t>
      </w:r>
      <w:bookmarkEnd w:id="806"/>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7B8D02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0F63BDD9">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10184F07">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4AE138E6">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6F045F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27B02D75">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4B6B24ED">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31A3DB8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FD6F60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5C404F6">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4BAAEC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4F4C0A68">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A3DCBC4">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E080A5F">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C41405E">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E1EEA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55878837">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85AB52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D72D63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109CAD1">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92906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6670E4E">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882DB5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4624BE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1390EB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DA24E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A2EF52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F19170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697547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21DC27D">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4E1B5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59C6F9A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64D441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880E38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A08F8B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494D9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6F66304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31BA09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0073D2F">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1A4CAE2">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E5721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649EBDE5">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01E6D8D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80715F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7175242">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056B9A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15AEB40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2A92553">
            <w:pPr>
              <w:rPr>
                <w:color w:val="auto"/>
                <w:sz w:val="24"/>
                <w:szCs w:val="24"/>
              </w:rPr>
            </w:pPr>
          </w:p>
          <w:p w14:paraId="3E8D90A2">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CAB2DA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C78C750">
            <w:pPr>
              <w:jc w:val="left"/>
              <w:rPr>
                <w:rFonts w:ascii="楷体_GB2312" w:eastAsia="楷体_GB2312"/>
                <w:color w:val="auto"/>
                <w:sz w:val="24"/>
                <w:szCs w:val="24"/>
              </w:rPr>
            </w:pPr>
            <w:r>
              <w:rPr>
                <w:rFonts w:hint="eastAsia" w:ascii="仿宋_GB2312" w:eastAsia="仿宋_GB2312"/>
                <w:color w:val="auto"/>
                <w:sz w:val="24"/>
                <w:szCs w:val="24"/>
              </w:rPr>
              <w:t>……</w:t>
            </w:r>
          </w:p>
        </w:tc>
      </w:tr>
      <w:tr w14:paraId="528A3D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37810A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B37B83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2248C8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85549D8">
            <w:pPr>
              <w:jc w:val="left"/>
              <w:rPr>
                <w:rFonts w:ascii="楷体_GB2312" w:eastAsia="楷体_GB2312"/>
                <w:color w:val="auto"/>
                <w:sz w:val="24"/>
                <w:szCs w:val="24"/>
              </w:rPr>
            </w:pPr>
          </w:p>
        </w:tc>
      </w:tr>
      <w:tr w14:paraId="09E7DA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C08CB5F">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9C74FC0">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744B0A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FD3844C">
            <w:pPr>
              <w:jc w:val="left"/>
              <w:rPr>
                <w:rFonts w:ascii="楷体_GB2312" w:eastAsia="楷体_GB2312"/>
                <w:color w:val="auto"/>
                <w:sz w:val="24"/>
                <w:szCs w:val="24"/>
              </w:rPr>
            </w:pPr>
          </w:p>
        </w:tc>
      </w:tr>
      <w:tr w14:paraId="7D8891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642938EC">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16CC435">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E15CDB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767629B">
            <w:pPr>
              <w:jc w:val="left"/>
              <w:rPr>
                <w:rFonts w:ascii="楷体_GB2312" w:eastAsia="楷体_GB2312"/>
                <w:color w:val="auto"/>
                <w:sz w:val="24"/>
                <w:szCs w:val="24"/>
              </w:rPr>
            </w:pPr>
          </w:p>
        </w:tc>
      </w:tr>
      <w:tr w14:paraId="23ED1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5529718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E05DA25">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CF8DC83">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0F6A011">
            <w:pPr>
              <w:jc w:val="left"/>
              <w:rPr>
                <w:rFonts w:ascii="楷体_GB2312" w:eastAsia="楷体_GB2312"/>
                <w:color w:val="auto"/>
                <w:sz w:val="24"/>
                <w:szCs w:val="24"/>
              </w:rPr>
            </w:pPr>
          </w:p>
        </w:tc>
      </w:tr>
      <w:tr w14:paraId="06F6AA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2DED3B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8D880F9">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B5DE2F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A971C6F">
            <w:pPr>
              <w:jc w:val="left"/>
              <w:rPr>
                <w:rFonts w:ascii="楷体_GB2312" w:eastAsia="楷体_GB2312"/>
                <w:color w:val="auto"/>
                <w:sz w:val="24"/>
                <w:szCs w:val="24"/>
              </w:rPr>
            </w:pPr>
          </w:p>
        </w:tc>
      </w:tr>
    </w:tbl>
    <w:p w14:paraId="3E7E933A">
      <w:pPr>
        <w:pStyle w:val="6"/>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807"/>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36AB0">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4E60AAD3">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6C101CF5">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67DB6D80">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41B23B53">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7A3F995D">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8D1B172">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56BCA73C">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6FC37">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8303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92D6EA"/>
    <w:multiLevelType w:val="multilevel"/>
    <w:tmpl w:val="2792D6E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54E2A3F8"/>
    <w:multiLevelType w:val="singleLevel"/>
    <w:tmpl w:val="54E2A3F8"/>
    <w:lvl w:ilvl="0" w:tentative="0">
      <w:start w:val="1"/>
      <w:numFmt w:val="decimal"/>
      <w:lvlText w:val="%1."/>
      <w:lvlJc w:val="left"/>
      <w:pPr>
        <w:ind w:left="425" w:hanging="425"/>
      </w:pPr>
      <w:rPr>
        <w:rFonts w:hint="default"/>
      </w:rPr>
    </w:lvl>
  </w:abstractNum>
  <w:abstractNum w:abstractNumId="2">
    <w:nsid w:val="58232F2B"/>
    <w:multiLevelType w:val="singleLevel"/>
    <w:tmpl w:val="58232F2B"/>
    <w:lvl w:ilvl="0" w:tentative="0">
      <w:start w:val="1"/>
      <w:numFmt w:val="decimal"/>
      <w:suff w:val="nothing"/>
      <w:lvlText w:val="%1、"/>
      <w:lvlJc w:val="left"/>
      <w:rPr>
        <w:rFonts w:cs="Times New Roman"/>
      </w:rPr>
    </w:lvl>
  </w:abstractNum>
  <w:abstractNum w:abstractNumId="3">
    <w:nsid w:val="58233165"/>
    <w:multiLevelType w:val="singleLevel"/>
    <w:tmpl w:val="58233165"/>
    <w:lvl w:ilvl="0" w:tentative="0">
      <w:start w:val="1"/>
      <w:numFmt w:val="decimal"/>
      <w:suff w:val="nothing"/>
      <w:lvlText w:val="%1、"/>
      <w:lvlJc w:val="left"/>
      <w:rPr>
        <w:rFonts w:cs="Times New Roman"/>
      </w:rPr>
    </w:lvl>
  </w:abstractNum>
  <w:abstractNum w:abstractNumId="4">
    <w:nsid w:val="58302A53"/>
    <w:multiLevelType w:val="singleLevel"/>
    <w:tmpl w:val="58302A53"/>
    <w:lvl w:ilvl="0" w:tentative="0">
      <w:start w:val="1"/>
      <w:numFmt w:val="decimal"/>
      <w:suff w:val="nothing"/>
      <w:lvlText w:val="%1、"/>
      <w:lvlJc w:val="left"/>
      <w:rPr>
        <w:rFonts w:cs="Times New Roman"/>
      </w:rPr>
    </w:lvl>
  </w:abstractNum>
  <w:abstractNum w:abstractNumId="5">
    <w:nsid w:val="58303257"/>
    <w:multiLevelType w:val="singleLevel"/>
    <w:tmpl w:val="58303257"/>
    <w:lvl w:ilvl="0" w:tentative="0">
      <w:start w:val="4"/>
      <w:numFmt w:val="decimal"/>
      <w:suff w:val="nothing"/>
      <w:lvlText w:val="%1、"/>
      <w:lvlJc w:val="left"/>
      <w:rPr>
        <w:rFonts w:cs="Times New Roman"/>
      </w:rPr>
    </w:lvl>
  </w:abstractNum>
  <w:abstractNum w:abstractNumId="6">
    <w:nsid w:val="73D2CEF4"/>
    <w:multiLevelType w:val="singleLevel"/>
    <w:tmpl w:val="73D2CEF4"/>
    <w:lvl w:ilvl="0" w:tentative="0">
      <w:start w:val="1"/>
      <w:numFmt w:val="chineseCounting"/>
      <w:suff w:val="nothing"/>
      <w:lvlText w:val="（%1）"/>
      <w:lvlJc w:val="left"/>
      <w:pPr>
        <w:ind w:left="0" w:firstLine="420"/>
      </w:pPr>
      <w:rPr>
        <w:rFonts w:hint="eastAsia"/>
      </w:rPr>
    </w:lvl>
  </w:abstractNum>
  <w:num w:numId="1">
    <w:abstractNumId w:val="4"/>
  </w:num>
  <w:num w:numId="2">
    <w:abstractNumId w:val="5"/>
  </w:num>
  <w:num w:numId="3">
    <w:abstractNumId w:val="2"/>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6305EA"/>
    <w:rsid w:val="01B46827"/>
    <w:rsid w:val="01DA7C98"/>
    <w:rsid w:val="0240069E"/>
    <w:rsid w:val="025F6B08"/>
    <w:rsid w:val="026A341E"/>
    <w:rsid w:val="02964D1B"/>
    <w:rsid w:val="029730A3"/>
    <w:rsid w:val="02A47215"/>
    <w:rsid w:val="02D12D2D"/>
    <w:rsid w:val="030335B6"/>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6B04356"/>
    <w:rsid w:val="073C3A03"/>
    <w:rsid w:val="075423A9"/>
    <w:rsid w:val="07594B25"/>
    <w:rsid w:val="07915CA7"/>
    <w:rsid w:val="07AD7A28"/>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391F9C"/>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787921"/>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3EC16A3"/>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BD0AC4"/>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2FB63DA8"/>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A66375"/>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7B09E3"/>
    <w:rsid w:val="54837CB4"/>
    <w:rsid w:val="548E4B42"/>
    <w:rsid w:val="54B87EE0"/>
    <w:rsid w:val="55364622"/>
    <w:rsid w:val="55545EA4"/>
    <w:rsid w:val="55A27C5F"/>
    <w:rsid w:val="55E03E57"/>
    <w:rsid w:val="562F16E6"/>
    <w:rsid w:val="563474CA"/>
    <w:rsid w:val="56C50BAB"/>
    <w:rsid w:val="56D62A5C"/>
    <w:rsid w:val="56ED6E80"/>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2A43F8D"/>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9BEB385"/>
    <w:rsid w:val="6A120191"/>
    <w:rsid w:val="6A1E7BCA"/>
    <w:rsid w:val="6A2E0E5B"/>
    <w:rsid w:val="6A355C33"/>
    <w:rsid w:val="6A3802AD"/>
    <w:rsid w:val="6AAD768D"/>
    <w:rsid w:val="6AD36B5A"/>
    <w:rsid w:val="6ADA28CE"/>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9B7BFCD"/>
    <w:rsid w:val="79BA4AA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D9E0F23"/>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FEB35B6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文本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列表段落1"/>
    <w:basedOn w:val="1"/>
    <w:qFormat/>
    <w:uiPriority w:val="0"/>
    <w:pPr>
      <w:ind w:firstLine="420" w:firstLineChars="200"/>
    </w:pPr>
    <w:rPr>
      <w:rFonts w:eastAsia="宋体" w:cs="Times New Roman"/>
      <w:szCs w:val="22"/>
    </w:rPr>
  </w:style>
  <w:style w:type="paragraph" w:customStyle="1" w:styleId="196">
    <w:name w:val="WPSOffice手动目录 1"/>
    <w:qFormat/>
    <w:uiPriority w:val="0"/>
    <w:pPr>
      <w:ind w:leftChars="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70e4125-199f-48cf-be44-cadb8ce617d3}"/>
        <w:style w:val=""/>
        <w:category>
          <w:name w:val="常规"/>
          <w:gallery w:val="placeholder"/>
        </w:category>
        <w:types>
          <w:type w:val="bbPlcHdr"/>
        </w:types>
        <w:behaviors>
          <w:behavior w:val="content"/>
        </w:behaviors>
        <w:description w:val=""/>
        <w:guid w:val="{c70e4125-199f-48cf-be44-cadb8ce617d3}"/>
      </w:docPartPr>
      <w:docPartBody>
        <w:p w14:paraId="6A32085A">
          <w:r>
            <w:rPr>
              <w:color w:val="808080"/>
            </w:rPr>
            <w:t>单击此处输入文字。</w:t>
          </w:r>
        </w:p>
      </w:docPartBody>
    </w:docPart>
    <w:docPart>
      <w:docPartPr>
        <w:name w:val="{1e4ec77c-59c3-46b1-8996-b446a3c46b75}"/>
        <w:style w:val=""/>
        <w:category>
          <w:name w:val="常规"/>
          <w:gallery w:val="placeholder"/>
        </w:category>
        <w:types>
          <w:type w:val="bbPlcHdr"/>
        </w:types>
        <w:behaviors>
          <w:behavior w:val="content"/>
        </w:behaviors>
        <w:description w:val=""/>
        <w:guid w:val="{1e4ec77c-59c3-46b1-8996-b446a3c46b75}"/>
      </w:docPartPr>
      <w:docPartBody>
        <w:p w14:paraId="6DD24627">
          <w:r>
            <w:rPr>
              <w:color w:val="808080"/>
            </w:rPr>
            <w:t>单击此处输入文字。</w:t>
          </w:r>
        </w:p>
      </w:docPartBody>
    </w:docPart>
    <w:docPart>
      <w:docPartPr>
        <w:name w:val="{6f033159-34c0-4bdd-bfc1-99f54d55f563}"/>
        <w:style w:val=""/>
        <w:category>
          <w:name w:val="常规"/>
          <w:gallery w:val="placeholder"/>
        </w:category>
        <w:types>
          <w:type w:val="bbPlcHdr"/>
        </w:types>
        <w:behaviors>
          <w:behavior w:val="content"/>
        </w:behaviors>
        <w:description w:val=""/>
        <w:guid w:val="{6f033159-34c0-4bdd-bfc1-99f54d55f563}"/>
      </w:docPartPr>
      <w:docPartBody>
        <w:p w14:paraId="4714BDD2">
          <w:r>
            <w:rPr>
              <w:color w:val="808080"/>
            </w:rPr>
            <w:t>单击此处输入文字。</w:t>
          </w:r>
        </w:p>
      </w:docPartBody>
    </w:docPart>
    <w:docPart>
      <w:docPartPr>
        <w:name w:val="{5874f372-ff24-437d-9d38-d3dd8f1dfc24}"/>
        <w:style w:val=""/>
        <w:category>
          <w:name w:val="常规"/>
          <w:gallery w:val="placeholder"/>
        </w:category>
        <w:types>
          <w:type w:val="bbPlcHdr"/>
        </w:types>
        <w:behaviors>
          <w:behavior w:val="content"/>
        </w:behaviors>
        <w:description w:val=""/>
        <w:guid w:val="{5874f372-ff24-437d-9d38-d3dd8f1dfc24}"/>
      </w:docPartPr>
      <w:docPartBody>
        <w:p w14:paraId="4038D109">
          <w:r>
            <w:rPr>
              <w:color w:val="808080"/>
            </w:rPr>
            <w:t>单击此处输入文字。</w:t>
          </w:r>
        </w:p>
      </w:docPartBody>
    </w:docPart>
    <w:docPart>
      <w:docPartPr>
        <w:name w:val="{1f334bce-b592-4ed8-983f-c9f50fef6980}"/>
        <w:style w:val=""/>
        <w:category>
          <w:name w:val="常规"/>
          <w:gallery w:val="placeholder"/>
        </w:category>
        <w:types>
          <w:type w:val="bbPlcHdr"/>
        </w:types>
        <w:behaviors>
          <w:behavior w:val="content"/>
        </w:behaviors>
        <w:description w:val=""/>
        <w:guid w:val="{1f334bce-b592-4ed8-983f-c9f50fef6980}"/>
      </w:docPartPr>
      <w:docPartBody>
        <w:p w14:paraId="7531F030">
          <w:r>
            <w:rPr>
              <w:color w:val="808080"/>
            </w:rPr>
            <w:t>单击此处输入文字。</w:t>
          </w:r>
        </w:p>
      </w:docPartBody>
    </w:docPart>
    <w:docPart>
      <w:docPartPr>
        <w:name w:val="{eac66ea6-81d2-415e-a71e-2cf6b14295a1}"/>
        <w:style w:val=""/>
        <w:category>
          <w:name w:val="常规"/>
          <w:gallery w:val="placeholder"/>
        </w:category>
        <w:types>
          <w:type w:val="bbPlcHdr"/>
        </w:types>
        <w:behaviors>
          <w:behavior w:val="content"/>
        </w:behaviors>
        <w:description w:val=""/>
        <w:guid w:val="{eac66ea6-81d2-415e-a71e-2cf6b14295a1}"/>
      </w:docPartPr>
      <w:docPartBody>
        <w:p w14:paraId="55F5BB4D">
          <w:r>
            <w:rPr>
              <w:color w:val="808080"/>
            </w:rPr>
            <w:t>单击此处输入文字。</w:t>
          </w:r>
        </w:p>
      </w:docPartBody>
    </w:docPart>
    <w:docPart>
      <w:docPartPr>
        <w:name w:val="{66051e8e-dbc3-4790-aea2-0475df2a7f29}"/>
        <w:style w:val=""/>
        <w:category>
          <w:name w:val="常规"/>
          <w:gallery w:val="placeholder"/>
        </w:category>
        <w:types>
          <w:type w:val="bbPlcHdr"/>
        </w:types>
        <w:behaviors>
          <w:behavior w:val="content"/>
        </w:behaviors>
        <w:description w:val=""/>
        <w:guid w:val="{66051e8e-dbc3-4790-aea2-0475df2a7f29}"/>
      </w:docPartPr>
      <w:docPartBody>
        <w:p w14:paraId="079C895A">
          <w:r>
            <w:rPr>
              <w:color w:val="808080"/>
            </w:rPr>
            <w:t>单击此处输入文字。</w:t>
          </w:r>
        </w:p>
      </w:docPartBody>
    </w:docPart>
    <w:docPart>
      <w:docPartPr>
        <w:name w:val="{a5658488-2a04-47f2-b77d-445479a13b1c}"/>
        <w:style w:val=""/>
        <w:category>
          <w:name w:val="常规"/>
          <w:gallery w:val="placeholder"/>
        </w:category>
        <w:types>
          <w:type w:val="bbPlcHdr"/>
        </w:types>
        <w:behaviors>
          <w:behavior w:val="content"/>
        </w:behaviors>
        <w:description w:val=""/>
        <w:guid w:val="{a5658488-2a04-47f2-b77d-445479a13b1c}"/>
      </w:docPartPr>
      <w:docPartBody>
        <w:p w14:paraId="175B3F5F">
          <w:r>
            <w:rPr>
              <w:color w:val="808080"/>
            </w:rPr>
            <w:t>单击此处输入文字。</w:t>
          </w:r>
        </w:p>
      </w:docPartBody>
    </w:docPart>
    <w:docPart>
      <w:docPartPr>
        <w:name w:val="{f3db3106-2b5a-488d-95a1-26d424adfedb}"/>
        <w:style w:val=""/>
        <w:category>
          <w:name w:val="常规"/>
          <w:gallery w:val="placeholder"/>
        </w:category>
        <w:types>
          <w:type w:val="bbPlcHdr"/>
        </w:types>
        <w:behaviors>
          <w:behavior w:val="content"/>
        </w:behaviors>
        <w:description w:val=""/>
        <w:guid w:val="{f3db3106-2b5a-488d-95a1-26d424adfedb}"/>
      </w:docPartPr>
      <w:docPartBody>
        <w:p w14:paraId="5C4D5253">
          <w:r>
            <w:rPr>
              <w:color w:val="808080"/>
            </w:rPr>
            <w:t>单击此处输入文字。</w:t>
          </w:r>
        </w:p>
      </w:docPartBody>
    </w:docPart>
    <w:docPart>
      <w:docPartPr>
        <w:name w:val="{1b6088a2-425e-42aa-ac25-82a27fd6fbc4}"/>
        <w:style w:val=""/>
        <w:category>
          <w:name w:val="常规"/>
          <w:gallery w:val="placeholder"/>
        </w:category>
        <w:types>
          <w:type w:val="bbPlcHdr"/>
        </w:types>
        <w:behaviors>
          <w:behavior w:val="content"/>
        </w:behaviors>
        <w:description w:val=""/>
        <w:guid w:val="{1b6088a2-425e-42aa-ac25-82a27fd6fbc4}"/>
      </w:docPartPr>
      <w:docPartBody>
        <w:p w14:paraId="6D2F0E9F">
          <w:r>
            <w:rPr>
              <w:color w:val="808080"/>
            </w:rPr>
            <w:t>单击此处输入文字。</w:t>
          </w:r>
        </w:p>
      </w:docPartBody>
    </w:docPart>
    <w:docPart>
      <w:docPartPr>
        <w:name w:val="{c67ce902-064b-4b1f-8c6a-769371a984ab}"/>
        <w:style w:val=""/>
        <w:category>
          <w:name w:val="常规"/>
          <w:gallery w:val="placeholder"/>
        </w:category>
        <w:types>
          <w:type w:val="bbPlcHdr"/>
        </w:types>
        <w:behaviors>
          <w:behavior w:val="content"/>
        </w:behaviors>
        <w:description w:val=""/>
        <w:guid w:val="{c67ce902-064b-4b1f-8c6a-769371a984ab}"/>
      </w:docPartPr>
      <w:docPartBody>
        <w:p w14:paraId="662005C3">
          <w:r>
            <w:rPr>
              <w:color w:val="808080"/>
            </w:rPr>
            <w:t>单击此处输入文字。</w:t>
          </w:r>
        </w:p>
      </w:docPartBody>
    </w:docPart>
    <w:docPart>
      <w:docPartPr>
        <w:name w:val="{5ab5f6e9-b00d-46f7-90c3-5a2e51893f5c}"/>
        <w:style w:val=""/>
        <w:category>
          <w:name w:val="常规"/>
          <w:gallery w:val="placeholder"/>
        </w:category>
        <w:types>
          <w:type w:val="bbPlcHdr"/>
        </w:types>
        <w:behaviors>
          <w:behavior w:val="content"/>
        </w:behaviors>
        <w:description w:val=""/>
        <w:guid w:val="{5ab5f6e9-b00d-46f7-90c3-5a2e51893f5c}"/>
      </w:docPartPr>
      <w:docPartBody>
        <w:p w14:paraId="65567294">
          <w:r>
            <w:rPr>
              <w:color w:val="808080"/>
            </w:rPr>
            <w:t>单击此处输入文字。</w:t>
          </w:r>
        </w:p>
      </w:docPartBody>
    </w:docPart>
    <w:docPart>
      <w:docPartPr>
        <w:name w:val="{2bf07ef0-a86f-4cd1-b1cb-4a1e5f82eb69}"/>
        <w:style w:val=""/>
        <w:category>
          <w:name w:val="常规"/>
          <w:gallery w:val="placeholder"/>
        </w:category>
        <w:types>
          <w:type w:val="bbPlcHdr"/>
        </w:types>
        <w:behaviors>
          <w:behavior w:val="content"/>
        </w:behaviors>
        <w:description w:val=""/>
        <w:guid w:val="{2bf07ef0-a86f-4cd1-b1cb-4a1e5f82eb69}"/>
      </w:docPartPr>
      <w:docPartBody>
        <w:p w14:paraId="50D17786">
          <w:r>
            <w:rPr>
              <w:color w:val="808080"/>
            </w:rPr>
            <w:t>单击此处输入文字。</w:t>
          </w:r>
        </w:p>
      </w:docPartBody>
    </w:docPart>
    <w:docPart>
      <w:docPartPr>
        <w:name w:val="{33da92fc-00c9-449c-864f-2c62a6b7a7d5}"/>
        <w:style w:val=""/>
        <w:category>
          <w:name w:val="常规"/>
          <w:gallery w:val="placeholder"/>
        </w:category>
        <w:types>
          <w:type w:val="bbPlcHdr"/>
        </w:types>
        <w:behaviors>
          <w:behavior w:val="content"/>
        </w:behaviors>
        <w:description w:val=""/>
        <w:guid w:val="{33da92fc-00c9-449c-864f-2c62a6b7a7d5}"/>
      </w:docPartPr>
      <w:docPartBody>
        <w:p w14:paraId="36B73E77">
          <w:r>
            <w:rPr>
              <w:color w:val="808080"/>
            </w:rPr>
            <w:t>单击此处输入文字。</w:t>
          </w:r>
        </w:p>
      </w:docPartBody>
    </w:docPart>
    <w:docPart>
      <w:docPartPr>
        <w:name w:val="{a73c858d-6ff1-4175-a68d-0a6897a523ad}"/>
        <w:style w:val=""/>
        <w:category>
          <w:name w:val="常规"/>
          <w:gallery w:val="placeholder"/>
        </w:category>
        <w:types>
          <w:type w:val="bbPlcHdr"/>
        </w:types>
        <w:behaviors>
          <w:behavior w:val="content"/>
        </w:behaviors>
        <w:description w:val=""/>
        <w:guid w:val="{a73c858d-6ff1-4175-a68d-0a6897a523ad}"/>
      </w:docPartPr>
      <w:docPartBody>
        <w:p w14:paraId="4E3F880D">
          <w:r>
            <w:rPr>
              <w:color w:val="808080"/>
            </w:rPr>
            <w:t>单击此处输入文字。</w:t>
          </w:r>
        </w:p>
      </w:docPartBody>
    </w:docPart>
    <w:docPart>
      <w:docPartPr>
        <w:name w:val="{2152d906-b0a6-4a3e-9e55-7d16396591a7}"/>
        <w:style w:val=""/>
        <w:category>
          <w:name w:val="常规"/>
          <w:gallery w:val="placeholder"/>
        </w:category>
        <w:types>
          <w:type w:val="bbPlcHdr"/>
        </w:types>
        <w:behaviors>
          <w:behavior w:val="content"/>
        </w:behaviors>
        <w:description w:val=""/>
        <w:guid w:val="{2152d906-b0a6-4a3e-9e55-7d16396591a7}"/>
      </w:docPartPr>
      <w:docPartBody>
        <w:p w14:paraId="36488BE3">
          <w:r>
            <w:rPr>
              <w:color w:val="808080"/>
            </w:rPr>
            <w:t>单击此处输入文字。</w:t>
          </w:r>
        </w:p>
      </w:docPartBody>
    </w:docPart>
    <w:docPart>
      <w:docPartPr>
        <w:name w:val="{487bb09b-b8c9-4dd3-9d41-49b8d8acc1d5}"/>
        <w:style w:val=""/>
        <w:category>
          <w:name w:val="常规"/>
          <w:gallery w:val="placeholder"/>
        </w:category>
        <w:types>
          <w:type w:val="bbPlcHdr"/>
        </w:types>
        <w:behaviors>
          <w:behavior w:val="content"/>
        </w:behaviors>
        <w:description w:val=""/>
        <w:guid w:val="{487bb09b-b8c9-4dd3-9d41-49b8d8acc1d5}"/>
      </w:docPartPr>
      <w:docPartBody>
        <w:p w14:paraId="3BA24B6A">
          <w:r>
            <w:rPr>
              <w:color w:val="808080"/>
            </w:rPr>
            <w:t>单击此处输入文字。</w:t>
          </w:r>
        </w:p>
      </w:docPartBody>
    </w:docPart>
    <w:docPart>
      <w:docPartPr>
        <w:name w:val="{3071e06a-d8ea-417a-a8ac-f5645698cff1}"/>
        <w:style w:val=""/>
        <w:category>
          <w:name w:val="常规"/>
          <w:gallery w:val="placeholder"/>
        </w:category>
        <w:types>
          <w:type w:val="bbPlcHdr"/>
        </w:types>
        <w:behaviors>
          <w:behavior w:val="content"/>
        </w:behaviors>
        <w:description w:val=""/>
        <w:guid w:val="{3071e06a-d8ea-417a-a8ac-f5645698cff1}"/>
      </w:docPartPr>
      <w:docPartBody>
        <w:p w14:paraId="7C3D5E65">
          <w:r>
            <w:rPr>
              <w:color w:val="808080"/>
            </w:rPr>
            <w:t>单击此处输入文字。</w:t>
          </w:r>
        </w:p>
      </w:docPartBody>
    </w:docPart>
    <w:docPart>
      <w:docPartPr>
        <w:name w:val="{21f0030d-eb70-423c-98ff-4c1e214fcfbf}"/>
        <w:style w:val=""/>
        <w:category>
          <w:name w:val="常规"/>
          <w:gallery w:val="placeholder"/>
        </w:category>
        <w:types>
          <w:type w:val="bbPlcHdr"/>
        </w:types>
        <w:behaviors>
          <w:behavior w:val="content"/>
        </w:behaviors>
        <w:description w:val=""/>
        <w:guid w:val="{21f0030d-eb70-423c-98ff-4c1e214fcfbf}"/>
      </w:docPartPr>
      <w:docPartBody>
        <w:p w14:paraId="68F7E5A3">
          <w:r>
            <w:rPr>
              <w:color w:val="808080"/>
            </w:rPr>
            <w:t>单击此处输入文字。</w:t>
          </w:r>
        </w:p>
      </w:docPartBody>
    </w:docPart>
    <w:docPart>
      <w:docPartPr>
        <w:name w:val="{a1940d72-9749-4bb9-a518-601e075fc85f}"/>
        <w:style w:val=""/>
        <w:category>
          <w:name w:val="常规"/>
          <w:gallery w:val="placeholder"/>
        </w:category>
        <w:types>
          <w:type w:val="bbPlcHdr"/>
        </w:types>
        <w:behaviors>
          <w:behavior w:val="content"/>
        </w:behaviors>
        <w:description w:val=""/>
        <w:guid w:val="{a1940d72-9749-4bb9-a518-601e075fc85f}"/>
      </w:docPartPr>
      <w:docPartBody>
        <w:p w14:paraId="7A38EB0B">
          <w:r>
            <w:rPr>
              <w:color w:val="808080"/>
            </w:rPr>
            <w:t>单击此处输入文字。</w:t>
          </w:r>
        </w:p>
      </w:docPartBody>
    </w:docPart>
    <w:docPart>
      <w:docPartPr>
        <w:name w:val="{c135d540-d41a-40ba-9529-b08cce67a737}"/>
        <w:style w:val=""/>
        <w:category>
          <w:name w:val="常规"/>
          <w:gallery w:val="placeholder"/>
        </w:category>
        <w:types>
          <w:type w:val="bbPlcHdr"/>
        </w:types>
        <w:behaviors>
          <w:behavior w:val="content"/>
        </w:behaviors>
        <w:description w:val=""/>
        <w:guid w:val="{c135d540-d41a-40ba-9529-b08cce67a737}"/>
      </w:docPartPr>
      <w:docPartBody>
        <w:p w14:paraId="49CBFBDC">
          <w:r>
            <w:rPr>
              <w:color w:val="808080"/>
            </w:rPr>
            <w:t>单击此处输入文字。</w:t>
          </w:r>
        </w:p>
      </w:docPartBody>
    </w:docPart>
    <w:docPart>
      <w:docPartPr>
        <w:name w:val="{0ca52b38-86f4-4a97-9d9c-5c4ebebf7776}"/>
        <w:style w:val=""/>
        <w:category>
          <w:name w:val="常规"/>
          <w:gallery w:val="placeholder"/>
        </w:category>
        <w:types>
          <w:type w:val="bbPlcHdr"/>
        </w:types>
        <w:behaviors>
          <w:behavior w:val="content"/>
        </w:behaviors>
        <w:description w:val=""/>
        <w:guid w:val="{0ca52b38-86f4-4a97-9d9c-5c4ebebf7776}"/>
      </w:docPartPr>
      <w:docPartBody>
        <w:p w14:paraId="01DB95DF">
          <w:r>
            <w:rPr>
              <w:color w:val="808080"/>
            </w:rPr>
            <w:t>单击此处输入文字。</w:t>
          </w:r>
        </w:p>
      </w:docPartBody>
    </w:docPart>
    <w:docPart>
      <w:docPartPr>
        <w:name w:val="{36f3d42f-148e-462f-a4e5-a38dd1fe4c97}"/>
        <w:style w:val=""/>
        <w:category>
          <w:name w:val="常规"/>
          <w:gallery w:val="placeholder"/>
        </w:category>
        <w:types>
          <w:type w:val="bbPlcHdr"/>
        </w:types>
        <w:behaviors>
          <w:behavior w:val="content"/>
        </w:behaviors>
        <w:description w:val=""/>
        <w:guid w:val="{36f3d42f-148e-462f-a4e5-a38dd1fe4c97}"/>
      </w:docPartPr>
      <w:docPartBody>
        <w:p w14:paraId="768560E4">
          <w:r>
            <w:rPr>
              <w:color w:val="808080"/>
            </w:rPr>
            <w:t>单击此处输入文字。</w:t>
          </w:r>
        </w:p>
      </w:docPartBody>
    </w:docPart>
    <w:docPart>
      <w:docPartPr>
        <w:name w:val="{ce13949c-6bd8-4764-893f-202cc4386348}"/>
        <w:style w:val=""/>
        <w:category>
          <w:name w:val="常规"/>
          <w:gallery w:val="placeholder"/>
        </w:category>
        <w:types>
          <w:type w:val="bbPlcHdr"/>
        </w:types>
        <w:behaviors>
          <w:behavior w:val="content"/>
        </w:behaviors>
        <w:description w:val=""/>
        <w:guid w:val="{ce13949c-6bd8-4764-893f-202cc4386348}"/>
      </w:docPartPr>
      <w:docPartBody>
        <w:p w14:paraId="2D94E8C5">
          <w:r>
            <w:rPr>
              <w:color w:val="808080"/>
            </w:rPr>
            <w:t>单击此处输入文字。</w:t>
          </w:r>
        </w:p>
      </w:docPartBody>
    </w:docPart>
    <w:docPart>
      <w:docPartPr>
        <w:name w:val="{93e466d3-1bb6-49fd-811b-1a159b098459}"/>
        <w:style w:val=""/>
        <w:category>
          <w:name w:val="常规"/>
          <w:gallery w:val="placeholder"/>
        </w:category>
        <w:types>
          <w:type w:val="bbPlcHdr"/>
        </w:types>
        <w:behaviors>
          <w:behavior w:val="content"/>
        </w:behaviors>
        <w:description w:val=""/>
        <w:guid w:val="{93e466d3-1bb6-49fd-811b-1a159b098459}"/>
      </w:docPartPr>
      <w:docPartBody>
        <w:p w14:paraId="6096EF60">
          <w:r>
            <w:rPr>
              <w:color w:val="808080"/>
            </w:rPr>
            <w:t>单击此处输入文字。</w:t>
          </w:r>
        </w:p>
      </w:docPartBody>
    </w:docPart>
    <w:docPart>
      <w:docPartPr>
        <w:name w:val="{61183371-60a9-4584-9612-3bdd2e86048c}"/>
        <w:style w:val=""/>
        <w:category>
          <w:name w:val="常规"/>
          <w:gallery w:val="placeholder"/>
        </w:category>
        <w:types>
          <w:type w:val="bbPlcHdr"/>
        </w:types>
        <w:behaviors>
          <w:behavior w:val="content"/>
        </w:behaviors>
        <w:description w:val=""/>
        <w:guid w:val="{61183371-60a9-4584-9612-3bdd2e86048c}"/>
      </w:docPartPr>
      <w:docPartBody>
        <w:p w14:paraId="10A0EAC5">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43</Pages>
  <Words>6587</Words>
  <Characters>7118</Characters>
  <Lines>257</Lines>
  <Paragraphs>72</Paragraphs>
  <TotalTime>51</TotalTime>
  <ScaleCrop>false</ScaleCrop>
  <LinksUpToDate>false</LinksUpToDate>
  <CharactersWithSpaces>7210</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2018-07-16T15:39:00Z</dcterms:created>
  <dc:creator>小周</dc:creator>
  <cp:lastModifiedBy>菩提树下</cp:lastModifiedBy>
  <cp:lastPrinted>2021-06-24T10:10:00Z</cp:lastPrinted>
  <dcterms:modified xsi:type="dcterms:W3CDTF">2026-09-21T06:35:31Z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8EDFB732A38A4CAC96E18AD3A56F0EB4</vt:lpwstr>
  </property>
  <property fmtid="{D5CDD505-2E9C-101B-9397-08002B2CF9AE}" pid="4" name="KSOTemplateDocerSaveRecord">
    <vt:lpwstr>eyJoZGlkIjoiZmZlODlmMmUwMDViZjdlNWE1NDA2N2Q4ZTI4NWMzN2QiLCJ1c2VySWQiOiI0NTY5Mzg0ODAifQ==</vt:lpwstr>
  </property>
</Properties>
</file>