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68D0C6">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A70B79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F97F787">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杭州电子科技大学</w:t>
      </w:r>
    </w:p>
    <w:p w14:paraId="2D90E67B">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32"/>
          <w:szCs w:val="32"/>
          <w:highlight w:val="none"/>
          <w:lang w:val="en-US" w:eastAsia="zh-CN" w:bidi="ar"/>
        </w:rPr>
        <w:t>杭电智慧学习云平台服务</w:t>
      </w:r>
    </w:p>
    <w:p w14:paraId="01988337">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E6F3AD3">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8AFDA2C">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磋商文件</w:t>
      </w:r>
    </w:p>
    <w:p w14:paraId="67A68663">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6"/>
          <w:szCs w:val="36"/>
          <w:highlight w:val="none"/>
          <w:lang w:val="en-US" w:eastAsia="zh-CN" w:bidi="ar"/>
        </w:rPr>
        <w:t>（线上电子交易）</w:t>
      </w:r>
    </w:p>
    <w:p w14:paraId="73F1C77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3E4AD61">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73DB9B6">
      <w:pPr>
        <w:keepNext w:val="0"/>
        <w:keepLines w:val="0"/>
        <w:widowControl/>
        <w:suppressLineNumbers w:val="0"/>
        <w:spacing w:after="210" w:afterAutospacing="0" w:line="288" w:lineRule="auto"/>
        <w:jc w:val="left"/>
        <w:rPr>
          <w:rFonts w:hint="eastAsia" w:ascii="宋体" w:hAnsi="宋体" w:eastAsia="宋体" w:cs="宋体"/>
          <w:color w:val="auto"/>
          <w:sz w:val="21"/>
          <w:szCs w:val="21"/>
          <w:highlight w:val="none"/>
        </w:rPr>
      </w:pP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85"/>
        <w:gridCol w:w="7711"/>
      </w:tblGrid>
      <w:tr w14:paraId="2C44EAC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5DB3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采购方式</w:t>
            </w:r>
          </w:p>
        </w:tc>
        <w:tc>
          <w:tcPr>
            <w:tcW w:w="530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C9F5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竞争性磋商</w:t>
            </w:r>
          </w:p>
        </w:tc>
      </w:tr>
      <w:tr w14:paraId="14241C2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835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交易方式</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02E3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电子交易</w:t>
            </w:r>
          </w:p>
        </w:tc>
      </w:tr>
      <w:tr w14:paraId="1CC23DF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C297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交易平台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6B68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政府采购云平台（www.zcygov.cn）</w:t>
            </w:r>
          </w:p>
        </w:tc>
      </w:tr>
      <w:tr w14:paraId="5A7CDBB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754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项目名称</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A666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杭电智慧学习云平台服务</w:t>
            </w:r>
          </w:p>
        </w:tc>
      </w:tr>
      <w:tr w14:paraId="42A52F0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70E2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项目编号</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A35D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330000263030150000069-QSZBB260014ZFCS</w:t>
            </w:r>
          </w:p>
        </w:tc>
      </w:tr>
      <w:tr w14:paraId="4C6DAD1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6552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 购 人</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1463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杭州电子科技大学</w:t>
            </w:r>
          </w:p>
        </w:tc>
      </w:tr>
      <w:tr w14:paraId="4021971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873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代理机构</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B86B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浙江求是招标代理有限公司</w:t>
            </w:r>
          </w:p>
        </w:tc>
      </w:tr>
      <w:tr w14:paraId="29B9FAE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15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8C5E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采购计划书</w:t>
            </w:r>
          </w:p>
        </w:tc>
        <w:tc>
          <w:tcPr>
            <w:tcW w:w="53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27F1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[2026]2041号、[2026]2042号</w:t>
            </w:r>
          </w:p>
        </w:tc>
      </w:tr>
    </w:tbl>
    <w:p w14:paraId="1848F69C">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30"/>
          <w:szCs w:val="30"/>
          <w:highlight w:val="none"/>
        </w:rPr>
        <w:t>目录</w:t>
      </w:r>
    </w:p>
    <w:p w14:paraId="4C015E7C">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left"/>
        <w:textAlignment w:val="auto"/>
        <w:rPr>
          <w:rFonts w:hint="eastAsia" w:ascii="宋体" w:hAnsi="宋体" w:eastAsia="宋体" w:cs="宋体"/>
          <w:color w:val="auto"/>
          <w:sz w:val="30"/>
          <w:szCs w:val="30"/>
          <w:highlight w:val="none"/>
        </w:rPr>
      </w:pPr>
    </w:p>
    <w:p w14:paraId="30A5079B">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第一章  采购邀请</w:t>
      </w:r>
    </w:p>
    <w:p w14:paraId="2A9BB33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第二章  采购需求</w:t>
      </w:r>
    </w:p>
    <w:p w14:paraId="263B5A6C">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第三章  供应商须知</w:t>
      </w:r>
    </w:p>
    <w:p w14:paraId="5C359732">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第四章  评审方法和评审标准</w:t>
      </w:r>
    </w:p>
    <w:p w14:paraId="0359320F">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30"/>
          <w:szCs w:val="30"/>
          <w:highlight w:val="none"/>
        </w:rPr>
      </w:pPr>
      <w:r>
        <w:rPr>
          <w:rFonts w:hint="eastAsia" w:ascii="宋体" w:hAnsi="宋体" w:eastAsia="宋体" w:cs="宋体"/>
          <w:b/>
          <w:bCs/>
          <w:color w:val="auto"/>
          <w:spacing w:val="0"/>
          <w:kern w:val="0"/>
          <w:sz w:val="30"/>
          <w:szCs w:val="30"/>
          <w:highlight w:val="none"/>
          <w:lang w:val="en-US" w:eastAsia="zh-CN" w:bidi="ar"/>
        </w:rPr>
        <w:t>第五章  拟签订的合同文本</w:t>
      </w:r>
    </w:p>
    <w:p w14:paraId="41771D9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60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30"/>
          <w:szCs w:val="30"/>
          <w:highlight w:val="none"/>
          <w:lang w:val="en-US" w:eastAsia="zh-CN" w:bidi="ar"/>
        </w:rPr>
        <w:t>第六章  响应文件格式</w:t>
      </w:r>
    </w:p>
    <w:p w14:paraId="5105DB2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sectPr>
          <w:headerReference r:id="rId3" w:type="default"/>
          <w:pgSz w:w="12240" w:h="15840"/>
          <w:pgMar w:top="1247" w:right="1247" w:bottom="1247" w:left="1247" w:header="0" w:footer="692" w:gutter="0"/>
          <w:pgBorders>
            <w:top w:val="none" w:sz="0" w:space="0"/>
            <w:left w:val="none" w:sz="0" w:space="0"/>
            <w:bottom w:val="none" w:sz="0" w:space="0"/>
            <w:right w:val="none" w:sz="0" w:space="0"/>
          </w:pgBorders>
          <w:pgNumType w:fmt="decimal"/>
          <w:cols w:space="720" w:num="1"/>
        </w:sectPr>
      </w:pPr>
    </w:p>
    <w:p w14:paraId="7DF551C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color w:val="auto"/>
          <w:sz w:val="28"/>
          <w:highlight w:val="none"/>
        </w:rPr>
        <mc:AlternateContent>
          <mc:Choice Requires="wps">
            <w:drawing>
              <wp:anchor distT="0" distB="0" distL="114300" distR="114300" simplePos="0" relativeHeight="251660288" behindDoc="0" locked="0" layoutInCell="1" allowOverlap="1">
                <wp:simplePos x="0" y="0"/>
                <wp:positionH relativeFrom="column">
                  <wp:posOffset>-39370</wp:posOffset>
                </wp:positionH>
                <wp:positionV relativeFrom="paragraph">
                  <wp:posOffset>233045</wp:posOffset>
                </wp:positionV>
                <wp:extent cx="6271895" cy="667385"/>
                <wp:effectExtent l="6350" t="6350" r="8255" b="12065"/>
                <wp:wrapNone/>
                <wp:docPr id="2" name="矩形 2"/>
                <wp:cNvGraphicFramePr/>
                <a:graphic xmlns:a="http://schemas.openxmlformats.org/drawingml/2006/main">
                  <a:graphicData uri="http://schemas.microsoft.com/office/word/2010/wordprocessingShape">
                    <wps:wsp>
                      <wps:cNvSpPr/>
                      <wps:spPr>
                        <a:xfrm>
                          <a:off x="0" y="0"/>
                          <a:ext cx="6271895" cy="667385"/>
                        </a:xfrm>
                        <a:prstGeom prst="rect">
                          <a:avLst/>
                        </a:prstGeom>
                        <a:noFill/>
                        <a:ln w="12700"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3.1pt;margin-top:18.35pt;height:52.55pt;width:493.85pt;z-index:251660288;mso-width-relative:page;mso-height-relative:page;" filled="f" stroked="t" coordsize="21600,21600" o:gfxdata="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3ciXQ2gAAAAkBAAAPAAAAAAAAAAEAIAAAACIAAABkcnMvZG93bnJldi54&#10;bWxQSwECFAAUAAAACACHTuJAkZdJT/gBAAD2AwAADgAAAAAAAAABACAAAAApAQAAZHJzL2Uyb0Rv&#10;Yy54bWxQSwUGAAAAAAYABgBZAQAAkwUAAAAA&#10;">
                <v:fill on="f" focussize="0,0"/>
                <v:stroke weight="1pt" color="#000000" joinstyle="miter"/>
                <v:imagedata o:title=""/>
                <o:lock v:ext="edit" aspectratio="f"/>
              </v:rect>
            </w:pict>
          </mc:Fallback>
        </mc:AlternateContent>
      </w:r>
      <w:r>
        <w:rPr>
          <w:rFonts w:hint="eastAsia" w:ascii="宋体" w:hAnsi="宋体" w:eastAsia="宋体" w:cs="宋体"/>
          <w:b/>
          <w:bCs/>
          <w:color w:val="auto"/>
          <w:sz w:val="28"/>
          <w:szCs w:val="28"/>
          <w:highlight w:val="none"/>
        </w:rPr>
        <w:t>第一章 采购邀请</w:t>
      </w:r>
    </w:p>
    <w:p w14:paraId="7ED7A828">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项目概况</w:t>
      </w:r>
    </w:p>
    <w:p w14:paraId="066961B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杭电智慧学习云平台服务</w:t>
      </w:r>
      <w:r>
        <w:rPr>
          <w:rFonts w:hint="eastAsia" w:ascii="宋体" w:hAnsi="宋体" w:eastAsia="宋体" w:cs="宋体"/>
          <w:color w:val="auto"/>
          <w:kern w:val="0"/>
          <w:sz w:val="21"/>
          <w:szCs w:val="21"/>
          <w:highlight w:val="none"/>
          <w:lang w:val="en-US" w:eastAsia="zh-CN" w:bidi="ar"/>
        </w:rPr>
        <w:t>采购项目的潜在供应商应在政采云平台线上获取（下载）采购文件，并于2026年</w:t>
      </w:r>
      <w:r>
        <w:rPr>
          <w:rFonts w:hint="eastAsia" w:ascii="宋体" w:hAnsi="宋体" w:cs="宋体"/>
          <w:color w:val="auto"/>
          <w:kern w:val="0"/>
          <w:sz w:val="21"/>
          <w:szCs w:val="21"/>
          <w:highlight w:val="none"/>
          <w:lang w:val="en-US" w:eastAsia="zh-CN" w:bidi="ar"/>
        </w:rPr>
        <w:t>3月17日13:30:00</w:t>
      </w:r>
      <w:r>
        <w:rPr>
          <w:rFonts w:hint="eastAsia" w:ascii="宋体" w:hAnsi="宋体" w:eastAsia="宋体" w:cs="宋体"/>
          <w:color w:val="auto"/>
          <w:kern w:val="0"/>
          <w:sz w:val="21"/>
          <w:szCs w:val="21"/>
          <w:highlight w:val="none"/>
          <w:lang w:val="en-US" w:eastAsia="zh-CN" w:bidi="ar"/>
        </w:rPr>
        <w:t>（北京时间）前提交（上传）响应文件。</w:t>
      </w:r>
    </w:p>
    <w:p w14:paraId="4A580B49">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一、项目基本情况</w:t>
      </w:r>
    </w:p>
    <w:p w14:paraId="7D21883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1.项目编号：</w:t>
      </w:r>
      <w:r>
        <w:rPr>
          <w:rFonts w:hint="eastAsia" w:ascii="宋体" w:hAnsi="宋体" w:cs="宋体"/>
          <w:i w:val="0"/>
          <w:iCs w:val="0"/>
          <w:color w:val="auto"/>
          <w:kern w:val="0"/>
          <w:sz w:val="21"/>
          <w:szCs w:val="21"/>
          <w:highlight w:val="none"/>
          <w:lang w:val="en-US" w:eastAsia="zh-CN" w:bidi="ar"/>
        </w:rPr>
        <w:t>330000263030150000069-QSZBB260014ZFCS</w:t>
      </w:r>
    </w:p>
    <w:p w14:paraId="09074DF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2.项目名称：</w:t>
      </w:r>
      <w:r>
        <w:rPr>
          <w:rFonts w:hint="eastAsia" w:ascii="宋体" w:hAnsi="宋体" w:cs="宋体"/>
          <w:i w:val="0"/>
          <w:iCs w:val="0"/>
          <w:color w:val="auto"/>
          <w:kern w:val="0"/>
          <w:sz w:val="21"/>
          <w:szCs w:val="21"/>
          <w:highlight w:val="none"/>
          <w:lang w:val="en-US" w:eastAsia="zh-CN" w:bidi="ar"/>
        </w:rPr>
        <w:t>杭电智慧学习云平台服务</w:t>
      </w:r>
    </w:p>
    <w:p w14:paraId="7D01A05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3.采购方式：</w:t>
      </w:r>
      <w:r>
        <w:rPr>
          <w:rFonts w:hint="eastAsia" w:ascii="宋体" w:hAnsi="宋体" w:eastAsia="宋体" w:cs="宋体"/>
          <w:i w:val="0"/>
          <w:iCs w:val="0"/>
          <w:color w:val="auto"/>
          <w:kern w:val="0"/>
          <w:sz w:val="21"/>
          <w:szCs w:val="21"/>
          <w:highlight w:val="none"/>
          <w:lang w:val="en-US" w:eastAsia="zh-CN" w:bidi="ar"/>
        </w:rPr>
        <w:t>竞争性磋商</w:t>
      </w:r>
    </w:p>
    <w:p w14:paraId="29F52132">
      <w:pPr>
        <w:keepNext w:val="0"/>
        <w:keepLines w:val="0"/>
        <w:widowControl/>
        <w:suppressLineNumbers w:val="0"/>
        <w:autoSpaceDE w:val="0"/>
        <w:autoSpaceDN/>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4.预算金额（元）：</w:t>
      </w:r>
      <w:r>
        <w:rPr>
          <w:rFonts w:hint="eastAsia" w:ascii="宋体" w:hAnsi="宋体" w:cs="宋体"/>
          <w:color w:val="auto"/>
          <w:kern w:val="0"/>
          <w:sz w:val="21"/>
          <w:szCs w:val="21"/>
          <w:highlight w:val="none"/>
          <w:lang w:val="en-US" w:eastAsia="zh-CN" w:bidi="ar"/>
        </w:rPr>
        <w:t>950000</w:t>
      </w:r>
    </w:p>
    <w:p w14:paraId="15F0373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5.最高限价（元）：950000</w:t>
      </w:r>
    </w:p>
    <w:p w14:paraId="3E12869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6.采购需求：</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90"/>
        <w:gridCol w:w="1979"/>
        <w:gridCol w:w="1484"/>
        <w:gridCol w:w="1484"/>
        <w:gridCol w:w="2969"/>
        <w:gridCol w:w="990"/>
      </w:tblGrid>
      <w:tr w14:paraId="29338C6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CB87CB">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标项号</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4DB5CD">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标项名称</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7A5E99">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标项预算(元)</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25E952">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标项限价(元)</w:t>
            </w:r>
          </w:p>
        </w:tc>
        <w:tc>
          <w:tcPr>
            <w:tcW w:w="1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C5A20A">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简要技术需求或服务要求</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B87275">
            <w:pPr>
              <w:keepNext w:val="0"/>
              <w:keepLines w:val="0"/>
              <w:widowControl/>
              <w:suppressLineNumbers w:val="0"/>
              <w:autoSpaceDE w:val="0"/>
              <w:autoSpaceDN/>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备注</w:t>
            </w:r>
          </w:p>
        </w:tc>
      </w:tr>
      <w:tr w14:paraId="1499F54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66A0B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一</w:t>
            </w:r>
          </w:p>
        </w:tc>
        <w:tc>
          <w:tcPr>
            <w:tcW w:w="10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5232E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杭电智慧学习云平台服务</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3E276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950000</w:t>
            </w:r>
          </w:p>
        </w:tc>
        <w:tc>
          <w:tcPr>
            <w:tcW w:w="7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C3063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950000</w:t>
            </w:r>
          </w:p>
        </w:tc>
        <w:tc>
          <w:tcPr>
            <w:tcW w:w="1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FB0656">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详见第二章 采购需求</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87B73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p>
        </w:tc>
      </w:tr>
    </w:tbl>
    <w:p w14:paraId="1C48676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7.合同履行期限：</w:t>
      </w:r>
      <w:r>
        <w:rPr>
          <w:rFonts w:hint="eastAsia" w:ascii="宋体" w:hAnsi="宋体" w:cs="宋体"/>
          <w:color w:val="auto"/>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须在2026年</w:t>
      </w:r>
      <w:r>
        <w:rPr>
          <w:rFonts w:hint="eastAsia" w:ascii="宋体" w:hAnsi="宋体" w:cs="宋体"/>
          <w:color w:val="auto"/>
          <w:kern w:val="0"/>
          <w:sz w:val="21"/>
          <w:szCs w:val="21"/>
          <w:highlight w:val="none"/>
          <w:lang w:val="en-US" w:eastAsia="zh-CN" w:bidi="ar"/>
        </w:rPr>
        <w:t>4月8日</w:t>
      </w:r>
      <w:r>
        <w:rPr>
          <w:rFonts w:hint="eastAsia" w:ascii="宋体" w:hAnsi="宋体" w:eastAsia="宋体" w:cs="宋体"/>
          <w:color w:val="auto"/>
          <w:kern w:val="0"/>
          <w:sz w:val="21"/>
          <w:szCs w:val="21"/>
          <w:highlight w:val="none"/>
          <w:lang w:val="en-US" w:eastAsia="zh-CN" w:bidi="ar"/>
        </w:rPr>
        <w:t>前完成本平台部署，并自部署完成之日起提供3年持续性服务</w:t>
      </w:r>
      <w:r>
        <w:rPr>
          <w:rFonts w:hint="eastAsia" w:ascii="宋体" w:hAnsi="宋体" w:cs="宋体"/>
          <w:color w:val="auto"/>
          <w:kern w:val="0"/>
          <w:sz w:val="21"/>
          <w:szCs w:val="21"/>
          <w:highlight w:val="none"/>
          <w:lang w:val="en-US" w:eastAsia="zh-CN" w:bidi="ar"/>
        </w:rPr>
        <w:t>。</w:t>
      </w:r>
    </w:p>
    <w:p w14:paraId="1C29B47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8.本项目是否接受联合体投标：是</w:t>
      </w:r>
    </w:p>
    <w:p w14:paraId="0415A772">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二、申请人的资格要求：</w:t>
      </w:r>
    </w:p>
    <w:p w14:paraId="7E027AC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满足《中华人民共和国政府采购法》第二十二条规定；未被“信用中国”（www.creditchina.gov.cn)、中国政府采购网（www.ccgp.gov.cn）列入失信被执行人、重大税收违法案件当事人名单（重大税收违法失信主体名单）、政府采购严重违法失信行为记录名单。</w:t>
      </w:r>
    </w:p>
    <w:p w14:paraId="03973029">
      <w:pPr>
        <w:keepNext w:val="0"/>
        <w:keepLines w:val="0"/>
        <w:widowControl/>
        <w:suppressLineNumbers w:val="0"/>
        <w:autoSpaceDE w:val="0"/>
        <w:autoSpaceDN/>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2.落实政府采购政策需满足的资格要求：</w:t>
      </w:r>
      <w:r>
        <w:rPr>
          <w:rFonts w:hint="eastAsia" w:ascii="宋体" w:hAnsi="宋体" w:cs="宋体"/>
          <w:color w:val="auto"/>
          <w:kern w:val="0"/>
          <w:sz w:val="21"/>
          <w:szCs w:val="21"/>
          <w:highlight w:val="none"/>
          <w:lang w:val="en-US" w:eastAsia="zh-CN" w:bidi="ar"/>
        </w:rPr>
        <w:t>无</w:t>
      </w:r>
    </w:p>
    <w:p w14:paraId="6074447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3.本项目的特定资格要求：无</w:t>
      </w:r>
    </w:p>
    <w:p w14:paraId="673CD16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4.其他：</w:t>
      </w:r>
    </w:p>
    <w:p w14:paraId="2A3CA8B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（1）单位负责人为同一人或者存在直接控股、管理关系的不同供应商，不得参加同一合同项下的政府采购活动。</w:t>
      </w:r>
    </w:p>
    <w:p w14:paraId="62AF977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（2）为本项目提供整体设计、规范编制或者项目管理、监理、检测等服务的供应商，不得再参加本项目的其他采购活动。</w:t>
      </w:r>
    </w:p>
    <w:p w14:paraId="0E9A110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（3）政府购买服务的项目，公益一类事业单位、使用事业编制且由财政拨款保障的群团组织不得作为承接主体。</w:t>
      </w:r>
    </w:p>
    <w:p w14:paraId="2E22261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（4）以联合体形式响应的，响应文件中提供《联合协议》。</w:t>
      </w:r>
    </w:p>
    <w:p w14:paraId="6C8A4825">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三、获取（下载）采购文件</w:t>
      </w:r>
    </w:p>
    <w:p w14:paraId="66AF563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时间：2026年</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val="en-US" w:eastAsia="zh-CN" w:bidi="ar"/>
        </w:rPr>
        <w:t>月</w:t>
      </w:r>
      <w:r>
        <w:rPr>
          <w:rFonts w:hint="eastAsia" w:ascii="宋体" w:hAnsi="宋体" w:cs="宋体"/>
          <w:color w:val="auto"/>
          <w:kern w:val="0"/>
          <w:sz w:val="21"/>
          <w:szCs w:val="21"/>
          <w:highlight w:val="none"/>
          <w:lang w:val="en-US" w:eastAsia="zh-CN" w:bidi="ar"/>
        </w:rPr>
        <w:t>6</w:t>
      </w:r>
      <w:r>
        <w:rPr>
          <w:rFonts w:hint="eastAsia" w:ascii="宋体" w:hAnsi="宋体" w:eastAsia="宋体" w:cs="宋体"/>
          <w:color w:val="auto"/>
          <w:kern w:val="0"/>
          <w:sz w:val="21"/>
          <w:szCs w:val="21"/>
          <w:highlight w:val="none"/>
          <w:lang w:val="en-US" w:eastAsia="zh-CN" w:bidi="ar"/>
        </w:rPr>
        <w:t>日至2026年</w:t>
      </w:r>
      <w:r>
        <w:rPr>
          <w:rFonts w:hint="eastAsia" w:ascii="宋体" w:hAnsi="宋体" w:cs="宋体"/>
          <w:color w:val="auto"/>
          <w:kern w:val="0"/>
          <w:sz w:val="21"/>
          <w:szCs w:val="21"/>
          <w:highlight w:val="none"/>
          <w:lang w:val="en-US" w:eastAsia="zh-CN" w:bidi="ar"/>
        </w:rPr>
        <w:t>3月17日</w:t>
      </w:r>
      <w:r>
        <w:rPr>
          <w:rFonts w:hint="eastAsia" w:ascii="宋体" w:hAnsi="宋体" w:eastAsia="宋体" w:cs="宋体"/>
          <w:color w:val="auto"/>
          <w:kern w:val="0"/>
          <w:sz w:val="21"/>
          <w:szCs w:val="21"/>
          <w:highlight w:val="none"/>
          <w:lang w:val="en-US" w:eastAsia="zh-CN" w:bidi="ar"/>
        </w:rPr>
        <w:t>，每天上午00:00至12:00，下午12:00至23:59（北京时间，线上获取法定节假日均可，线下获取文件法定节假日除外）</w:t>
      </w:r>
    </w:p>
    <w:p w14:paraId="406A8FF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地点（网址）：政采云平台线上获取</w:t>
      </w:r>
    </w:p>
    <w:p w14:paraId="48D4E02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方式：供应商登录政府采购云平台（https://www.zcygov.cn）在线申请获取采购文件（进入“项目采购”应用，在获取采购文件菜单中选择项目，申请获取采购文件）</w:t>
      </w:r>
    </w:p>
    <w:p w14:paraId="37256C0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售价（元）：0</w:t>
      </w:r>
    </w:p>
    <w:p w14:paraId="71CD3D98">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四、响应文件提交（上传）</w:t>
      </w:r>
    </w:p>
    <w:p w14:paraId="40A8C9B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截止时间：2026年</w:t>
      </w:r>
      <w:r>
        <w:rPr>
          <w:rFonts w:hint="eastAsia" w:ascii="宋体" w:hAnsi="宋体" w:cs="宋体"/>
          <w:color w:val="auto"/>
          <w:kern w:val="0"/>
          <w:sz w:val="21"/>
          <w:szCs w:val="21"/>
          <w:highlight w:val="none"/>
          <w:lang w:val="en-US" w:eastAsia="zh-CN" w:bidi="ar"/>
        </w:rPr>
        <w:t>3月17日13:30:00</w:t>
      </w:r>
      <w:r>
        <w:rPr>
          <w:rFonts w:hint="eastAsia" w:ascii="宋体" w:hAnsi="宋体" w:eastAsia="宋体" w:cs="宋体"/>
          <w:color w:val="auto"/>
          <w:kern w:val="0"/>
          <w:sz w:val="21"/>
          <w:szCs w:val="21"/>
          <w:highlight w:val="none"/>
          <w:lang w:val="en-US" w:eastAsia="zh-CN" w:bidi="ar"/>
        </w:rPr>
        <w:t>（北京时间）</w:t>
      </w:r>
    </w:p>
    <w:p w14:paraId="5D5BBFC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地点（网址）：请登录政采云投标客户端投标</w:t>
      </w:r>
    </w:p>
    <w:p w14:paraId="07F79996">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五、响应文件开启</w:t>
      </w:r>
    </w:p>
    <w:p w14:paraId="18FDADD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开启时间：2026年</w:t>
      </w:r>
      <w:r>
        <w:rPr>
          <w:rFonts w:hint="eastAsia" w:ascii="宋体" w:hAnsi="宋体" w:cs="宋体"/>
          <w:color w:val="auto"/>
          <w:kern w:val="0"/>
          <w:sz w:val="21"/>
          <w:szCs w:val="21"/>
          <w:highlight w:val="none"/>
          <w:lang w:val="en-US" w:eastAsia="zh-CN" w:bidi="ar"/>
        </w:rPr>
        <w:t>3月17日13:30:00</w:t>
      </w:r>
      <w:r>
        <w:rPr>
          <w:rFonts w:hint="eastAsia" w:ascii="宋体" w:hAnsi="宋体" w:eastAsia="宋体" w:cs="宋体"/>
          <w:color w:val="auto"/>
          <w:kern w:val="0"/>
          <w:sz w:val="21"/>
          <w:szCs w:val="21"/>
          <w:highlight w:val="none"/>
          <w:lang w:val="en-US" w:eastAsia="zh-CN" w:bidi="ar"/>
        </w:rPr>
        <w:t>（北京时间）</w:t>
      </w:r>
    </w:p>
    <w:p w14:paraId="327C708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地点（网址）：政府采购云平台（www.zcygov.cn）/杭州市西湖区玉古路173号中田大厦21楼（求是招标会议室1）</w:t>
      </w:r>
    </w:p>
    <w:p w14:paraId="08748F3C">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六、公告期限：</w:t>
      </w:r>
      <w:r>
        <w:rPr>
          <w:rFonts w:hint="eastAsia" w:ascii="宋体" w:hAnsi="宋体" w:eastAsia="宋体" w:cs="宋体"/>
          <w:color w:val="auto"/>
          <w:kern w:val="0"/>
          <w:sz w:val="21"/>
          <w:szCs w:val="21"/>
          <w:highlight w:val="none"/>
          <w:lang w:val="en-US" w:eastAsia="zh-CN" w:bidi="ar"/>
        </w:rPr>
        <w:t>自本公告发布之日起3个工作日。</w:t>
      </w:r>
    </w:p>
    <w:p w14:paraId="16B59ECC">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七、其他补充事宜</w:t>
      </w:r>
    </w:p>
    <w:p w14:paraId="766F4AA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4919538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务服务网-政府采购投诉处理-在线办理。</w:t>
      </w:r>
    </w:p>
    <w:p w14:paraId="73A8AAA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5EB7EF0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4.其他事项：需要落实的政府采购政策：包括促进中小企业发展等。详见采购文件的第三章-采购项目需要落实的政府采购政策。</w:t>
      </w:r>
    </w:p>
    <w:p w14:paraId="5D7E536E">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八、凡对本次采购提出询问、质疑、投诉，请按以下方式联系</w:t>
      </w:r>
    </w:p>
    <w:p w14:paraId="13630C2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1.采购人信息</w:t>
      </w:r>
    </w:p>
    <w:p w14:paraId="3C47F9E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名称：杭州电子科技大学</w:t>
      </w:r>
    </w:p>
    <w:p w14:paraId="30886D7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地址：杭州市钱塘区白杨街道2号大街1158号</w:t>
      </w:r>
    </w:p>
    <w:p w14:paraId="324FBCE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传真：/</w:t>
      </w:r>
    </w:p>
    <w:p w14:paraId="53ED222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项目联系人（询问）：</w:t>
      </w:r>
      <w:r>
        <w:rPr>
          <w:rFonts w:hint="eastAsia" w:ascii="宋体" w:hAnsi="宋体" w:cs="宋体"/>
          <w:color w:val="auto"/>
          <w:kern w:val="0"/>
          <w:sz w:val="21"/>
          <w:szCs w:val="21"/>
          <w:highlight w:val="none"/>
          <w:lang w:val="en-US" w:eastAsia="zh-CN" w:bidi="ar"/>
        </w:rPr>
        <w:t>郭</w:t>
      </w:r>
      <w:r>
        <w:rPr>
          <w:rFonts w:hint="eastAsia" w:ascii="宋体" w:hAnsi="宋体" w:eastAsia="宋体" w:cs="宋体"/>
          <w:color w:val="auto"/>
          <w:kern w:val="0"/>
          <w:sz w:val="21"/>
          <w:szCs w:val="21"/>
          <w:highlight w:val="none"/>
          <w:lang w:val="en-US" w:eastAsia="zh-CN" w:bidi="ar"/>
        </w:rPr>
        <w:t>老师</w:t>
      </w:r>
    </w:p>
    <w:p w14:paraId="7DEBA58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项目联系方式（询问）：0571-86915011</w:t>
      </w:r>
    </w:p>
    <w:p w14:paraId="42CDA8C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质疑联系人：李老师</w:t>
      </w:r>
    </w:p>
    <w:p w14:paraId="5EBBFD6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质疑联系方式：0571-86915026</w:t>
      </w:r>
    </w:p>
    <w:p w14:paraId="0150AF7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5CCC73E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2.采购代理机构信息</w:t>
      </w:r>
    </w:p>
    <w:p w14:paraId="776060D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名称：</w:t>
      </w:r>
      <w:r>
        <w:rPr>
          <w:rFonts w:hint="eastAsia" w:ascii="宋体" w:hAnsi="宋体" w:eastAsia="宋体" w:cs="宋体"/>
          <w:i w:val="0"/>
          <w:iCs w:val="0"/>
          <w:color w:val="auto"/>
          <w:kern w:val="0"/>
          <w:sz w:val="21"/>
          <w:szCs w:val="21"/>
          <w:highlight w:val="none"/>
          <w:lang w:val="en-US" w:eastAsia="zh-CN" w:bidi="ar"/>
        </w:rPr>
        <w:t>浙江求是招标代理有限公司</w:t>
      </w:r>
    </w:p>
    <w:p w14:paraId="0DF66A5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w:t>
      </w:r>
      <w:r>
        <w:rPr>
          <w:rFonts w:hint="eastAsia" w:ascii="宋体" w:hAnsi="宋体" w:eastAsia="宋体" w:cs="宋体"/>
          <w:i w:val="0"/>
          <w:iCs w:val="0"/>
          <w:color w:val="auto"/>
          <w:kern w:val="0"/>
          <w:sz w:val="21"/>
          <w:szCs w:val="21"/>
          <w:highlight w:val="none"/>
          <w:lang w:val="en-US" w:eastAsia="zh-CN" w:bidi="ar"/>
        </w:rPr>
        <w:t>杭州市西湖区玉古路173号中田大厦21楼</w:t>
      </w:r>
    </w:p>
    <w:p w14:paraId="7F68363E">
      <w:pPr>
        <w:keepNext w:val="0"/>
        <w:keepLines w:val="0"/>
        <w:widowControl/>
        <w:suppressLineNumbers w:val="0"/>
        <w:autoSpaceDE w:val="0"/>
        <w:autoSpaceDN/>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项目联系人（询问）：陈应俭、</w:t>
      </w:r>
      <w:r>
        <w:rPr>
          <w:rFonts w:hint="eastAsia" w:ascii="宋体" w:hAnsi="宋体" w:eastAsia="宋体" w:cs="宋体"/>
          <w:i w:val="0"/>
          <w:iCs w:val="0"/>
          <w:color w:val="auto"/>
          <w:kern w:val="0"/>
          <w:sz w:val="21"/>
          <w:szCs w:val="21"/>
          <w:highlight w:val="none"/>
          <w:lang w:val="en-US" w:eastAsia="zh-CN" w:bidi="ar"/>
        </w:rPr>
        <w:t>俞炳</w:t>
      </w:r>
      <w:r>
        <w:rPr>
          <w:rFonts w:hint="eastAsia" w:ascii="宋体" w:hAnsi="宋体" w:cs="宋体"/>
          <w:i w:val="0"/>
          <w:iCs w:val="0"/>
          <w:color w:val="auto"/>
          <w:kern w:val="0"/>
          <w:sz w:val="21"/>
          <w:szCs w:val="21"/>
          <w:highlight w:val="none"/>
          <w:lang w:val="en-US" w:eastAsia="zh-CN" w:bidi="ar"/>
        </w:rPr>
        <w:t>、朱建飞</w:t>
      </w:r>
    </w:p>
    <w:p w14:paraId="19349B8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项目联系方式（询问）：</w:t>
      </w:r>
      <w:r>
        <w:rPr>
          <w:rFonts w:hint="eastAsia" w:ascii="宋体" w:hAnsi="宋体" w:eastAsia="宋体" w:cs="宋体"/>
          <w:i w:val="0"/>
          <w:iCs w:val="0"/>
          <w:color w:val="auto"/>
          <w:kern w:val="0"/>
          <w:sz w:val="21"/>
          <w:szCs w:val="21"/>
          <w:highlight w:val="none"/>
          <w:lang w:val="en-US" w:eastAsia="zh-CN" w:bidi="ar"/>
        </w:rPr>
        <w:t>0571-87670302</w:t>
      </w:r>
    </w:p>
    <w:p w14:paraId="4B157CF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质疑联系人：</w:t>
      </w:r>
      <w:r>
        <w:rPr>
          <w:rFonts w:hint="eastAsia" w:ascii="宋体" w:hAnsi="宋体" w:eastAsia="宋体" w:cs="宋体"/>
          <w:i w:val="0"/>
          <w:iCs w:val="0"/>
          <w:color w:val="auto"/>
          <w:kern w:val="0"/>
          <w:sz w:val="21"/>
          <w:szCs w:val="21"/>
          <w:highlight w:val="none"/>
          <w:lang w:val="en-US" w:eastAsia="zh-CN" w:bidi="ar"/>
        </w:rPr>
        <w:t>周安琪</w:t>
      </w:r>
    </w:p>
    <w:p w14:paraId="685B524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质疑联系方式：</w:t>
      </w:r>
      <w:r>
        <w:rPr>
          <w:rFonts w:hint="eastAsia" w:ascii="宋体" w:hAnsi="宋体" w:eastAsia="宋体" w:cs="宋体"/>
          <w:i w:val="0"/>
          <w:iCs w:val="0"/>
          <w:color w:val="auto"/>
          <w:kern w:val="0"/>
          <w:sz w:val="21"/>
          <w:szCs w:val="21"/>
          <w:highlight w:val="none"/>
          <w:lang w:val="en-US" w:eastAsia="zh-CN" w:bidi="ar"/>
        </w:rPr>
        <w:t>0571-81110356</w:t>
      </w:r>
    </w:p>
    <w:p w14:paraId="20939AF1">
      <w:pPr>
        <w:keepNext w:val="0"/>
        <w:keepLines w:val="0"/>
        <w:widowControl/>
        <w:suppressLineNumbers w:val="0"/>
        <w:autoSpaceDE w:val="0"/>
        <w:autoSpaceDN/>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质疑邮箱：</w:t>
      </w:r>
      <w:r>
        <w:rPr>
          <w:rFonts w:hint="eastAsia" w:ascii="宋体" w:hAnsi="宋体" w:eastAsia="宋体" w:cs="宋体"/>
          <w:i w:val="0"/>
          <w:iCs w:val="0"/>
          <w:color w:val="auto"/>
          <w:kern w:val="0"/>
          <w:sz w:val="21"/>
          <w:szCs w:val="21"/>
          <w:highlight w:val="none"/>
          <w:lang w:val="en-US" w:eastAsia="zh-CN" w:bidi="ar"/>
        </w:rPr>
        <w:t>jdkh@qszb.net</w:t>
      </w:r>
    </w:p>
    <w:p w14:paraId="169B7AF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3ABB0EE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3.同级政府采购监督管理部门</w:t>
      </w:r>
    </w:p>
    <w:p w14:paraId="5D1414BB">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名称：杭州电子科技大学国有资产与实验室管理处</w:t>
      </w:r>
    </w:p>
    <w:p w14:paraId="528A32D0">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地址：杭州市钱塘区白杨街道2号大街1158号</w:t>
      </w:r>
    </w:p>
    <w:p w14:paraId="5251613F">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传真：/</w:t>
      </w:r>
    </w:p>
    <w:p w14:paraId="725230C0">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联系人：亓老师</w:t>
      </w:r>
    </w:p>
    <w:p w14:paraId="25387D71">
      <w:pPr>
        <w:keepNext w:val="0"/>
        <w:keepLines w:val="0"/>
        <w:widowControl/>
        <w:suppressLineNumbers w:val="0"/>
        <w:autoSpaceDE w:val="0"/>
        <w:autoSpaceDN/>
        <w:spacing w:before="0" w:beforeAutospacing="0" w:after="0" w:afterAutospacing="0" w:line="288" w:lineRule="auto"/>
        <w:ind w:left="0" w:righ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监督投诉电话：0571-87713574</w:t>
      </w:r>
    </w:p>
    <w:p w14:paraId="7B75653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3969179A">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政策咨询：何一平、冯华，0571-87058424、87055741</w:t>
      </w:r>
    </w:p>
    <w:p w14:paraId="39BF8EE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预算金额未达100万元的采购项目，由采购人处理采购争议。</w:t>
      </w:r>
    </w:p>
    <w:p w14:paraId="713A916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DD0471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若对项目采购电子交易系统操作有疑问，可登录政采云（https://www.zcygov.cn/），点击右侧咨询小采，获取采小蜜智能服务管家帮助，或拨打政采云服务热线95763获取热线服务帮助。</w:t>
      </w:r>
    </w:p>
    <w:p w14:paraId="4DBD965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CA问题联系电话（人工）：汇信CA400-888-4636；天谷CA400-087-8198。</w:t>
      </w:r>
    </w:p>
    <w:p w14:paraId="5A825893">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第二章 采购需求</w:t>
      </w:r>
    </w:p>
    <w:p w14:paraId="1A50DE2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一、采购需求概况</w:t>
      </w:r>
    </w:p>
    <w:p w14:paraId="34C5B34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1.本项目属性为</w:t>
      </w:r>
      <w:r>
        <w:rPr>
          <w:rFonts w:hint="eastAsia" w:ascii="宋体" w:hAnsi="宋体" w:eastAsia="宋体" w:cs="宋体"/>
          <w:color w:val="auto"/>
          <w:kern w:val="0"/>
          <w:sz w:val="21"/>
          <w:szCs w:val="21"/>
          <w:highlight w:val="none"/>
          <w:lang w:val="en-US" w:eastAsia="zh-CN" w:bidi="ar"/>
        </w:rPr>
        <w:t>：</w:t>
      </w:r>
      <w:r>
        <w:rPr>
          <w:rFonts w:hint="eastAsia" w:ascii="宋体" w:hAnsi="宋体" w:cs="宋体"/>
          <w:color w:val="auto"/>
          <w:kern w:val="0"/>
          <w:sz w:val="21"/>
          <w:szCs w:val="21"/>
          <w:highlight w:val="none"/>
          <w:lang w:val="en-US" w:eastAsia="zh-CN" w:bidi="ar"/>
        </w:rPr>
        <w:t>服务</w:t>
      </w:r>
      <w:r>
        <w:rPr>
          <w:rFonts w:hint="eastAsia" w:ascii="宋体" w:hAnsi="宋体" w:eastAsia="宋体" w:cs="宋体"/>
          <w:color w:val="auto"/>
          <w:kern w:val="0"/>
          <w:sz w:val="21"/>
          <w:szCs w:val="21"/>
          <w:highlight w:val="none"/>
          <w:lang w:val="en-US" w:eastAsia="zh-CN" w:bidi="ar"/>
        </w:rPr>
        <w:br w:type="textWrapping"/>
      </w:r>
      <w:r>
        <w:rPr>
          <w:rFonts w:hint="eastAsia" w:ascii="宋体" w:hAnsi="宋体" w:eastAsia="宋体" w:cs="宋体"/>
          <w:color w:val="auto"/>
          <w:kern w:val="0"/>
          <w:sz w:val="21"/>
          <w:szCs w:val="21"/>
          <w:highlight w:val="none"/>
          <w:lang w:val="en-US" w:eastAsia="zh-CN" w:bidi="ar"/>
        </w:rPr>
        <w:t>是否政府购买服务：否</w:t>
      </w:r>
    </w:p>
    <w:p w14:paraId="6CB2E80C">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01355FD6">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2.采购标的：</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3"/>
        <w:gridCol w:w="2476"/>
        <w:gridCol w:w="990"/>
        <w:gridCol w:w="990"/>
        <w:gridCol w:w="990"/>
        <w:gridCol w:w="990"/>
        <w:gridCol w:w="1483"/>
        <w:gridCol w:w="1484"/>
      </w:tblGrid>
      <w:tr w14:paraId="55578C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1A0A4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1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3A3C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标的名称</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472B0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允许进口</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390FB0">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强制节能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A157DD">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优先节能</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7C2FF8">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优先环保</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41584">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标的限价(元)</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CE9AB1">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所属行业</w:t>
            </w:r>
          </w:p>
        </w:tc>
      </w:tr>
      <w:tr w14:paraId="62C1274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2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C53CFB">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25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5822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杭电智慧学习云平台服务</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237C0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F9B56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6C117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p>
        </w:tc>
        <w:tc>
          <w:tcPr>
            <w:tcW w:w="500"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DB499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480D09">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950000</w:t>
            </w:r>
          </w:p>
        </w:tc>
        <w:tc>
          <w:tcPr>
            <w:tcW w:w="749" w:type="pct"/>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B64383">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软件和信息技术服务业</w:t>
            </w:r>
          </w:p>
        </w:tc>
      </w:tr>
    </w:tbl>
    <w:p w14:paraId="2C310D8B">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5602BB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二、为落实政府采购政策需满足的要求</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46"/>
        <w:gridCol w:w="2448"/>
        <w:gridCol w:w="6702"/>
      </w:tblGrid>
      <w:tr w14:paraId="6586B82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69F0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232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EB8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政策名称</w:t>
            </w:r>
          </w:p>
        </w:tc>
        <w:tc>
          <w:tcPr>
            <w:tcW w:w="63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4EFF4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本项目约定及享受政策需提供的材料</w:t>
            </w:r>
          </w:p>
        </w:tc>
      </w:tr>
      <w:tr w14:paraId="3F70C7E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72"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8797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10BE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支持本国产品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E5EDF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0DCBFAF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8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136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9585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775399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（强制采购节能产品）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8121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5DFD67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DEC4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4262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2CF342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（优先采购节能）</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5BAF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043E472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79B8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4</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FBC8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支持绿色发展</w:t>
            </w:r>
          </w:p>
          <w:p w14:paraId="5E8A69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（优先采购环保产品）</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B583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不适用</w:t>
            </w:r>
          </w:p>
        </w:tc>
      </w:tr>
      <w:tr w14:paraId="207BFBA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0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4C68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5</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33AA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支持创新</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8DDC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不适用</w:t>
            </w:r>
          </w:p>
        </w:tc>
      </w:tr>
      <w:tr w14:paraId="2372B2E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7362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6</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BE4D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促进中小企业发展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F2E3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1.本项目未预留份额专门面向【中小】企业采购。享受【小微】企业扶持政策的供应商，提供符合要求的《中小企业声明函》。</w:t>
            </w:r>
          </w:p>
          <w:p w14:paraId="76FE4A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2.说明：在服务采购项目中，服务由【中小】企业承接，即提供服务的人员为【中小】企业依照《中华人民共和国劳动合同法》订立劳动合同的从业人员。</w:t>
            </w:r>
          </w:p>
          <w:p w14:paraId="6201DD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与大企业的负责人为同一人，或者与大企业存在直接控股、管理关系的中小企业不得享受中小企业扶持政策。</w:t>
            </w:r>
          </w:p>
          <w:p w14:paraId="4A934C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▲可以享受中小企业扶持政策的供应商应按照采购文件格式要求提供《中小企业声明函》。《中小企业声明函》填写企业类型错误，以致该供应商享受本不能享受的中小企业扶持政策的，</w:t>
            </w:r>
            <w:r>
              <w:rPr>
                <w:rFonts w:hint="eastAsia" w:ascii="宋体" w:hAnsi="宋体" w:eastAsia="宋体" w:cs="宋体"/>
                <w:i w:val="0"/>
                <w:iCs w:val="0"/>
                <w:color w:val="auto"/>
                <w:kern w:val="0"/>
                <w:sz w:val="21"/>
                <w:szCs w:val="21"/>
                <w:highlight w:val="none"/>
                <w:lang w:val="en-US" w:eastAsia="zh-CN" w:bidi="ar"/>
              </w:rPr>
              <w:t>响应</w:t>
            </w:r>
            <w:r>
              <w:rPr>
                <w:rFonts w:hint="eastAsia" w:ascii="宋体" w:hAnsi="宋体" w:eastAsia="宋体" w:cs="宋体"/>
                <w:color w:val="auto"/>
                <w:kern w:val="0"/>
                <w:sz w:val="21"/>
                <w:szCs w:val="21"/>
                <w:highlight w:val="none"/>
                <w:lang w:val="en-US" w:eastAsia="zh-CN" w:bidi="ar"/>
              </w:rPr>
              <w:t>无效并依法承担法律责任。</w:t>
            </w:r>
          </w:p>
          <w:p w14:paraId="71210899">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（工业和信息化部中小企业局）中小企业规模类型自测小程序：http://baosong.miit.gov.cn/ScaleTest。</w:t>
            </w:r>
          </w:p>
        </w:tc>
      </w:tr>
      <w:tr w14:paraId="5F75C4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F25A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7</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6DE0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支持监狱企业发展</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9023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监狱企业视同小型、微型企业。符合条件的供应商提供：属于监狱企业的证明文件。</w:t>
            </w:r>
          </w:p>
        </w:tc>
      </w:tr>
      <w:tr w14:paraId="73A1641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55FB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8</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BB0C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促进残疾人就业</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B072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残疾人福利性单位视同小型、微型企业。符合条件的供应商提供：《残疾人福利性单位声明函》。</w:t>
            </w:r>
          </w:p>
        </w:tc>
      </w:tr>
      <w:tr w14:paraId="733A806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70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2445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9</w:t>
            </w:r>
          </w:p>
        </w:tc>
        <w:tc>
          <w:tcPr>
            <w:tcW w:w="232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44B8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其他说明</w:t>
            </w:r>
          </w:p>
        </w:tc>
        <w:tc>
          <w:tcPr>
            <w:tcW w:w="63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866C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相关政策详见【第三章  供应商须知】。</w:t>
            </w:r>
          </w:p>
        </w:tc>
      </w:tr>
    </w:tbl>
    <w:p w14:paraId="0B73DC5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425DA60B">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三、商务要求</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519"/>
        <w:gridCol w:w="7377"/>
      </w:tblGrid>
      <w:tr w14:paraId="54D9EC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67" w:hRule="atLeast"/>
        </w:trPr>
        <w:tc>
          <w:tcPr>
            <w:tcW w:w="251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7BE1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服务</w:t>
            </w:r>
            <w:r>
              <w:rPr>
                <w:rFonts w:hint="eastAsia" w:ascii="宋体" w:hAnsi="宋体" w:eastAsia="宋体" w:cs="宋体"/>
                <w:i w:val="0"/>
                <w:iCs w:val="0"/>
                <w:color w:val="auto"/>
                <w:kern w:val="0"/>
                <w:sz w:val="21"/>
                <w:szCs w:val="21"/>
                <w:highlight w:val="none"/>
                <w:lang w:val="en-US" w:eastAsia="zh-CN" w:bidi="ar"/>
              </w:rPr>
              <w:t>时间</w:t>
            </w:r>
          </w:p>
        </w:tc>
        <w:tc>
          <w:tcPr>
            <w:tcW w:w="7377"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073E8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供应商须在2026年</w:t>
            </w:r>
            <w:r>
              <w:rPr>
                <w:rFonts w:hint="eastAsia" w:ascii="宋体" w:hAnsi="宋体" w:cs="宋体"/>
                <w:color w:val="auto"/>
                <w:sz w:val="21"/>
                <w:szCs w:val="21"/>
                <w:highlight w:val="none"/>
                <w:lang w:eastAsia="zh-CN"/>
              </w:rPr>
              <w:t>4月8日</w:t>
            </w:r>
            <w:r>
              <w:rPr>
                <w:rFonts w:hint="eastAsia" w:ascii="宋体" w:hAnsi="宋体" w:eastAsia="宋体" w:cs="宋体"/>
                <w:color w:val="auto"/>
                <w:sz w:val="21"/>
                <w:szCs w:val="21"/>
                <w:highlight w:val="none"/>
              </w:rPr>
              <w:t>前完成本平台部署</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并自部署完成之日起提供3年持续性服务</w:t>
            </w:r>
            <w:r>
              <w:rPr>
                <w:rFonts w:hint="eastAsia" w:ascii="宋体" w:hAnsi="宋体" w:eastAsia="宋体" w:cs="宋体"/>
                <w:color w:val="auto"/>
                <w:sz w:val="21"/>
                <w:szCs w:val="21"/>
                <w:highlight w:val="none"/>
              </w:rPr>
              <w:t>。</w:t>
            </w:r>
          </w:p>
        </w:tc>
      </w:tr>
      <w:tr w14:paraId="2E6F818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9"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DB7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服务</w:t>
            </w:r>
            <w:r>
              <w:rPr>
                <w:rFonts w:hint="eastAsia" w:ascii="宋体" w:hAnsi="宋体" w:eastAsia="宋体" w:cs="宋体"/>
                <w:i w:val="0"/>
                <w:iCs w:val="0"/>
                <w:color w:val="auto"/>
                <w:kern w:val="0"/>
                <w:sz w:val="21"/>
                <w:szCs w:val="21"/>
                <w:highlight w:val="none"/>
                <w:lang w:val="en-US" w:eastAsia="zh-CN" w:bidi="ar"/>
              </w:rPr>
              <w:t>地点</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61C929">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采购人指定地点。</w:t>
            </w:r>
          </w:p>
        </w:tc>
      </w:tr>
      <w:tr w14:paraId="08D844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33B8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履约保证金</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DA018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1.合同签订后5个工作日内，</w:t>
            </w:r>
            <w:r>
              <w:rPr>
                <w:rFonts w:hint="eastAsia" w:ascii="宋体" w:hAnsi="宋体" w:cs="宋体"/>
                <w:color w:val="auto"/>
                <w:spacing w:val="-6"/>
                <w:kern w:val="0"/>
                <w:sz w:val="21"/>
                <w:szCs w:val="21"/>
                <w:highlight w:val="none"/>
                <w:lang w:val="en-US" w:eastAsia="zh-CN" w:bidi="ar"/>
              </w:rPr>
              <w:t>供应商</w:t>
            </w:r>
            <w:r>
              <w:rPr>
                <w:rFonts w:hint="eastAsia" w:ascii="宋体" w:hAnsi="宋体" w:eastAsia="宋体" w:cs="宋体"/>
                <w:color w:val="auto"/>
                <w:spacing w:val="-6"/>
                <w:kern w:val="0"/>
                <w:sz w:val="21"/>
                <w:szCs w:val="21"/>
                <w:highlight w:val="none"/>
                <w:lang w:val="en-US" w:eastAsia="zh-CN" w:bidi="ar"/>
              </w:rPr>
              <w:t>向采购人提交合同总价1%的履约保证金，履约保证金在合同履约期间无违约情形的，项目验收结束后，于7个工作日内退还（不计息）；</w:t>
            </w:r>
          </w:p>
          <w:p w14:paraId="454AA1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1CF23E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4A72D1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54D980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开户银行：工行高新支行</w:t>
            </w:r>
          </w:p>
          <w:p w14:paraId="7ABD9B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43A8A81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9A93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付款方式</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F89AB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1.合同生效以及具备实施条件且中标人已向采购人提交银行、保险公司等金融机构出具的预付款保函后，7个工作日内，采购人向中标人支付合同总价的70%；</w:t>
            </w:r>
            <w:r>
              <w:rPr>
                <w:rFonts w:hint="eastAsia" w:ascii="宋体" w:hAnsi="宋体" w:cs="宋体"/>
                <w:i w:val="0"/>
                <w:iCs w:val="0"/>
                <w:color w:val="auto"/>
                <w:spacing w:val="-6"/>
                <w:kern w:val="0"/>
                <w:sz w:val="21"/>
                <w:szCs w:val="21"/>
                <w:highlight w:val="none"/>
                <w:lang w:val="en-US" w:eastAsia="zh-CN" w:bidi="ar"/>
              </w:rPr>
              <w:t>服务期满6个月，经采购人初步验收合格并收到发票后7个工作日内，向中标人支付合同总价的20%；</w:t>
            </w:r>
            <w:r>
              <w:rPr>
                <w:rFonts w:hint="eastAsia" w:ascii="宋体" w:hAnsi="宋体" w:eastAsia="宋体" w:cs="宋体"/>
                <w:i w:val="0"/>
                <w:iCs w:val="0"/>
                <w:color w:val="auto"/>
                <w:spacing w:val="-6"/>
                <w:kern w:val="0"/>
                <w:sz w:val="21"/>
                <w:szCs w:val="21"/>
                <w:highlight w:val="none"/>
                <w:lang w:val="en-US" w:eastAsia="zh-CN" w:bidi="ar"/>
              </w:rPr>
              <w:t>服务完成，经采购人验收合格并收到发票后7个工作日内，向中标人支付合同总价的</w:t>
            </w:r>
            <w:r>
              <w:rPr>
                <w:rFonts w:hint="eastAsia" w:ascii="宋体" w:hAnsi="宋体" w:cs="宋体"/>
                <w:i w:val="0"/>
                <w:iCs w:val="0"/>
                <w:color w:val="auto"/>
                <w:spacing w:val="-6"/>
                <w:kern w:val="0"/>
                <w:sz w:val="21"/>
                <w:szCs w:val="21"/>
                <w:highlight w:val="none"/>
                <w:lang w:val="en-US" w:eastAsia="zh-CN" w:bidi="ar"/>
              </w:rPr>
              <w:t>1</w:t>
            </w:r>
            <w:r>
              <w:rPr>
                <w:rFonts w:hint="eastAsia" w:ascii="宋体" w:hAnsi="宋体" w:eastAsia="宋体" w:cs="宋体"/>
                <w:i w:val="0"/>
                <w:iCs w:val="0"/>
                <w:color w:val="auto"/>
                <w:spacing w:val="-6"/>
                <w:kern w:val="0"/>
                <w:sz w:val="21"/>
                <w:szCs w:val="21"/>
                <w:highlight w:val="none"/>
                <w:lang w:val="en-US" w:eastAsia="zh-CN" w:bidi="ar"/>
              </w:rPr>
              <w:t>0%。</w:t>
            </w:r>
          </w:p>
          <w:p w14:paraId="7AF18A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2.在签订合同时，供应商明确表示无需预付款或者主动要求降低预付款比例的，可降低预付款比例（预付款保函同步调整）。</w:t>
            </w:r>
          </w:p>
          <w:p w14:paraId="020FD1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i w:val="0"/>
                <w:iCs w:val="0"/>
                <w:color w:val="auto"/>
                <w:spacing w:val="-6"/>
                <w:kern w:val="0"/>
                <w:sz w:val="21"/>
                <w:szCs w:val="21"/>
                <w:highlight w:val="none"/>
                <w:lang w:val="en-US" w:eastAsia="zh-CN" w:bidi="ar"/>
              </w:rPr>
            </w:pPr>
            <w:r>
              <w:rPr>
                <w:rFonts w:hint="default" w:ascii="宋体" w:hAnsi="宋体" w:eastAsia="宋体" w:cs="宋体"/>
                <w:i w:val="0"/>
                <w:iCs w:val="0"/>
                <w:color w:val="auto"/>
                <w:spacing w:val="-6"/>
                <w:kern w:val="0"/>
                <w:sz w:val="21"/>
                <w:szCs w:val="21"/>
                <w:highlight w:val="none"/>
                <w:lang w:val="en-US" w:eastAsia="zh-CN" w:bidi="ar"/>
              </w:rPr>
              <w:t>3.若供应商收取预付款，要求预付款保函有效期覆盖</w:t>
            </w:r>
            <w:r>
              <w:rPr>
                <w:rFonts w:hint="eastAsia" w:ascii="宋体" w:hAnsi="宋体" w:cs="宋体"/>
                <w:i w:val="0"/>
                <w:iCs w:val="0"/>
                <w:color w:val="auto"/>
                <w:spacing w:val="-6"/>
                <w:kern w:val="0"/>
                <w:sz w:val="21"/>
                <w:szCs w:val="21"/>
                <w:highlight w:val="none"/>
                <w:lang w:val="en-US" w:eastAsia="zh-CN" w:bidi="ar"/>
              </w:rPr>
              <w:t>初步</w:t>
            </w:r>
            <w:r>
              <w:rPr>
                <w:rFonts w:hint="default" w:ascii="宋体" w:hAnsi="宋体" w:eastAsia="宋体" w:cs="宋体"/>
                <w:i w:val="0"/>
                <w:iCs w:val="0"/>
                <w:color w:val="auto"/>
                <w:spacing w:val="-6"/>
                <w:kern w:val="0"/>
                <w:sz w:val="21"/>
                <w:szCs w:val="21"/>
                <w:highlight w:val="none"/>
                <w:lang w:val="en-US" w:eastAsia="zh-CN" w:bidi="ar"/>
              </w:rPr>
              <w:t>验收合格时间；提供了预付款保函则供应商无需再缴纳履约保证金。</w:t>
            </w:r>
          </w:p>
          <w:p w14:paraId="189F9E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4.签订合同时中标人明确表示无需预付款的，可以采用以下付款方式：</w:t>
            </w:r>
          </w:p>
          <w:p w14:paraId="67ACDC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①一次性付款：服务完成，采购人验收合格并收到发票后10个工作日内，采购人向中标人支付全部合同价款。</w:t>
            </w:r>
          </w:p>
          <w:p w14:paraId="67E3AC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注：付款前，中标人须交纳合同约定的履约保证金（如有）并提供采购人财务处开具的履约保证金收据，中标人向采购人开具等额有效的合格发票。采购人开票信息如下：</w:t>
            </w:r>
          </w:p>
          <w:p w14:paraId="3BD58A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单位名称：杭州电子科技大学。税号：12330000470009026T</w:t>
            </w:r>
          </w:p>
          <w:p w14:paraId="283FE4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开户银行：工行杭州高新支行。账号：1202026209008806216</w:t>
            </w:r>
          </w:p>
        </w:tc>
      </w:tr>
      <w:tr w14:paraId="2526EA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4E13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售后服务</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A12F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供应商应</w:t>
            </w:r>
            <w:r>
              <w:rPr>
                <w:rFonts w:hint="eastAsia" w:ascii="宋体" w:hAnsi="宋体" w:eastAsia="宋体" w:cs="宋体"/>
                <w:i w:val="0"/>
                <w:iCs w:val="0"/>
                <w:color w:val="auto"/>
                <w:kern w:val="0"/>
                <w:sz w:val="21"/>
                <w:szCs w:val="21"/>
                <w:highlight w:val="none"/>
                <w:lang w:val="en-US" w:eastAsia="zh-CN" w:bidi="ar"/>
              </w:rPr>
              <w:t>提供详细的售后服务方案、售后服务承诺、售后服务保障措施。</w:t>
            </w:r>
          </w:p>
        </w:tc>
      </w:tr>
      <w:tr w14:paraId="4ECE35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A235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服务标准、期限、效率</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FF0E7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1.在</w:t>
            </w:r>
            <w:r>
              <w:rPr>
                <w:rFonts w:hint="eastAsia" w:ascii="宋体" w:hAnsi="宋体" w:cs="宋体"/>
                <w:i w:val="0"/>
                <w:iCs w:val="0"/>
                <w:color w:val="auto"/>
                <w:kern w:val="0"/>
                <w:sz w:val="21"/>
                <w:szCs w:val="21"/>
                <w:highlight w:val="none"/>
                <w:lang w:val="en-US" w:eastAsia="zh-CN" w:bidi="ar"/>
              </w:rPr>
              <w:t>服务期</w:t>
            </w:r>
            <w:r>
              <w:rPr>
                <w:rFonts w:hint="eastAsia" w:ascii="宋体" w:hAnsi="宋体" w:eastAsia="宋体" w:cs="宋体"/>
                <w:i w:val="0"/>
                <w:iCs w:val="0"/>
                <w:color w:val="auto"/>
                <w:kern w:val="0"/>
                <w:sz w:val="21"/>
                <w:szCs w:val="21"/>
                <w:highlight w:val="none"/>
                <w:lang w:val="en-US" w:eastAsia="zh-CN" w:bidi="ar"/>
              </w:rPr>
              <w:t>内，供应商应对</w:t>
            </w:r>
            <w:r>
              <w:rPr>
                <w:rFonts w:hint="eastAsia" w:ascii="宋体" w:hAnsi="宋体" w:cs="宋体"/>
                <w:i w:val="0"/>
                <w:iCs w:val="0"/>
                <w:color w:val="auto"/>
                <w:kern w:val="0"/>
                <w:sz w:val="21"/>
                <w:szCs w:val="21"/>
                <w:highlight w:val="none"/>
                <w:lang w:val="en-US" w:eastAsia="zh-CN" w:bidi="ar"/>
              </w:rPr>
              <w:t>服务内容</w:t>
            </w:r>
            <w:r>
              <w:rPr>
                <w:rFonts w:hint="eastAsia" w:ascii="宋体" w:hAnsi="宋体" w:eastAsia="宋体" w:cs="宋体"/>
                <w:i w:val="0"/>
                <w:iCs w:val="0"/>
                <w:color w:val="auto"/>
                <w:kern w:val="0"/>
                <w:sz w:val="21"/>
                <w:szCs w:val="21"/>
                <w:highlight w:val="none"/>
                <w:lang w:val="en-US" w:eastAsia="zh-CN" w:bidi="ar"/>
              </w:rPr>
              <w:t>出现的质量及安全问题负责处理解决并承担一切费用。</w:t>
            </w:r>
          </w:p>
          <w:p w14:paraId="2D94A6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2.如在使用过程中发生</w:t>
            </w:r>
            <w:r>
              <w:rPr>
                <w:rFonts w:hint="eastAsia" w:ascii="宋体" w:hAnsi="宋体" w:cs="宋体"/>
                <w:i w:val="0"/>
                <w:iCs w:val="0"/>
                <w:color w:val="auto"/>
                <w:kern w:val="0"/>
                <w:sz w:val="21"/>
                <w:szCs w:val="21"/>
                <w:highlight w:val="none"/>
                <w:lang w:val="en-US" w:eastAsia="zh-CN" w:bidi="ar"/>
              </w:rPr>
              <w:t>服务</w:t>
            </w:r>
            <w:r>
              <w:rPr>
                <w:rFonts w:hint="eastAsia" w:ascii="宋体" w:hAnsi="宋体" w:eastAsia="宋体" w:cs="宋体"/>
                <w:i w:val="0"/>
                <w:iCs w:val="0"/>
                <w:color w:val="auto"/>
                <w:kern w:val="0"/>
                <w:sz w:val="21"/>
                <w:szCs w:val="21"/>
                <w:highlight w:val="none"/>
                <w:lang w:val="en-US" w:eastAsia="zh-CN" w:bidi="ar"/>
              </w:rPr>
              <w:t>问题，供应商维修响应时间：1小时以内；</w:t>
            </w:r>
          </w:p>
          <w:p w14:paraId="4169E2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电话技术支持时间：2小时以内；</w:t>
            </w:r>
          </w:p>
          <w:p w14:paraId="05BFC3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对于通过电话、邮件等远程技术支持不能解决的问题，供应商应在8小时内派遣相关人员赶赴现场，72小时内维修完毕；发生紧急抢修事故的，供应商应在接到采购人通知后8小时内到达现场抢修，并于到达现场24小时之内排除故障。</w:t>
            </w:r>
          </w:p>
        </w:tc>
      </w:tr>
      <w:tr w14:paraId="53F2AD6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79E2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验收标准</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5254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按“第五章  拟签订的合同文本”相关验收要求执行。</w:t>
            </w:r>
          </w:p>
        </w:tc>
      </w:tr>
      <w:tr w14:paraId="787AE9F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A8BB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宋体" w:hAnsi="宋体" w:eastAsia="宋体" w:cs="宋体"/>
                <w:i w:val="0"/>
                <w:iCs w:val="0"/>
                <w:color w:val="auto"/>
                <w:kern w:val="0"/>
                <w:sz w:val="21"/>
                <w:szCs w:val="21"/>
                <w:highlight w:val="none"/>
                <w:lang w:val="en-US" w:eastAsia="zh-CN" w:bidi="ar"/>
              </w:rPr>
            </w:pPr>
            <w:r>
              <w:rPr>
                <w:rFonts w:hint="eastAsia" w:ascii="宋体" w:hAnsi="宋体" w:cs="宋体"/>
                <w:i w:val="0"/>
                <w:iCs w:val="0"/>
                <w:color w:val="auto"/>
                <w:kern w:val="0"/>
                <w:sz w:val="21"/>
                <w:szCs w:val="21"/>
                <w:highlight w:val="none"/>
                <w:lang w:val="en-US" w:eastAsia="zh-CN" w:bidi="ar"/>
              </w:rPr>
              <w:t>违约责任</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0763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按“第五章  拟签订的合同文本”相关违约责任及争议解决方式内容。</w:t>
            </w:r>
          </w:p>
        </w:tc>
      </w:tr>
      <w:tr w14:paraId="35600DB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251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4611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其他技术、服务要求</w:t>
            </w:r>
          </w:p>
        </w:tc>
        <w:tc>
          <w:tcPr>
            <w:tcW w:w="737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55D2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1.供应商应提供有关的全套技术文件。</w:t>
            </w:r>
          </w:p>
          <w:p w14:paraId="6F638A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2.</w:t>
            </w:r>
            <w:r>
              <w:rPr>
                <w:rFonts w:hint="eastAsia" w:ascii="宋体" w:hAnsi="宋体" w:eastAsia="宋体" w:cs="宋体"/>
                <w:i w:val="0"/>
                <w:iCs w:val="0"/>
                <w:color w:val="auto"/>
                <w:kern w:val="0"/>
                <w:sz w:val="21"/>
                <w:szCs w:val="21"/>
                <w:highlight w:val="none"/>
                <w:lang w:val="en-US" w:eastAsia="zh-CN" w:bidi="ar"/>
              </w:rPr>
              <w:t>培训：</w:t>
            </w:r>
          </w:p>
          <w:p w14:paraId="1CCA54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（1）</w:t>
            </w:r>
            <w:r>
              <w:rPr>
                <w:rFonts w:hint="eastAsia" w:ascii="宋体" w:hAnsi="宋体" w:eastAsia="宋体" w:cs="宋体"/>
                <w:i w:val="0"/>
                <w:iCs w:val="0"/>
                <w:color w:val="auto"/>
                <w:kern w:val="0"/>
                <w:sz w:val="21"/>
                <w:szCs w:val="21"/>
                <w:highlight w:val="none"/>
                <w:lang w:val="en-US" w:eastAsia="zh-CN" w:bidi="ar"/>
              </w:rPr>
              <w:t>供应商应对采购人的操作人员免费进行培训；</w:t>
            </w:r>
          </w:p>
          <w:p w14:paraId="63CD46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（2）</w:t>
            </w:r>
            <w:r>
              <w:rPr>
                <w:rFonts w:hint="eastAsia" w:ascii="宋体" w:hAnsi="宋体" w:eastAsia="宋体" w:cs="宋体"/>
                <w:i w:val="0"/>
                <w:iCs w:val="0"/>
                <w:color w:val="auto"/>
                <w:kern w:val="0"/>
                <w:sz w:val="21"/>
                <w:szCs w:val="21"/>
                <w:highlight w:val="none"/>
                <w:lang w:val="en-US" w:eastAsia="zh-CN" w:bidi="ar"/>
              </w:rPr>
              <w:t>培训实现方式、时间、地点、人数应在响应文件中详细说明；</w:t>
            </w:r>
          </w:p>
          <w:p w14:paraId="7F0109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cs="宋体"/>
                <w:i w:val="0"/>
                <w:iCs w:val="0"/>
                <w:color w:val="auto"/>
                <w:kern w:val="0"/>
                <w:sz w:val="21"/>
                <w:szCs w:val="21"/>
                <w:highlight w:val="none"/>
                <w:lang w:val="en-US" w:eastAsia="zh-CN" w:bidi="ar"/>
              </w:rPr>
              <w:t>（3）</w:t>
            </w:r>
            <w:r>
              <w:rPr>
                <w:rFonts w:hint="eastAsia" w:ascii="宋体" w:hAnsi="宋体" w:eastAsia="宋体" w:cs="宋体"/>
                <w:i w:val="0"/>
                <w:iCs w:val="0"/>
                <w:color w:val="auto"/>
                <w:kern w:val="0"/>
                <w:sz w:val="21"/>
                <w:szCs w:val="21"/>
                <w:highlight w:val="none"/>
                <w:lang w:val="en-US" w:eastAsia="zh-CN" w:bidi="ar"/>
              </w:rPr>
              <w:t>供应商应</w:t>
            </w:r>
            <w:r>
              <w:rPr>
                <w:rFonts w:hint="eastAsia" w:ascii="宋体" w:hAnsi="宋体" w:eastAsia="宋体" w:cs="宋体"/>
                <w:color w:val="auto"/>
                <w:kern w:val="0"/>
                <w:sz w:val="21"/>
                <w:szCs w:val="21"/>
                <w:highlight w:val="none"/>
                <w:lang w:val="en-US" w:eastAsia="zh-CN" w:bidi="ar"/>
              </w:rPr>
              <w:t>提供相应的培训计划、培训范围，实施方案。</w:t>
            </w:r>
          </w:p>
        </w:tc>
      </w:tr>
    </w:tbl>
    <w:p w14:paraId="555D32BA">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C634F8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四、技术要求</w:t>
      </w:r>
    </w:p>
    <w:p w14:paraId="78F0E22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1.采购标的需实现的功能或者目标：满足</w:t>
      </w:r>
      <w:r>
        <w:rPr>
          <w:rFonts w:hint="eastAsia" w:ascii="宋体" w:hAnsi="宋体" w:cs="宋体"/>
          <w:color w:val="auto"/>
          <w:kern w:val="0"/>
          <w:sz w:val="21"/>
          <w:szCs w:val="21"/>
          <w:highlight w:val="none"/>
          <w:lang w:val="en-US" w:eastAsia="zh-CN" w:bidi="ar"/>
        </w:rPr>
        <w:t>杭电智慧学习云平台服务</w:t>
      </w:r>
      <w:r>
        <w:rPr>
          <w:rFonts w:hint="eastAsia" w:ascii="宋体" w:hAnsi="宋体" w:eastAsia="宋体" w:cs="宋体"/>
          <w:color w:val="auto"/>
          <w:kern w:val="0"/>
          <w:sz w:val="21"/>
          <w:szCs w:val="21"/>
          <w:highlight w:val="none"/>
          <w:lang w:val="en-US" w:eastAsia="zh-CN" w:bidi="ar"/>
        </w:rPr>
        <w:t>的使用需求。</w:t>
      </w:r>
    </w:p>
    <w:p w14:paraId="1C5CB2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2.采购标的需执行的国家相关标准、行业标准、地方标准或者其他标准、规范：</w:t>
      </w:r>
    </w:p>
    <w:p w14:paraId="3C6A369C">
      <w:pPr>
        <w:keepNext w:val="0"/>
        <w:keepLines w:val="0"/>
        <w:widowControl/>
        <w:suppressLineNumbers w:val="0"/>
        <w:spacing w:line="288" w:lineRule="auto"/>
        <w:ind w:left="0" w:firstLine="420"/>
        <w:jc w:val="left"/>
        <w:rPr>
          <w:rFonts w:hint="default" w:ascii="宋体" w:hAnsi="宋体" w:eastAsia="宋体" w:cs="宋体"/>
          <w:color w:val="auto"/>
          <w:sz w:val="21"/>
          <w:szCs w:val="21"/>
          <w:highlight w:val="none"/>
          <w:lang w:val="en-US"/>
        </w:rPr>
      </w:pPr>
      <w:r>
        <w:rPr>
          <w:rFonts w:hint="eastAsia" w:ascii="宋体" w:hAnsi="宋体" w:eastAsia="宋体" w:cs="宋体"/>
          <w:i w:val="0"/>
          <w:iCs w:val="0"/>
          <w:color w:val="auto"/>
          <w:kern w:val="0"/>
          <w:sz w:val="21"/>
          <w:szCs w:val="21"/>
          <w:highlight w:val="none"/>
          <w:lang w:val="en-US" w:eastAsia="zh-CN" w:bidi="ar"/>
        </w:rPr>
        <w:t>▲国家强制性标准：无</w:t>
      </w:r>
    </w:p>
    <w:p w14:paraId="1C81DFD4">
      <w:pPr>
        <w:keepNext w:val="0"/>
        <w:keepLines w:val="0"/>
        <w:widowControl/>
        <w:suppressLineNumbers w:val="0"/>
        <w:spacing w:line="288" w:lineRule="auto"/>
        <w:ind w:left="0" w:firstLine="42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3.采购标的需满足的技术要求：</w:t>
      </w:r>
    </w:p>
    <w:p w14:paraId="60672A24">
      <w:pPr>
        <w:keepNext w:val="0"/>
        <w:keepLines w:val="0"/>
        <w:pageBreakBefore w:val="0"/>
        <w:widowControl w:val="0"/>
        <w:kinsoku/>
        <w:wordWrap/>
        <w:overflowPunct/>
        <w:topLinePunct w:val="0"/>
        <w:autoSpaceDE/>
        <w:autoSpaceDN/>
        <w:bidi w:val="0"/>
        <w:adjustRightInd/>
        <w:snapToGrid/>
        <w:spacing w:line="288" w:lineRule="auto"/>
        <w:ind w:left="0" w:firstLine="422" w:firstLineChars="20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 服务内容：</w:t>
      </w:r>
    </w:p>
    <w:p w14:paraId="2CEF923C">
      <w:pPr>
        <w:keepNext w:val="0"/>
        <w:keepLines w:val="0"/>
        <w:pageBreakBefore w:val="0"/>
        <w:widowControl w:val="0"/>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aps w:val="0"/>
          <w:color w:val="auto"/>
          <w:spacing w:val="0"/>
          <w:kern w:val="2"/>
          <w:sz w:val="21"/>
          <w:szCs w:val="21"/>
          <w:highlight w:val="none"/>
          <w:shd w:val="clear" w:color="auto" w:fill="FFFFFF"/>
          <w:lang w:val="en-US" w:eastAsia="zh-CN" w:bidi="ar-SA"/>
        </w:rPr>
        <w:t>智慧学习云平台旨在构建一个以教学平台为中心，融合知识图谱与AI工具，覆盖课前、课中、课后全流程的信息化教学解决方案。平台需贯通教室端、移动端与管理端，致力于缓解规模化教育与个性化需求之间的矛盾，支持全校3万名在校生及3000名教师开展低成本、高效率的精准教学，为学生提供个性化学习评估、疑难解答与资源推荐服务，推动构建“教师—学生—智能系统”三元协同的教学新形态，促进教育普惠与教学改革的有机融合。</w:t>
      </w:r>
    </w:p>
    <w:p w14:paraId="6CC09B6D">
      <w:pPr>
        <w:pStyle w:val="6"/>
        <w:keepNext w:val="0"/>
        <w:keepLines w:val="0"/>
        <w:pageBreakBefore w:val="0"/>
        <w:widowControl w:val="0"/>
        <w:kinsoku/>
        <w:wordWrap/>
        <w:overflowPunct/>
        <w:topLinePunct w:val="0"/>
        <w:autoSpaceDE/>
        <w:autoSpaceDN/>
        <w:bidi w:val="0"/>
        <w:adjustRightInd/>
        <w:snapToGrid/>
        <w:spacing w:before="0" w:after="0" w:line="288" w:lineRule="auto"/>
        <w:ind w:left="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 具体</w:t>
      </w:r>
      <w:r>
        <w:rPr>
          <w:rFonts w:hint="eastAsia" w:ascii="宋体" w:hAnsi="宋体" w:eastAsia="宋体" w:cs="宋体"/>
          <w:color w:val="auto"/>
          <w:sz w:val="21"/>
          <w:szCs w:val="21"/>
          <w:highlight w:val="none"/>
          <w:lang w:val="en-US" w:eastAsia="zh-CN"/>
        </w:rPr>
        <w:t>要求</w:t>
      </w:r>
      <w:r>
        <w:rPr>
          <w:rFonts w:hint="eastAsia" w:ascii="宋体" w:hAnsi="宋体" w:cs="宋体"/>
          <w:color w:val="auto"/>
          <w:sz w:val="21"/>
          <w:szCs w:val="21"/>
          <w:highlight w:val="none"/>
          <w:lang w:val="en-US" w:eastAsia="zh-CN"/>
        </w:rPr>
        <w:t>：</w:t>
      </w:r>
    </w:p>
    <w:p w14:paraId="637D5E5F">
      <w:pPr>
        <w:pStyle w:val="6"/>
        <w:keepNext w:val="0"/>
        <w:keepLines w:val="0"/>
        <w:pageBreakBefore w:val="0"/>
        <w:widowControl w:val="0"/>
        <w:kinsoku/>
        <w:wordWrap/>
        <w:overflowPunct/>
        <w:topLinePunct w:val="0"/>
        <w:autoSpaceDE/>
        <w:autoSpaceDN/>
        <w:bidi w:val="0"/>
        <w:adjustRightInd/>
        <w:snapToGrid/>
        <w:spacing w:before="0" w:after="0" w:line="288" w:lineRule="auto"/>
        <w:ind w:left="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 </w:t>
      </w:r>
      <w:r>
        <w:rPr>
          <w:rFonts w:hint="eastAsia" w:ascii="宋体" w:hAnsi="宋体" w:eastAsia="宋体" w:cs="宋体"/>
          <w:color w:val="auto"/>
          <w:sz w:val="21"/>
          <w:szCs w:val="21"/>
          <w:highlight w:val="none"/>
          <w:lang w:val="en-US" w:eastAsia="zh-CN"/>
        </w:rPr>
        <w:t>系统基本要求</w:t>
      </w:r>
      <w:r>
        <w:rPr>
          <w:rFonts w:hint="eastAsia" w:ascii="宋体" w:hAnsi="宋体" w:cs="宋体"/>
          <w:color w:val="auto"/>
          <w:sz w:val="21"/>
          <w:szCs w:val="21"/>
          <w:highlight w:val="none"/>
          <w:lang w:val="en-US" w:eastAsia="zh-CN"/>
        </w:rPr>
        <w:t>：</w:t>
      </w:r>
    </w:p>
    <w:p w14:paraId="1FABFC3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需支持对接学校统一身份认证系统，实现用户信息统一管理。需支持通过数据视图、接口等方式对接学校教务管理数据，自动读取教务系统开课课程的课程代码、课程名称、任课教师、选课名单等数据，实时同步选课及退课数据。</w:t>
      </w:r>
    </w:p>
    <w:p w14:paraId="4C8553D8">
      <w:pPr>
        <w:pStyle w:val="6"/>
        <w:keepNext w:val="0"/>
        <w:keepLines w:val="0"/>
        <w:pageBreakBefore w:val="0"/>
        <w:widowControl w:val="0"/>
        <w:kinsoku/>
        <w:wordWrap/>
        <w:overflowPunct/>
        <w:topLinePunct w:val="0"/>
        <w:autoSpaceDE/>
        <w:autoSpaceDN/>
        <w:bidi w:val="0"/>
        <w:adjustRightInd/>
        <w:snapToGrid/>
        <w:spacing w:before="0" w:after="0" w:line="288" w:lineRule="auto"/>
        <w:ind w:left="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3.2.2 </w:t>
      </w:r>
      <w:r>
        <w:rPr>
          <w:rFonts w:hint="eastAsia" w:ascii="宋体" w:hAnsi="宋体" w:eastAsia="宋体" w:cs="宋体"/>
          <w:color w:val="auto"/>
          <w:sz w:val="21"/>
          <w:szCs w:val="21"/>
          <w:highlight w:val="none"/>
          <w:lang w:val="en-US" w:eastAsia="zh-CN"/>
        </w:rPr>
        <w:t>系统技术要求</w:t>
      </w:r>
      <w:r>
        <w:rPr>
          <w:rFonts w:hint="eastAsia" w:ascii="宋体" w:hAnsi="宋体" w:cs="宋体"/>
          <w:color w:val="auto"/>
          <w:sz w:val="21"/>
          <w:szCs w:val="21"/>
          <w:highlight w:val="none"/>
          <w:lang w:val="en-US" w:eastAsia="zh-CN"/>
        </w:rPr>
        <w:t>：</w:t>
      </w:r>
    </w:p>
    <w:p w14:paraId="31733B9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（1）支持课程创建、内容共享、学习过程跟踪和控制、在线测试和作业发布、交流互动、成绩评测和学习成果反馈教学流程，实现信息技术与教学过程的深度融合。</w:t>
      </w:r>
    </w:p>
    <w:p w14:paraId="52DA218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（2）系统设计应满足大规模用户使用、支持分布式部署，应满足万人在线学习的性能要求。</w:t>
      </w:r>
    </w:p>
    <w:p w14:paraId="7487B13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（3）采用B/S结构，基于J2EE架构，页面采用Web2.0 AJAX开发，不需要另行安装插件就可以支持IE9及以上版本、safari、Firefox、chrome等浏览器。具有先进性、可移植性、开放性和兼容性，支持标准化多媒体课件。支持随用户使用量的增大而只需增加相应的硬件即可。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p>
    <w:p w14:paraId="03EF178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（4）不限注册课程数量和注册用户数，其中的网络课程可以实现按课程的导入、导出进行备份。</w:t>
      </w:r>
    </w:p>
    <w:p w14:paraId="7B8134C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全面支持学生的自主学习与合作学习，体现在教学活动中学生的主体地位和教师的主导地位，为学生构建自主学习、主动探索的环境，教师通过组织学习材料，实时和非实时的教学手段引导和帮助学生学习。</w:t>
      </w:r>
    </w:p>
    <w:p w14:paraId="53EF8FF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（6）平台支持辅助教学、混合式教学、纯网络教学、直播课堂等多种网络教学模式。</w:t>
      </w:r>
    </w:p>
    <w:p w14:paraId="0D73F92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（7）平台具有视频、文档格式自动转换、码流自动转换的功能，以适应不同的访问终端（Android，iOS）；所有文档资源自动转码成flash格式播放，视频类资源系统自动转码为mp4、flv等多种格式。</w:t>
      </w:r>
    </w:p>
    <w:p w14:paraId="5BBE478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（8）具有交流协作功能，提供同步、异步的交流讨论工具，学生之间、学生与教师之间可以方便地共享信息、交流、讨论、协商，从而提高网络学习的效果和质量。</w:t>
      </w:r>
    </w:p>
    <w:p w14:paraId="58AE815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（9）角色管理：可建立学生、教师、管理员、超级管理员等角色，各级管理员也可以根据自身的需求创建角色和为角色指定权限。</w:t>
      </w:r>
    </w:p>
    <w:p w14:paraId="227A2C7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（10）权限管理：可为每个导航功能点分配访问、管理等不同的权限，管理员可以批量给用户分配、收回权限，具有权限整体移交功能。</w:t>
      </w:r>
    </w:p>
    <w:p w14:paraId="6186095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（11）机构和用户管理：管理员可以批量增加、删除、修改组织机构树，可单个、批量增加、删除、修改、查找用户信息。</w:t>
      </w:r>
    </w:p>
    <w:p w14:paraId="6E2351B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（12）提供基于浏览器的数学、化学公式在线编辑器。提供精确的学习进度监控信息，实现学生再次登录平台时能从上次学习的结束点继续学习课程。可记录、查询用户登录及操作信息。</w:t>
      </w:r>
    </w:p>
    <w:p w14:paraId="3CD42D2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13）提供专门的APP移动学习平台，需支持iOS和Android系统。与智慧学习云平台数据同步，进行在线课程的学习、通知、作业、考试、讨论、笔记、小组、成绩分析、学生管理，支持PPT上课、同步课堂、课堂签到、抢答、问卷、讨论、选人、资料、直播等功能。</w:t>
      </w:r>
    </w:p>
    <w:p w14:paraId="53CCDF4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提供专门的教室端，支持PPT投屏及课堂互动功能，PPT投屏演示保留动画效果，播放流畅，在投屏演示时随时可发起签到、投票、测验、抢答、选人、讨论、测验、问卷等多种课堂活动，活动内容可大屏显示。PPT文件来源多种渠道，可以通过电脑端把文件直接发送至移动端，提高资源展示的便捷性。</w:t>
      </w:r>
    </w:p>
    <w:p w14:paraId="4A2D2C2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（15）系统专属的管理端，方便管理者提随时查看教学运行情况、教学预警、办公应用、综合管理。</w:t>
      </w:r>
    </w:p>
    <w:p w14:paraId="654C58C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16）支持管理员在后台对全校教师和学生用户的课程导航进行自定义配置，配置内容包含对已有默认栏目如班级活动、课件、教案、章节、资料、通知、讨论、作业、考试、题库、知识图谱、统计、管理、工具箱的隐藏、上移、下移、编辑操作，同时也支持新增自定义导航到课程导航内。</w:t>
      </w:r>
    </w:p>
    <w:p w14:paraId="4829ED4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（17）表单采集：支持用户自定义创建表单，具有单选、多选、下拉框、单行输入、多行输入、日期选择、图片、附件等元素；支持单独设置每一题是否必填；支持设置审批流。</w:t>
      </w:r>
    </w:p>
    <w:p w14:paraId="142862C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8</w:t>
      </w:r>
      <w:r>
        <w:rPr>
          <w:rFonts w:hint="eastAsia" w:ascii="宋体" w:hAnsi="宋体" w:eastAsia="宋体" w:cs="宋体"/>
          <w:color w:val="auto"/>
          <w:kern w:val="2"/>
          <w:sz w:val="21"/>
          <w:szCs w:val="21"/>
          <w:highlight w:val="none"/>
          <w:lang w:val="en-US" w:eastAsia="zh-CN" w:bidi="ar-SA"/>
        </w:rPr>
        <w:t>）具备三级等保及以上的公安备案和年度年检测评报告。</w:t>
      </w:r>
    </w:p>
    <w:p w14:paraId="3E682D3B">
      <w:pPr>
        <w:pStyle w:val="6"/>
        <w:keepNext w:val="0"/>
        <w:keepLines w:val="0"/>
        <w:pageBreakBefore w:val="0"/>
        <w:widowControl w:val="0"/>
        <w:kinsoku/>
        <w:wordWrap/>
        <w:overflowPunct/>
        <w:topLinePunct w:val="0"/>
        <w:autoSpaceDE/>
        <w:autoSpaceDN/>
        <w:bidi w:val="0"/>
        <w:adjustRightInd/>
        <w:snapToGrid/>
        <w:spacing w:before="0" w:after="0" w:line="288" w:lineRule="auto"/>
        <w:ind w:left="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3.2.3 </w:t>
      </w:r>
      <w:r>
        <w:rPr>
          <w:rFonts w:hint="eastAsia" w:ascii="宋体" w:hAnsi="宋体" w:eastAsia="宋体" w:cs="宋体"/>
          <w:color w:val="auto"/>
          <w:sz w:val="21"/>
          <w:szCs w:val="21"/>
          <w:highlight w:val="none"/>
          <w:lang w:val="en-US" w:eastAsia="zh-CN"/>
        </w:rPr>
        <w:t>课程建设模块</w:t>
      </w:r>
      <w:r>
        <w:rPr>
          <w:rFonts w:hint="eastAsia" w:ascii="宋体" w:hAnsi="宋体" w:cs="宋体"/>
          <w:color w:val="auto"/>
          <w:sz w:val="21"/>
          <w:szCs w:val="21"/>
          <w:highlight w:val="none"/>
          <w:lang w:val="en-US" w:eastAsia="zh-CN"/>
        </w:rPr>
        <w:t>：</w:t>
      </w:r>
    </w:p>
    <w:p w14:paraId="1000B08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（1）支持制作富媒体课程，提供多套精美网络课程建课模板。</w:t>
      </w:r>
    </w:p>
    <w:p w14:paraId="6929550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使用示范教学包建课，示范教学包需整合本科、中高职、基础教育等各层次院校，各学科、专业的资源，教师可以在建课时引用示范教学包中的课程资源、课堂活动示例、题库等内容，同时可以根据教师自己课程的需要进行重新组合使用。学生学习章节中的视频、文档时，支持点击“不懂”，助教随时答疑。</w:t>
      </w:r>
    </w:p>
    <w:p w14:paraId="33863A9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（3）课程编辑页面支持发布通告、课程资料、任务等，并支持模块的添加、删除和位置调整，支持对各模块进行设置。</w:t>
      </w:r>
    </w:p>
    <w:p w14:paraId="555CE02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（4）课程负责人可指派其他教师共建同一门课程，并且可以对共建教师的权限进行设置，比如，是否允许管理教师团队的课堂活动等。</w:t>
      </w:r>
    </w:p>
    <w:p w14:paraId="508A06C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（5）支持教师上传课程所需要的教材、参考书、参考文献、视频等资源。</w:t>
      </w:r>
    </w:p>
    <w:p w14:paraId="6E6D6FB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（6）支持课程教学流程管理，可在课程学习过程中任意位置添加随堂测验，可在单元学习完成后布置作业，可以在章节学习完成后安排考试。</w:t>
      </w:r>
    </w:p>
    <w:p w14:paraId="11416B7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（7）支持慕课制作和慕课教学模式，实现课程知识单元化，每个知识单元聚合丰富的富媒体教学资源，并在同一个页面中进行显示。</w:t>
      </w:r>
    </w:p>
    <w:p w14:paraId="2DD6930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课程单元内容建设支持采用富媒体编辑器，编辑器包含视频、文档、图片、音频、图书、公式、符号、附件、网页、动画等常用组件。支持rmvb、3gp、mpg、mpeg、mov、wmv、avi、mkv、mp4、flv、vob等高清和网络格式视频上传，视频上传后自动转码，无需下载可以直接在线进行播放。支持多种文档格式的上传，包括DOC、PPT、PDF、TXT等，上传后自动转码，无需下载可以直接在线阅读。</w:t>
      </w:r>
    </w:p>
    <w:p w14:paraId="54D7CB3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（9）支持将资源先批量上传至个人云盘中，然后在课程中引用；支持超大文件（2G以上）使用客户端上传。</w:t>
      </w:r>
    </w:p>
    <w:p w14:paraId="60199BC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（10）支持视频中任意时间点插入互动测验；支持设置答错是否允许继续观看视频；支持学生作答后查看答案。支持视频中插入图片、插入知识点、插入批注等。支持观看视频时的弹幕功能。</w:t>
      </w:r>
    </w:p>
    <w:p w14:paraId="74EB883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（11）支持视频的虚拟剪辑，只需要拖动视频播放的起始点、终止点，就可以将视频文件按照课程的要求剪辑成适当长度，教师还可手动输入时间点，进行视频在线虚拟剪辑。</w:t>
      </w:r>
    </w:p>
    <w:p w14:paraId="7AC9174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（12）支持视频替换功能，替换学习视频后，不影响学生已产生的学习记录和成绩。</w:t>
      </w:r>
    </w:p>
    <w:p w14:paraId="1B52DC0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（13）提供可视化的公式编辑器，可以在线进行公式的录入与编辑。支持在线录音功能，录完的声音可以直接在线播放。</w:t>
      </w:r>
    </w:p>
    <w:p w14:paraId="3B8F8C3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（14）支持知识点拓展阅读功能，可以根据一个关键词自动生成相关知识点的知识树，插入到课程单元中，并自动推送知识点相关的图书、期刊、论文等资料。</w:t>
      </w:r>
    </w:p>
    <w:p w14:paraId="0591772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（15）支持课程管理，设置试读范围、设置学生导航栏目、克隆与映射课程等。能够提供课程编辑的详细操作日志和学生退课日志，便于追溯问题、查找原因。</w:t>
      </w:r>
    </w:p>
    <w:p w14:paraId="53A069A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（16）支持将录制好的速课插入到课程章节内，并支持设置为任务点。可以在课程中插入直播作为任务点。</w:t>
      </w:r>
    </w:p>
    <w:p w14:paraId="4CF5BCA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（17）课程门户支持编辑课程封面相关信息、归属院系等。</w:t>
      </w:r>
    </w:p>
    <w:p w14:paraId="0599091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（18）支持设置学生端页面，包括导航功能、是否允许学生自测、显示章节视频水印、开启课程通知、开启学生学习监控。</w:t>
      </w:r>
    </w:p>
    <w:p w14:paraId="474810EF">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3.2.4 </w:t>
      </w:r>
      <w:r>
        <w:rPr>
          <w:rFonts w:hint="eastAsia" w:ascii="宋体" w:hAnsi="宋体" w:eastAsia="宋体" w:cs="宋体"/>
          <w:color w:val="auto"/>
          <w:sz w:val="21"/>
          <w:szCs w:val="21"/>
          <w:highlight w:val="none"/>
          <w:lang w:val="en-US" w:eastAsia="zh-CN"/>
        </w:rPr>
        <w:t>教学管理</w:t>
      </w:r>
      <w:r>
        <w:rPr>
          <w:rFonts w:hint="eastAsia" w:ascii="宋体" w:hAnsi="宋体" w:cs="宋体"/>
          <w:color w:val="auto"/>
          <w:sz w:val="21"/>
          <w:szCs w:val="21"/>
          <w:highlight w:val="none"/>
          <w:lang w:val="en-US" w:eastAsia="zh-CN"/>
        </w:rPr>
        <w:t>：</w:t>
      </w:r>
    </w:p>
    <w:p w14:paraId="79D2DD1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（1）支持辅助教学、混合式教学、纯网络教学、直播课等多种教学模式。</w:t>
      </w:r>
    </w:p>
    <w:p w14:paraId="7AE53CD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（2）教师端提供课程管理、班级管理、教师团队管理、助教管理、统计、考试及作业管理、课程通告管理、学习过程实时监管等。</w:t>
      </w:r>
    </w:p>
    <w:p w14:paraId="3BD267F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（3）提供辅助教学活动的功能，比如：发布作业、在线考试、讨论、答疑、资料等。</w:t>
      </w:r>
    </w:p>
    <w:p w14:paraId="18F3E75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（4）支持上传教案ppt，可添加课堂互动及资源进行展示。</w:t>
      </w:r>
    </w:p>
    <w:p w14:paraId="7E11F07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课表应用：支持对接教务系统课表或手工添加课表，可以设置关联线上课程、编写教案、关联网络班级、编辑上课周次、上课时间、节次、节数、上课地点等，上课地点支持填写线下地点和线上地点，线上地点支持和腾讯会议、zoom等会议软件对接。通过课表教师可以直接发起直播和课堂活动，展开教学。</w:t>
      </w:r>
    </w:p>
    <w:p w14:paraId="19B61E8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（6）可对课程中的视频、作业、考试、测验、章节学习次数、直播课观看时长、线下考试成绩等做权重设置。</w:t>
      </w:r>
    </w:p>
    <w:p w14:paraId="4361E9A4">
      <w:pPr>
        <w:pStyle w:val="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3.2.5 </w:t>
      </w:r>
      <w:r>
        <w:rPr>
          <w:rFonts w:hint="eastAsia" w:ascii="宋体" w:hAnsi="宋体" w:eastAsia="宋体" w:cs="宋体"/>
          <w:b/>
          <w:bCs/>
          <w:color w:val="auto"/>
          <w:sz w:val="21"/>
          <w:szCs w:val="21"/>
          <w:highlight w:val="none"/>
          <w:lang w:val="en-US" w:eastAsia="zh-CN"/>
        </w:rPr>
        <w:t>学习过程监控与管理</w:t>
      </w:r>
      <w:r>
        <w:rPr>
          <w:rFonts w:hint="eastAsia" w:ascii="宋体" w:hAnsi="宋体" w:cs="宋体"/>
          <w:color w:val="auto"/>
          <w:sz w:val="21"/>
          <w:szCs w:val="21"/>
          <w:highlight w:val="none"/>
          <w:lang w:val="en-US" w:eastAsia="zh-CN"/>
        </w:rPr>
        <w:t>：</w:t>
      </w:r>
    </w:p>
    <w:p w14:paraId="2282B8D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（1）人脸识别：学生在平台进行课程学习过程时，需要进行人脸识别，通过认证才可以学习课程内容。</w:t>
      </w:r>
    </w:p>
    <w:p w14:paraId="73B4EEE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（2）章节知识点学习推送控制：教师可以针对每一个教学班对每个章节学习内容进行“开放、定时开放、复习模式”等设置。</w:t>
      </w:r>
    </w:p>
    <w:p w14:paraId="72A4B92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（3）任务驱动式的进阶式学习：教师可以将课程章节内视频、图书、作业等内容设置为任务点。学生端可以看到整个课程和每个章节需要完成的任务点情况，每完成一个任务，数量会自动减一。</w:t>
      </w:r>
    </w:p>
    <w:p w14:paraId="2526CD2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（4）学习过程的监督和跟踪：支持跟踪记录并统计基于每个学生的学习进度、作业和测试完成情况、视频观看的详情等多项学习考核指标。</w:t>
      </w:r>
    </w:p>
    <w:p w14:paraId="13CBD55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视频播放控制：课程的教学视频文件具有“防拖拽和防窗口切换”功能，同时在章节视频中可以插入测验题，包含单选题、多选题和对错题，支持设置答错是否允许继续观看视频，如果答错，支持设置或看多少分钟，或者设置回看时间段；支持学生作答后查看答案。</w:t>
      </w:r>
    </w:p>
    <w:p w14:paraId="58E9261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（6）证书发放功能：证书支持多种模板选择，且支持自定义在线编辑证书内容。系统支持自动发放证书和选人发放，学生可以将证书下载并打印。</w:t>
      </w:r>
    </w:p>
    <w:p w14:paraId="60AF1A2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（7）课程复习模式：支持在课程结束后，自动开启复习模式，在复习模式中，学习记录不记入总成绩。</w:t>
      </w:r>
    </w:p>
    <w:p w14:paraId="5C2BE47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（8）支持章节视频任务点、作业、考试异常行为监控。支持教师查看学生学习监控数据，若有异常学习行为，可清除其学习记录。</w:t>
      </w:r>
    </w:p>
    <w:p w14:paraId="2616D85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（9）</w:t>
      </w:r>
      <w:r>
        <w:rPr>
          <w:rFonts w:hint="eastAsia" w:ascii="宋体" w:hAnsi="宋体" w:eastAsia="宋体" w:cs="宋体"/>
          <w:color w:val="auto"/>
          <w:kern w:val="2"/>
          <w:sz w:val="21"/>
          <w:szCs w:val="21"/>
          <w:highlight w:val="none"/>
          <w:lang w:val="en-US" w:eastAsia="zh-CN" w:bidi="ar-SA"/>
        </w:rPr>
        <w:t>支持学生进入课程、观看视频时进行人脸识别和抓拍。观看视频抓拍支持视频起始、视频播放、视频暂停再播放、视频结束抓拍设置，也支持播放中的定时抓拍,如10分钟抓拍一次和随机抓拍。识别失败支持记录并继续学习和不允许学习的配置。</w:t>
      </w:r>
    </w:p>
    <w:p w14:paraId="29F10AE4">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3.2.6 </w:t>
      </w:r>
      <w:r>
        <w:rPr>
          <w:rFonts w:hint="eastAsia" w:ascii="宋体" w:hAnsi="宋体" w:eastAsia="宋体" w:cs="宋体"/>
          <w:color w:val="auto"/>
          <w:sz w:val="21"/>
          <w:szCs w:val="21"/>
          <w:highlight w:val="none"/>
          <w:lang w:val="en-US" w:eastAsia="zh-CN"/>
        </w:rPr>
        <w:t>教学资源管理</w:t>
      </w:r>
      <w:r>
        <w:rPr>
          <w:rFonts w:hint="eastAsia" w:ascii="宋体" w:hAnsi="宋体" w:cs="宋体"/>
          <w:color w:val="auto"/>
          <w:sz w:val="21"/>
          <w:szCs w:val="21"/>
          <w:highlight w:val="none"/>
          <w:lang w:val="en-US" w:eastAsia="zh-CN"/>
        </w:rPr>
        <w:t>：</w:t>
      </w:r>
    </w:p>
    <w:p w14:paraId="60FDB31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教学资源管理包括上传课程资源，支持课程资源共享给指定教师或指定教学班，同时资源可在不同板块中反复调用，随时随地下载。教师可从本地、云盘、在线图书、网址、教学资源库等添加资源到课程资料模块。</w:t>
      </w:r>
    </w:p>
    <w:p w14:paraId="4EA85C6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（1）教学资料:教师可以对自己所负责的课程的资料进行管理，建立课程文件的目录层级，委派不同权限。</w:t>
      </w:r>
    </w:p>
    <w:p w14:paraId="4FF5286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（2）支持对资料进行转发分享，支持多种转发渠道，可转发至个人笔记、通知、群聊等，支持通过资料二维码、链接地址等形式进行资料共享。</w:t>
      </w:r>
    </w:p>
    <w:p w14:paraId="276C86B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（3）题库管理：</w:t>
      </w:r>
    </w:p>
    <w:p w14:paraId="5829D3A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1）题库建设支持excel模板导入及word智能导入。智能导入需能智能识别题目类型、题干、答案、拼音标点解析等，并能实现在线编辑。</w:t>
      </w:r>
    </w:p>
    <w:p w14:paraId="7677C9F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2）教师可以创建课程试题库，对试题库进行管理，包括添加、修改、删除、查询、浏览等功能。</w:t>
      </w:r>
    </w:p>
    <w:p w14:paraId="195BB48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3）支持创建文件夹对试题进行分类管理。文件夹支持设置共享范围。</w:t>
      </w:r>
    </w:p>
    <w:p w14:paraId="5D82424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4）支持新建题型，满足更多题型要求。支持试题批量导出，支持多种导出格式，包括word、pdf、excel格式。题库支持统计试题使用次数、学生答题正确率、题目创建日期等。</w:t>
      </w:r>
    </w:p>
    <w:p w14:paraId="687940B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5）作业管理：教师可以创建作业，形成课程作业库，也可以从教学资源库引入作业，导入作业。教师可以对已发布的作业进行分数和答案的校正。</w:t>
      </w:r>
    </w:p>
    <w:p w14:paraId="10EB7E3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（4）试卷管理：</w:t>
      </w:r>
    </w:p>
    <w:p w14:paraId="1F181D7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1）支持从题库中随机生成新的试卷的功能，教师可对试卷进行编辑及封存。教师可以选择随机组卷和手动组卷两种组卷方式。</w:t>
      </w:r>
    </w:p>
    <w:p w14:paraId="4B3ED0B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2）支持试卷结构分析：试卷分析功能分为题型统计分析、难易度统计分析、题目详情。</w:t>
      </w:r>
    </w:p>
    <w:p w14:paraId="78803F69">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3.2.7 </w:t>
      </w:r>
      <w:r>
        <w:rPr>
          <w:rFonts w:hint="eastAsia" w:ascii="宋体" w:hAnsi="宋体" w:eastAsia="宋体" w:cs="宋体"/>
          <w:color w:val="auto"/>
          <w:sz w:val="21"/>
          <w:szCs w:val="21"/>
          <w:highlight w:val="none"/>
          <w:lang w:val="en-US" w:eastAsia="zh-CN"/>
        </w:rPr>
        <w:t>作业与评测</w:t>
      </w:r>
      <w:r>
        <w:rPr>
          <w:rFonts w:hint="eastAsia" w:ascii="宋体" w:hAnsi="宋体" w:cs="宋体"/>
          <w:color w:val="auto"/>
          <w:sz w:val="21"/>
          <w:szCs w:val="21"/>
          <w:highlight w:val="none"/>
          <w:lang w:val="en-US" w:eastAsia="zh-CN"/>
        </w:rPr>
        <w:t>：</w:t>
      </w:r>
    </w:p>
    <w:p w14:paraId="2A5E5FD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（1）作业：</w:t>
      </w:r>
    </w:p>
    <w:p w14:paraId="4543215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1）作业可以是来源于题库、作业库自定义或模板导入。教师可以随时查看学生作业的完成情况并对作业进行线上批阅打分。线下成绩可登记到线上。</w:t>
      </w:r>
    </w:p>
    <w:p w14:paraId="4B34E4F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2）作业支持生生互评的功能。支持设置学生批语字数限制以及学生主观题评分范围。作业支持文档、附件、视频、音频等形式。</w:t>
      </w:r>
    </w:p>
    <w:p w14:paraId="25293EC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教师可随时设定作业答案是否公开、作业分数是否公开，可设定学生答案的字数范围及是否防止粘贴的功能。可以对作业进行设置，设置发布作业的时间、是否允许补交、是否允许重做、是否允许学生查看分数、允许学生查看题型分数、允许学生粘贴答案、学生重做时显示对错、题目乱序、督促设置、作答要求、评分设置、排序题按空给分。对于同一套作业，可以设置题目乱序和选项乱序。对于未提交作业的学生，可以进行督促，发放督促通知。</w:t>
      </w:r>
    </w:p>
    <w:p w14:paraId="6457579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4）作业需具备指定发送给某个人的功能，实现有针对性的教学管理。</w:t>
      </w:r>
    </w:p>
    <w:p w14:paraId="4618D26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（2）考试与评测：</w:t>
      </w:r>
    </w:p>
    <w:p w14:paraId="12E0A74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能按照设定的日期和时间自动开放或关闭测验。需具备随机组卷功能，可以随机组若干套试卷发放给学生。支持设置任务学习完成的情况作为是否能参加考试的条件；支持设置综合成绩达标情况作为是否能参加评测的条件。支持设置学生端作答时上传的附件类型，包括拍照/录像、录音、上传附件。支持评测客户端功能，支持客户端独立进行评测。</w:t>
      </w:r>
    </w:p>
    <w:p w14:paraId="03191A2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发布考试须知，可自定义编辑。支持评测过程抓拍，开启后在考生的整个答题过程进行抓拍。有考试评测码，学生需输入考试码后才能参加评测。人脸识别：开启后考生在评测前需进行人脸核对，保证本人参考。支持设置考前多长时间可以进行考前准备。</w:t>
      </w:r>
    </w:p>
    <w:p w14:paraId="63AC706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3）允许学生考后查看试卷，允许自定义设置学生考试完成后展示的提示信息。支持生成试卷分析报告。</w:t>
      </w:r>
    </w:p>
    <w:p w14:paraId="4EC3BBA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4）支持在线阅卷，阅卷教师可在线打分、写评语、如答案为图片，支持在图片上进行批注；可切换批阅方式，支持按人批阅或按题目批阅。</w:t>
      </w:r>
    </w:p>
    <w:p w14:paraId="12E65A3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5）支持监考教师在线监考，实时查看每位考生考试过程记录。</w:t>
      </w:r>
    </w:p>
    <w:p w14:paraId="75A3522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平台支持试卷导出功能，至少支持A3、A4、B4等版式。支持自定义设置导出试卷模板，包括密封线位置，显示的课程信息，学生信息，考试承诺书等多项内容。支持自动随机组卷，组多套试卷时，可设置试卷试题重复率为0或自定义重复率不高于1%到80%区间任意值。</w:t>
      </w:r>
    </w:p>
    <w:p w14:paraId="48A3BA50">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3.2.8 </w:t>
      </w:r>
      <w:r>
        <w:rPr>
          <w:rFonts w:hint="eastAsia" w:ascii="宋体" w:hAnsi="宋体" w:eastAsia="宋体" w:cs="宋体"/>
          <w:color w:val="auto"/>
          <w:sz w:val="21"/>
          <w:szCs w:val="21"/>
          <w:highlight w:val="none"/>
          <w:lang w:val="en-US" w:eastAsia="zh-CN"/>
        </w:rPr>
        <w:t>教学互动</w:t>
      </w:r>
      <w:r>
        <w:rPr>
          <w:rFonts w:hint="eastAsia" w:ascii="宋体" w:hAnsi="宋体" w:cs="宋体"/>
          <w:color w:val="auto"/>
          <w:sz w:val="21"/>
          <w:szCs w:val="21"/>
          <w:highlight w:val="none"/>
          <w:lang w:val="en-US" w:eastAsia="zh-CN"/>
        </w:rPr>
        <w:t>：</w:t>
      </w:r>
    </w:p>
    <w:p w14:paraId="17B4E50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（1）支持教师在课程中发布课程通知，并能及时统计到已读和未读人员名单。</w:t>
      </w:r>
    </w:p>
    <w:p w14:paraId="3ECAD6F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（2）支持学生和教师在讨论区中发起讨论，教师可针对精彩的讨论或有重要意义的讨论做加精或置顶的操作，也可对非法讨论进行删除。</w:t>
      </w:r>
    </w:p>
    <w:p w14:paraId="0B5E92E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（3）支持学生在学习某一个章节时，可以针对此章节做笔记。笔记支持富媒体撰写，可以分享，也可以私有，并能统计。</w:t>
      </w:r>
    </w:p>
    <w:p w14:paraId="7C4E1D6D">
      <w:pPr>
        <w:pStyle w:val="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3.2.9 </w:t>
      </w:r>
      <w:r>
        <w:rPr>
          <w:rFonts w:hint="eastAsia" w:ascii="宋体" w:hAnsi="宋体" w:eastAsia="宋体" w:cs="宋体"/>
          <w:color w:val="auto"/>
          <w:sz w:val="21"/>
          <w:szCs w:val="21"/>
          <w:highlight w:val="none"/>
          <w:lang w:val="en-US" w:eastAsia="zh-CN"/>
        </w:rPr>
        <w:t>统计督学</w:t>
      </w:r>
      <w:r>
        <w:rPr>
          <w:rFonts w:hint="eastAsia" w:ascii="宋体" w:hAnsi="宋体" w:cs="宋体"/>
          <w:color w:val="auto"/>
          <w:sz w:val="21"/>
          <w:szCs w:val="21"/>
          <w:highlight w:val="none"/>
          <w:lang w:val="en-US" w:eastAsia="zh-CN"/>
        </w:rPr>
        <w:t>：</w:t>
      </w:r>
    </w:p>
    <w:p w14:paraId="56D8A75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（1）基础数据：可以对课程学生人数、班级个数、作业次数、课堂活动数、课程章节个数、视频、文档等资源个数、课程资料数、题库题数、考试次数、讨论数进行统计。</w:t>
      </w:r>
    </w:p>
    <w:p w14:paraId="37085E7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（2）课堂报告：以班级和教师筛选展示整个课程的课堂活动发放情况、签到情况、课堂回顾。支持按日筛选查看不同日期课堂报告，可以导出课堂报告。</w:t>
      </w:r>
    </w:p>
    <w:p w14:paraId="11AE433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学情分析：可以展示课程当中学生的学习情况，从多个维度展示学情，包括学习动态监测、章节学习次数、章节任务点、签到、课程积分、作业、章节测验、考试、讨论、教学预警、互动测验、分组任务等学习情况，可以导出学生详细学习情况。</w:t>
      </w:r>
    </w:p>
    <w:p w14:paraId="7E56075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（4）学生成绩：</w:t>
      </w:r>
    </w:p>
    <w:p w14:paraId="05727B7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1）可查看课程下每个班级综合成绩平均分、查看每个学生综合成绩、各分项成绩及权重占比，支持教师手动修改成绩。可查看学生各分项考核模块学习进度情况，可查看每个学生学习情况。</w:t>
      </w:r>
    </w:p>
    <w:p w14:paraId="00742F1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教师可以设置是否允许学生查看成绩，如果允许，学生端可以查看自己的各项成绩及综合排名，其他同学的成绩可设为保密状态；同时，可以导入线下成绩，导入课堂互动的成绩如签到、课堂互动、阅读、直播等课堂成绩，保证学生的成绩更加全面。</w:t>
      </w:r>
    </w:p>
    <w:p w14:paraId="5799F66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3）教学预警：可以按照条件进行预设设置，包括低于任务点平均完成度、低于章节测验平均完成度、低于章节测验平均分、低于作业平均分、低于访问平均分、低于考试平均分、低于综合成绩平均分 。按照条件筛选，并可执行提醒，可查看督学记录。</w:t>
      </w:r>
    </w:p>
    <w:p w14:paraId="49232DDB">
      <w:pPr>
        <w:pStyle w:val="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3.2.10 </w:t>
      </w:r>
      <w:r>
        <w:rPr>
          <w:rFonts w:hint="eastAsia" w:ascii="宋体" w:hAnsi="宋体" w:eastAsia="宋体" w:cs="宋体"/>
          <w:color w:val="auto"/>
          <w:sz w:val="21"/>
          <w:szCs w:val="21"/>
          <w:highlight w:val="none"/>
          <w:lang w:val="en-US" w:eastAsia="zh-CN"/>
        </w:rPr>
        <w:t>学习空间</w:t>
      </w:r>
      <w:r>
        <w:rPr>
          <w:rFonts w:hint="eastAsia" w:ascii="宋体" w:hAnsi="宋体" w:cs="宋体"/>
          <w:color w:val="auto"/>
          <w:sz w:val="21"/>
          <w:szCs w:val="21"/>
          <w:highlight w:val="none"/>
          <w:lang w:val="en-US" w:eastAsia="zh-CN"/>
        </w:rPr>
        <w:t>：</w:t>
      </w:r>
    </w:p>
    <w:p w14:paraId="1904A31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学习、互动、考试等都通过空间完成，教师空间包含所教的课，学生空间包含所学的课。学习空间至少包含以下内容：</w:t>
      </w:r>
    </w:p>
    <w:p w14:paraId="03460A5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（1）收件箱：可以查收&amp;回复收到的站内信函。</w:t>
      </w:r>
    </w:p>
    <w:p w14:paraId="2F4C69F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（2）云盘：可以将文件上传至云盘中，随时随地进行下载，并可以在课程建设时引用云盘的资源。</w:t>
      </w:r>
    </w:p>
    <w:p w14:paraId="0BE0396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（3）小组：用户可以自己创建小组，可以设定小组名称、介绍、加入的权限。小组内可进行互动讨论，资源共享。</w:t>
      </w:r>
    </w:p>
    <w:p w14:paraId="345BFFD0">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3.2.11 </w:t>
      </w:r>
      <w:r>
        <w:rPr>
          <w:rFonts w:hint="eastAsia" w:ascii="宋体" w:hAnsi="宋体" w:eastAsia="宋体" w:cs="宋体"/>
          <w:color w:val="auto"/>
          <w:sz w:val="21"/>
          <w:szCs w:val="21"/>
          <w:highlight w:val="none"/>
          <w:lang w:val="en-US" w:eastAsia="zh-CN"/>
        </w:rPr>
        <w:t>网络教学门户网站</w:t>
      </w:r>
      <w:r>
        <w:rPr>
          <w:rFonts w:hint="eastAsia" w:ascii="宋体" w:hAnsi="宋体" w:cs="宋体"/>
          <w:color w:val="auto"/>
          <w:sz w:val="21"/>
          <w:szCs w:val="21"/>
          <w:highlight w:val="none"/>
          <w:lang w:val="en-US" w:eastAsia="zh-CN"/>
        </w:rPr>
        <w:t>：</w:t>
      </w:r>
    </w:p>
    <w:p w14:paraId="408C59E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leftChars="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帮助学校建设个性化门户网站，展示学校精品课程，发布新闻公告、名师风采展示等，个性化导航栏可以自定义配置。</w:t>
      </w:r>
    </w:p>
    <w:p w14:paraId="7FE8BE1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PC门户配置功能：页面支持用户自定义模块布局，支持拖拽式调整同一模块内不同栏目的位置，支持用户自定义对页面背景、音乐、主题色及简体或繁体字的转换设置。每一个模块内的数据来源均支持人工配置；可以是外部数据接入，也可以直接从数据中心抽调。</w:t>
      </w:r>
    </w:p>
    <w:p w14:paraId="3F82C6C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（2）移动端门户配置：支持对移动端APP的门户进行配置，配置操作需要简单明了，并能根据我校不同身份的用户配置不同的移动端APP门户界面。</w:t>
      </w:r>
    </w:p>
    <w:p w14:paraId="3178C502">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3.2.12 </w:t>
      </w:r>
      <w:r>
        <w:rPr>
          <w:rFonts w:hint="eastAsia" w:ascii="宋体" w:hAnsi="宋体" w:eastAsia="宋体" w:cs="宋体"/>
          <w:color w:val="auto"/>
          <w:sz w:val="21"/>
          <w:szCs w:val="21"/>
          <w:highlight w:val="none"/>
          <w:lang w:val="en-US" w:eastAsia="zh-CN"/>
        </w:rPr>
        <w:t>教室端</w:t>
      </w:r>
      <w:r>
        <w:rPr>
          <w:rFonts w:hint="eastAsia" w:ascii="宋体" w:hAnsi="宋体" w:cs="宋体"/>
          <w:color w:val="auto"/>
          <w:sz w:val="21"/>
          <w:szCs w:val="21"/>
          <w:highlight w:val="none"/>
          <w:lang w:val="en-US" w:eastAsia="zh-CN"/>
        </w:rPr>
        <w:t>：</w:t>
      </w:r>
    </w:p>
    <w:p w14:paraId="54B210B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不借助任何第三方投屏软件进行投屏。不仅包括自有的PPT、课程章节、笔记、专题、图片、文档、课堂活动等，也支持在线搜索平台提供的资料，包括期刊、学术视频、专题等，均可利用手机端一键投屏到教室大屏。投屏时，可以直接在手机终端使用上下翻页，激光笔、聚光灯等功能。</w:t>
      </w:r>
    </w:p>
    <w:p w14:paraId="2E48504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（2）课程录制：同步课堂授课时，教师的教学过程包括不限于：板书、课件、同步的讲课声音等，课程结束后自动保存到教学平台，供学生复习使用。</w:t>
      </w:r>
    </w:p>
    <w:p w14:paraId="6EF094C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（3）教师轻松通过投屏进行签到、选人、抢答、主题讨论等教学环节，并能直接在投屏上展示结果数据。</w:t>
      </w:r>
    </w:p>
    <w:p w14:paraId="388D901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（4）支持PPT演示功能，PPT投屏演示要保留动画效果，确保播放流畅。PPT文件可以通过电脑端把文件直接发送至移动端，提高资源展示的便捷性。</w:t>
      </w:r>
    </w:p>
    <w:p w14:paraId="25E1C2C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（5）尚未加入班级的同学，可以通过扫面班级二维码进入班级。</w:t>
      </w:r>
    </w:p>
    <w:p w14:paraId="05EAF22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（6）支持计时器、白板、学生反馈功能。</w:t>
      </w:r>
    </w:p>
    <w:p w14:paraId="6FF05A2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（7）投屏支持分屏操作，支持PPT与活动内容分屏展示。</w:t>
      </w:r>
    </w:p>
    <w:p w14:paraId="00B0B07A">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3.2.13 </w:t>
      </w:r>
      <w:r>
        <w:rPr>
          <w:rFonts w:hint="eastAsia" w:ascii="宋体" w:hAnsi="宋体" w:eastAsia="宋体" w:cs="宋体"/>
          <w:color w:val="auto"/>
          <w:sz w:val="21"/>
          <w:szCs w:val="21"/>
          <w:highlight w:val="none"/>
          <w:lang w:val="en-US" w:eastAsia="zh-CN"/>
        </w:rPr>
        <w:t>移动端</w:t>
      </w:r>
      <w:r>
        <w:rPr>
          <w:rFonts w:hint="eastAsia" w:ascii="宋体" w:hAnsi="宋体" w:cs="宋体"/>
          <w:color w:val="auto"/>
          <w:sz w:val="21"/>
          <w:szCs w:val="21"/>
          <w:highlight w:val="none"/>
          <w:lang w:val="en-US" w:eastAsia="zh-CN"/>
        </w:rPr>
        <w:t>：</w:t>
      </w:r>
    </w:p>
    <w:p w14:paraId="2F2B9ED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（1）具有移动客户端，支持iOS和Android操作系统，用于手机、Pad等智能移动终端中，实现在线移动学习。PC端与移动端的内容保持同步。</w:t>
      </w:r>
    </w:p>
    <w:p w14:paraId="3B7DFF5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（2）按照教学计划，可在移动端组织教学内容，有序安排资料推送、签到、问答、抢答、投票、考试等教学活动，可实现互动内容课堂发放并复用。</w:t>
      </w:r>
    </w:p>
    <w:p w14:paraId="6BEE2EE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（3）可基于课程形成师生互动交流群，实时进行即时通讯，进行讨论与交流。</w:t>
      </w:r>
    </w:p>
    <w:p w14:paraId="370E4F7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（4）支持手机端、电脑端发起视频直播，学生可以通过手机观看直播并留言。</w:t>
      </w:r>
    </w:p>
    <w:p w14:paraId="456F3D2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（5）投屏教学：用户只需要打开网页，就可以直接利用手机进行投屏课堂教学，投屏教学包含签到、抢答、问卷、讨论、选人、测验等教学活动投屏，并能直接在投屏上展示结果数据。</w:t>
      </w:r>
    </w:p>
    <w:p w14:paraId="136F9666">
      <w:pPr>
        <w:pStyle w:val="6"/>
        <w:keepNext w:val="0"/>
        <w:keepLines w:val="0"/>
        <w:pageBreakBefore w:val="0"/>
        <w:widowControl w:val="0"/>
        <w:numPr>
          <w:ilvl w:val="0"/>
          <w:numId w:val="0"/>
        </w:numPr>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3.2.14 </w:t>
      </w:r>
      <w:r>
        <w:rPr>
          <w:rFonts w:hint="eastAsia" w:ascii="宋体" w:hAnsi="宋体" w:eastAsia="宋体" w:cs="宋体"/>
          <w:color w:val="auto"/>
          <w:sz w:val="21"/>
          <w:szCs w:val="21"/>
          <w:highlight w:val="none"/>
          <w:lang w:val="en-US" w:eastAsia="zh-CN"/>
        </w:rPr>
        <w:t>教学大数据</w:t>
      </w:r>
      <w:r>
        <w:rPr>
          <w:rFonts w:hint="eastAsia" w:ascii="宋体" w:hAnsi="宋体" w:cs="宋体"/>
          <w:color w:val="auto"/>
          <w:sz w:val="21"/>
          <w:szCs w:val="21"/>
          <w:highlight w:val="none"/>
          <w:lang w:val="en-US" w:eastAsia="zh-CN"/>
        </w:rPr>
        <w:t>：</w:t>
      </w:r>
    </w:p>
    <w:p w14:paraId="62D300E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（1）教学大数据分析平台——PC端可视化分析系统：</w:t>
      </w:r>
    </w:p>
    <w:p w14:paraId="4916A22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1）综合数据：包括整体数据概况、活跃课程、今日动态、行为分析、学生到课情况、资源建设情况、院系运行情况等。</w:t>
      </w:r>
    </w:p>
    <w:p w14:paraId="67E2B50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2）师生活跃：数据概览、活动数变化趋势、活动类型分布情况、各院系师生活动数排名：展示各院系师生活动数排名对比、平台终端使用情况、活动数TOP100教师榜、活动数TOP100学生榜、师生活动日志。</w:t>
      </w:r>
    </w:p>
    <w:p w14:paraId="4538EDE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3）课程数据：数据概览、各院系课程数量排行、课程运行趋势、活跃课程TOP100。</w:t>
      </w:r>
    </w:p>
    <w:p w14:paraId="32096B2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查看课程建设情况。统计所选院系的课程建设总体情况，包括创建试卷数、创建作业数、创建题目数、创建章节总数；并展示排名。支持在线督导。线上考察某一课程的教师教学和学生学习情况，筛选今日在线课程，查看该课程的基础信息、发布的班级任务、该课程具体的学员学习情况、该课程的操作日志，方便掌握该课程的进行情况。可导出从教务系统同步课程的建课课程数据信息，可区分本科生课程和研究生课程。</w:t>
      </w:r>
    </w:p>
    <w:p w14:paraId="4FE9F54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5）支持查看教师教学数据：任务点/章节测验、作业/考试、课堂活动、互动讨论、教师教学访问量、在线时长、上传图片等资源建设数据、发签到等活动数据，以及新增积分。可自定义查看项及积分规则。</w:t>
      </w:r>
    </w:p>
    <w:p w14:paraId="3474B2DB">
      <w:pPr>
        <w:keepNext w:val="0"/>
        <w:keepLines w:val="0"/>
        <w:pageBreakBefore w:val="0"/>
        <w:widowControl w:val="0"/>
        <w:numPr>
          <w:ilvl w:val="0"/>
          <w:numId w:val="0"/>
        </w:numPr>
        <w:tabs>
          <w:tab w:val="left" w:pos="5363"/>
        </w:tabs>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支持查看学情分析。包括任务点分析、章节测验分析、课堂活动分析、作业分析、考试分析、互动讨论分析等完成TOP100的数据。包括过程考核分析：按院系维度，以柱形图形式展示各院系的过程考核平均分及排行情况；按课程维度，以柱形图形式展示各课程的过程考核平均分及排行情况。包括基础数据，按院系、课程、学生、教师四个维度查看学生的任务点已完成人次、章节测验已完成人次、参与课堂活动数、作业应完成人次、作业已完成人次、考试应完成人次、考试已完成人次等学生参与课程学习数据。</w:t>
      </w:r>
    </w:p>
    <w:p w14:paraId="551129D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7）出勤分析：展示全校平均到课率、学生应签到总数、完成签到人次、学生整体出勤情况、今日上课班级出勤率、各院系学生出勤率排行、院系学生签到异常监测等。</w:t>
      </w:r>
    </w:p>
    <w:p w14:paraId="3682FD4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8）资源建设：展示上传资源总量、创建题目数、创建作业数、创建试卷数、资源上传趋势图、各类型资源上传量、各类型题目创建量等。</w:t>
      </w:r>
    </w:p>
    <w:p w14:paraId="103ABD8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9）用户画像：</w:t>
      </w:r>
    </w:p>
    <w:p w14:paraId="21856C8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①全校画像：以教师、学生、课程三个维度，展示全校整体数据，把标准抽象的画像用图表和标签展示，进而反映出全校的整体情况；</w:t>
      </w:r>
    </w:p>
    <w:p w14:paraId="6AC1463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②院系画像：以教师、学生、课程三个维度显示，展示院系维度的教师、学生、课程情况；</w:t>
      </w:r>
    </w:p>
    <w:p w14:paraId="733CC2C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③教师个人画像：包括教师的标签与个人信息，平台教师评比等级，教师雷达图（分为六个维度发布任务、资源建设、在线时长、学生成绩、平台活跃度、课堂活动展示教师的综合情况）。画像支持展示所教课程基础数据、教学分析、教学轨迹；</w:t>
      </w:r>
    </w:p>
    <w:p w14:paraId="1434BF4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④学生画像：包括学生的标签与个人信息，平台学生表现等级、学生雷达图（分为六个维度：自主学习、到课率、学习完成率、学习成绩、平台活跃度、学生成绩展示课程的综合情况）。画像中间部分展示学生成绩趋势图。画像支持展示所学课程基础数据、学习分析、学生轨迹。课程画像包括课程的标签与信息，可跳转到课程门户和线上巡课页面，课程质量排名，课程雷达图（分为六个维度课程活跃度、课堂活动、课程资源、课程讨论、学习完成度、学生成绩展示课程的综合情况）。画像支持展示基础数据、课堂报告、学情分析、学生成绩、课程日志。</w:t>
      </w:r>
    </w:p>
    <w:p w14:paraId="0786E64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教学报告。日常报告：平台每日、每周、每月会自动生成运行报告，支持生成自定义报告（时间跨度在30天内），以课程、教师、学生、资源、活动数等维度，统计运行情况。学期报告：平台每学期会自动生成学期报告，以院系、教师、学生、课程、资源、活动数、签到等维度，统计运行情况。</w:t>
      </w:r>
    </w:p>
    <w:p w14:paraId="68CDCC7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教学预警。课程、教师、学生、班级预警，设置筛选项对课程、教师、学生、班级进行筛选，展示满足筛选条件的课程、教师、学生、班级数及院系分布情况；展示满足筛选条件课程、教师、学生、班级的基本信息，支持导出满足条件的课程、教师、学生、班级数据，支持对达到预警标准的课程、教师、学生、班级发送预警通知。</w:t>
      </w:r>
    </w:p>
    <w:p w14:paraId="1B2BCB7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教学大数据监控平台大数据展示屏。支持今日师生实时动态数据、全校整体教学数据、本校信息化建设中资源数量、教学题库数量、全校学生出勤情况、利用信息化手段师生间的课堂互动数量等数据已大屏形式展示，可根据学校需求增加更多维度大屏展示。</w:t>
      </w:r>
    </w:p>
    <w:p w14:paraId="5B1E150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教学大数据分析平台移动端监控平台。移动端分析系统提供多个监控入口，包括教学日报、签到监控、教学监控、学情分析、资源监控、日常监控等。解决教务管理者使用移动端即可对教学运行状况进行实时监控的需求。</w:t>
      </w:r>
    </w:p>
    <w:p w14:paraId="2DE441EB">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3.2.15 </w:t>
      </w:r>
      <w:r>
        <w:rPr>
          <w:rFonts w:hint="eastAsia" w:ascii="宋体" w:hAnsi="宋体" w:eastAsia="宋体" w:cs="宋体"/>
          <w:color w:val="auto"/>
          <w:sz w:val="21"/>
          <w:szCs w:val="21"/>
          <w:highlight w:val="none"/>
          <w:lang w:val="en-US" w:eastAsia="zh-CN"/>
        </w:rPr>
        <w:t>教学资源库</w:t>
      </w:r>
      <w:r>
        <w:rPr>
          <w:rFonts w:hint="eastAsia" w:ascii="宋体" w:hAnsi="宋体" w:cs="宋体"/>
          <w:color w:val="auto"/>
          <w:sz w:val="21"/>
          <w:szCs w:val="21"/>
          <w:highlight w:val="none"/>
          <w:lang w:val="en-US" w:eastAsia="zh-CN"/>
        </w:rPr>
        <w:t>：</w:t>
      </w:r>
    </w:p>
    <w:p w14:paraId="4E175D6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0"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教学资源库提供教师备课、制作课件、制作网络课程等工作中随时需要查阅、引用的海量资源。</w:t>
      </w:r>
    </w:p>
    <w:p w14:paraId="22C4F8D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备课资源库。与网络教学平台无缝对接，教师在使用网络教学平台进行课程建设、备课，授课过程中随时可以搜索、引用、无缝插入备课资源库中的资源，全面辅助教师教学和学生学习。可以搜索相关电子书插入到课程，进行在线阅读，可以进行文字摘录。搜索相关学术视频。需要名校、名师的视频及讲座，可以在线进行播放。电子书和学术视频要求必须取得著作权人的授权。</w:t>
      </w:r>
    </w:p>
    <w:p w14:paraId="1BAD57A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（2）课程资源。提供跟课程紧密相关的课程资源，包括ppt、音视频、文档、图片等素材。</w:t>
      </w:r>
    </w:p>
    <w:p w14:paraId="45841F36">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3.2.16 </w:t>
      </w:r>
      <w:r>
        <w:rPr>
          <w:rFonts w:hint="eastAsia" w:ascii="宋体" w:hAnsi="宋体" w:eastAsia="宋体" w:cs="宋体"/>
          <w:color w:val="auto"/>
          <w:sz w:val="21"/>
          <w:szCs w:val="21"/>
          <w:highlight w:val="none"/>
          <w:lang w:val="en-US" w:eastAsia="zh-CN"/>
        </w:rPr>
        <w:t>知识图谱</w:t>
      </w:r>
      <w:r>
        <w:rPr>
          <w:rFonts w:hint="eastAsia" w:ascii="宋体" w:hAnsi="宋体" w:cs="宋体"/>
          <w:color w:val="auto"/>
          <w:sz w:val="21"/>
          <w:szCs w:val="21"/>
          <w:highlight w:val="none"/>
          <w:lang w:val="en-US" w:eastAsia="zh-CN"/>
        </w:rPr>
        <w:t>：</w:t>
      </w:r>
    </w:p>
    <w:p w14:paraId="7839831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（1）知识图谱管理：</w:t>
      </w:r>
    </w:p>
    <w:p w14:paraId="5550112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建立以学校的教务课程-知识点为体系的知识点架构进行后台知识图谱框架管理。支持对教务课程的课程类别、课程性质进行增删改查管理。支持按照学校不同专业关联不同的课程，生成学科/专业知识图谱。支持为网络课程和教务课程建立独立的知识图谱，便于统一管理。支持知识点之间进行前置关系、后置关系、关联关系的设置。持关联关系自定义，可进行添加描述并显示在图谱页面。支持给知识点打标签，自定义标签内容，支持同一个支持点标记多个标签。支持引用后台教务课程的知识图谱先进行审核，审核通过后才允许引用，并记录引用次数。</w:t>
      </w:r>
    </w:p>
    <w:p w14:paraId="6E237AC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进行跨课知识点关联，实现不同课程之间知识的聚合联动，关联后可以实现跨课学习并进行专业下多门课程的知识点关联展示应用。支持教师调整知识点在课程空间菜单栏的显示顺序。跨课知识点支持用户通过点击实现一键跳转。支持点击知识点后，其父级知识点节点高亮显示。支持对已删除知识点资源的实时更新。</w:t>
      </w:r>
    </w:p>
    <w:p w14:paraId="77C1E30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3）具备附加标签功能，能够实现知识点的分类和标识，支持知识点设定重点、难点以及考点等标签，同时支持用户自定义标签名称。支持知识点被赋予多种分类属性，包括事实性、概念性、程序性、元认知等。</w:t>
      </w:r>
    </w:p>
    <w:p w14:paraId="78FA0EF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（2）知识图谱构建：</w:t>
      </w:r>
    </w:p>
    <w:p w14:paraId="6981AB6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知识点多层级架构建立，生成子父级知识点关系。支持手动添加、批量导入等方式构建知识图谱。批量导入需支持填写知识点名称、标签信息、认知维度、分类属性、教学目标、知识点说明等信息数据。手动编辑需支持单个或批量修改知识点属性编辑，可批量或单独对当前知识点进行移动。支持智能导入，用户上传课程大纲、教材等，系统智能识别构建生成知识图谱。支持本地导入xmind格式的思维导图文件，自动读取文件数据，生成课程知识图谱，并能够导出xmind格式文件。支持教务课程和网络课程知识图谱互相同步调用。支持课程章节一键转化生成知识图谱，并同时进行资源关联。</w:t>
      </w:r>
    </w:p>
    <w:p w14:paraId="4064E59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创建图谱支持同步其他课程图谱，支持全量同步或者部分选择同步。支持教学平台所教的课导入及支持导入知识点之间的关系。支持AI生成图谱功能，系统可以基于教师已经建设好的网络课程结合AI应用自动生成知识图谱，并支持直接使用生成的图谱，同时支持在生成的图谱上进行自定义化修改；支持教师根据课程属性设定是否显示课程中心点。</w:t>
      </w:r>
    </w:p>
    <w:p w14:paraId="5C651CB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3）知识图谱知识点支持说明添加，可添加富文本编辑框、公式编辑等富媒体文本。支持与教学平台打通，可通过教学平台现有课程章节选择生成章节图谱。</w:t>
      </w:r>
    </w:p>
    <w:p w14:paraId="433D86B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4）支持知识图谱自定义编辑功能，系统提供至少6种图谱形态，用户可根据课程性质选择合适的图谱形态进行编辑。支持课程章节一键转化生成知识图谱，并同时进行资源关联</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支持知识图谱自定义颜色设定，可根据具体要求进行图谱知识点颜色的设定。同时支持图谱知识点自定义文字颜色及大小设置。</w:t>
      </w:r>
    </w:p>
    <w:p w14:paraId="2F61745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具备批量编辑图谱知识点功能，可实现批量对知识图谱知识点进行编辑修改。大纲模式下可实现对知识点进行批量全选设置。具备任意拖动功能，可实现对知识图谱知识点的单个节点进行拖动，也可实现对整个知识图谱集合进行拖动。</w:t>
      </w:r>
    </w:p>
    <w:p w14:paraId="3796D1F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6）支持对课程体系、知识图谱、知识关系等进行自定义显隐控制。知识图谱显示支持2D和3D展示效果，用户可自主的进行模式切换。</w:t>
      </w:r>
    </w:p>
    <w:p w14:paraId="1D15613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7）具备知识图谱门户系统，能够提供对应的知识图谱门户模板，可展示课程介绍、知识图谱、知识关系、目标图谱、问题图谱。</w:t>
      </w:r>
    </w:p>
    <w:p w14:paraId="4E738AE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8）图谱系统支持教师在图谱内自由上传图标，上传的图标能够作为整体图谱的背景，便于知识图谱的构建与美化。知识图谱的知识点需支持显隐设置，可以对具体的知识点设置显示或者隐藏。</w:t>
      </w:r>
    </w:p>
    <w:p w14:paraId="7C35CC0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（3）知识图谱微课：</w:t>
      </w:r>
    </w:p>
    <w:p w14:paraId="07AA5FD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1）支持教师对课程章节内容，包括——视频、音频、文档、图书、章节测验等进行知识点标记，作为知识点教学任务进行设置，方便学生按知识点进行任务学习。</w:t>
      </w:r>
    </w:p>
    <w:p w14:paraId="39EB59E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2）知识图谱编辑支持微课设置，可面对老师和学生开放或者关闭学习内容、图书馆资源、作业、资料、讨论、考试、题库、统计内容。</w:t>
      </w:r>
    </w:p>
    <w:p w14:paraId="0A83314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3）支持按知识点上传资源，并查看知识点关联资源数量，方便教师按知识点管理资源。知识点卡片需具备资料添加功能，可通过添加资料关联建设知识点下相关课程资料及其他相关资源。</w:t>
      </w:r>
    </w:p>
    <w:p w14:paraId="40EDCB7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多种题型的创建管理，包括单选、多选、填空、判断、简答、名词解析、论述、计算、分录、连线、排序、完形填空、阅读理解、口语、听力等常见题型。支持在创建或编辑题目时标记每道题对应的知识点标签，并支持按知识点筛选管理题目。支持按模板批量导入题目时导入题目知识点，支持批量编辑题目关联知识点。</w:t>
      </w:r>
    </w:p>
    <w:p w14:paraId="3F3C29B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支持AI生成学习内容，系统结合AI可根据教师网络课程内容自动生成知识点学习内容，生成的内容可一键加入微课中；支持智能标注视频资源中的知识点：支持智能标记章节视频知识点，系统自动解析视频中出现的知识点，并标记到视频进度上，也支持用户手动标注或修改教学视频片段位置信息；支持错题显示解析以及相关知识点并支持点击跳转知识点学习页面进行自适应学习。</w:t>
      </w:r>
    </w:p>
    <w:p w14:paraId="0073DD5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题目关联知识点操作时系统支持智能推荐知识点，便于教师快速进行关联操作支持通过知识卡片直接添加当前知识点相关题目。支持创建作业，添加题目打知识点标签，也支持从题库抽题按知识点抽题，组建带有知识点的作业发放给学生作答。需支持手动组建考试试卷和智能组卷，组建带有知识点的试卷发放给学生考试。</w:t>
      </w:r>
    </w:p>
    <w:p w14:paraId="55A233B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支持学生查看课程知识图谱，并查看每个知识点的学习进度情况。支持学生按知识点进行课程任务学习，观看课程视频，阅读课程资料等。支持学生提交作业、考试，查看自己作答作业、考试题目的知识点掌握情况，并查看知识点推荐资源，巩固学习。支持学生按知识点从题库或错题本抽题，逐题自测。支持学生自测时可以设置抽题范围，仅抽当前知识点以及前置知识点的题，避免抽到未开始学习的知识点试题。</w:t>
      </w:r>
    </w:p>
    <w:p w14:paraId="78219E1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8）图谱页面支持多维度筛选以及配色方案的切换。便于更直观的查看各个知识点不同维度的学习情况。</w:t>
      </w:r>
    </w:p>
    <w:p w14:paraId="03B9FDB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学生图谱界面具备标准模式和导航模式，学生可选择具体的模式开展图谱学习。学生图谱界面支持学生通过多维度检索知识点，包括标签、层级、认知维度、分类、及具体知识点的内容的检索。学生图谱界面知识点详情页面支持url、笔记、文档等类型资料预览。</w:t>
      </w:r>
    </w:p>
    <w:p w14:paraId="68E2DC3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通过知识图谱的形式，用颜色区分来展示知识点的完成度和掌握度，让数据的呈现更加生动和直观。支持精准教学设计功能，可以自定义建设事件，可设置知识点的掌握率及完成率，支持自定义学习路径或者微课资料，支持设置对应的动作；支持推荐课内资源，能够提供图书、期刊、报纸、视频资源，并支持一键添加关联。对课程建设系统中的视频进行智能分析，自动匹配课程中的知识点，并在视频对应的时间点进行自动打点，同时基于人工智能技术生成知识点词云分析并展示；视频播放时学生可以定位到时间点观看对应知识点的视频讲解。</w:t>
      </w:r>
    </w:p>
    <w:p w14:paraId="4C024F4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（4）知识图谱展示</w:t>
      </w:r>
      <w:r>
        <w:rPr>
          <w:rFonts w:hint="eastAsia" w:ascii="宋体" w:hAnsi="宋体" w:eastAsia="宋体" w:cs="宋体"/>
          <w:color w:val="auto"/>
          <w:kern w:val="2"/>
          <w:sz w:val="21"/>
          <w:szCs w:val="21"/>
          <w:highlight w:val="none"/>
          <w:lang w:val="en-US" w:eastAsia="zh-CN" w:bidi="ar-SA"/>
        </w:rPr>
        <w:t>：</w:t>
      </w:r>
    </w:p>
    <w:p w14:paraId="49EA3B5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1）自定义图谱。具备自定义图谱功能，可根据个性化的图谱展示进行自定义图谱建设，包括图谱名称及图谱样式。</w:t>
      </w:r>
    </w:p>
    <w:p w14:paraId="2E84115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2）知识森林。具备知识森林图谱功能，可以将分散的知识资源聚合到一个动态、灵活的知识框架中，使知识资源的管理更加高效。</w:t>
      </w:r>
    </w:p>
    <w:p w14:paraId="0FC4125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课程思政图谱。支持自动根据现有的图谱信息生成思政图谱的功能。支持将标签为“课程思政”的知识点以花朵的形式呈现，以视觉突出其在课程中的核心地位，同时以花苞的形式展示其他的知识点。提供关键字精确搜索和模糊匹配两种模式，增强搜索的针对性。支持搜索功能覆盖知识点、分类和标签，满足用户不同维度的搜索需求。支持通过点击操作，可深入分类卡片获取详细信息，或直接跳转至微课进行学习，进入知识获取的快速通道。</w:t>
      </w:r>
    </w:p>
    <w:p w14:paraId="16EC388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问题图谱。系统提供对疑难及基本问题的定义能力，允许用户添加问题详情及其与知识点的关联。用户可根据教学需求，自定义栏目标题和描述，以适应多样化的教学情境。支持通过图谱形式展现问题与知识点的关联，使用户能够直观理解知识间的联系。提供两种子级问题关联方式，包括层级连线和板块关联功能，以展示问题间的层级结构。系统支持用户在问题图谱讨论区发起新话题，激发学生参与讨论，通过交流深化理解，促进知识共享。支持用户识别并连接主线问题与子级问题，构建问题之间的层级关系，加深对问题网络的理解。用户可在讨论区发起新话题，分享个人见解和疑问，促进知识的交流与共享。支持用户对讨论区中的话题进行点赞和回复，增强社区的参与感和互动性，建立积极的学习氛围。支持在探索过程中查看相关知识点并进行相关知识点的知识内容学习，有效提高在探索过程中思考解决问题的能力和获取信息的能力。</w:t>
      </w:r>
    </w:p>
    <w:p w14:paraId="13F872F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目标图谱。系统允许根据不同班级特点定制课程目标，以满足特定教学需求。课程目标标签系统支持为课程目标添加标签，包括自定义选项，便于目标的分类和识别。支持对课程目标名称、课程目标标签、描述进行修改，保持课程内容的准确性和时效性。支持课程目标与知识点进行关联，以展示目标与教学内容的直接联系。支持以柱状图展示课程目标关联知识点的个数，提供直观的统计信息。以图谱形式展示每个课程目标所关联的知识点情况，增强信息的可视化效果。提供一键同步功能，允许快速复制特定班级的课程目标和知识点关联，提高教学管理的效率。支持通过柱状图形式直观展示课程目标与知识点的关联数量，提供清晰的统计视角。支持利用图谱形式展现课程目标与知识点之间的关联，增强信息的视觉呈现和认知深度。</w:t>
      </w:r>
    </w:p>
    <w:p w14:paraId="7B88725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大纲图谱。支持以清晰的列表形式呈现分类与知识点之间的层级架构，体现它们之间的逻辑和组织关系。利用标签系统对知识点和分类进行属性区分和标记，增强用户识别和分类的能力。提供以Excel形式输出分类和知识点的层级结构，包括节点间的前后关联、标签、分类属性、教学目标和节点说明，以便于记录和分析。支持多种拓扑图展示大纲，方便学生和老师在多种思维逻辑上进行使用和定位。</w:t>
      </w:r>
    </w:p>
    <w:p w14:paraId="0D45A7BA">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3.2.17 </w:t>
      </w:r>
      <w:r>
        <w:rPr>
          <w:rFonts w:hint="eastAsia" w:ascii="宋体" w:hAnsi="宋体" w:eastAsia="宋体" w:cs="宋体"/>
          <w:color w:val="auto"/>
          <w:sz w:val="21"/>
          <w:szCs w:val="21"/>
          <w:highlight w:val="none"/>
          <w:lang w:val="en-US" w:eastAsia="zh-CN"/>
        </w:rPr>
        <w:t>专业图谱</w:t>
      </w:r>
      <w:r>
        <w:rPr>
          <w:rFonts w:hint="eastAsia" w:ascii="宋体" w:hAnsi="宋体" w:cs="宋体"/>
          <w:color w:val="auto"/>
          <w:sz w:val="21"/>
          <w:szCs w:val="21"/>
          <w:highlight w:val="none"/>
          <w:lang w:val="en-US" w:eastAsia="zh-CN"/>
        </w:rPr>
        <w:t>：</w:t>
      </w:r>
    </w:p>
    <w:p w14:paraId="72CBE76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（1）支持课程之间的知识点关系关联，可通过课程关系关联生成学科/专业图谱。支持学生通过专业图谱进行跨课程学习并记录对应的学习数据。</w:t>
      </w:r>
    </w:p>
    <w:p w14:paraId="61E10CF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（2）支持与教务系统对接，教师可基于教务课程编辑知识图谱进行资源的关联并开展自适应教学活动。支持自建课程进行跨课程关联，生成对应的学科/专业图谱。</w:t>
      </w:r>
    </w:p>
    <w:p w14:paraId="2527B3F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（3）支持教师建设图谱的时候可以关联专业内的其他课程，支持显示同院系其他专业课程知识点。</w:t>
      </w:r>
    </w:p>
    <w:p w14:paraId="3C1F8DA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（4）支持查看专业下多门课程的知识图谱以及知识点之间的关系。</w:t>
      </w:r>
    </w:p>
    <w:p w14:paraId="456EABC8">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3.2.18 </w:t>
      </w:r>
      <w:r>
        <w:rPr>
          <w:rFonts w:hint="eastAsia" w:ascii="宋体" w:hAnsi="宋体" w:eastAsia="宋体" w:cs="宋体"/>
          <w:color w:val="auto"/>
          <w:sz w:val="21"/>
          <w:szCs w:val="21"/>
          <w:highlight w:val="none"/>
          <w:lang w:val="en-US" w:eastAsia="zh-CN"/>
        </w:rPr>
        <w:t>课程群图谱系统</w:t>
      </w:r>
      <w:r>
        <w:rPr>
          <w:rFonts w:hint="eastAsia" w:ascii="宋体" w:hAnsi="宋体" w:cs="宋体"/>
          <w:color w:val="auto"/>
          <w:sz w:val="21"/>
          <w:szCs w:val="21"/>
          <w:highlight w:val="none"/>
          <w:lang w:val="en-US" w:eastAsia="zh-CN"/>
        </w:rPr>
        <w:t>：</w:t>
      </w:r>
    </w:p>
    <w:p w14:paraId="7B04C7D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（1）支持创立课程群图谱展示门户，可自定义课程群门户信息包括课程群名称、课程群类型、课程群介绍、教师团队等信息。</w:t>
      </w:r>
    </w:p>
    <w:p w14:paraId="4D4B026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（2）支持三维模式展示课程、目标和知识点，并根据四个关键标签（重点、难点、考点、思政知识点）分类展示。</w:t>
      </w:r>
    </w:p>
    <w:p w14:paraId="3C33656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（3）支持数据统计功能，可查看课程群门户中的课程数、课程图谱数、知识点总数、教学资源数。</w:t>
      </w:r>
    </w:p>
    <w:p w14:paraId="17300C2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（4）支持课程图谱展示，在课程群门户中显示包含的课程图谱名称，并可通过知识点分布页查看包含重点、难点、考点、思政知识点在内的4个知识点标签维度所对应的课程数。</w:t>
      </w:r>
    </w:p>
    <w:p w14:paraId="0409768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（5）具备资源分布统计功能，可以展示课程群所包含的每门课程的资源总数，包括任务点、作业、考试、课程资料等。具备资源分类展示功能，以饼状图及柱状图展示课程群下每门课程资源的分布情况。</w:t>
      </w:r>
    </w:p>
    <w:p w14:paraId="3E753F5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（6）课程群图谱支持多门课程的课程图谱汇总展示，支持点击进入到相应课程的课程知识点进行学习。</w:t>
      </w:r>
    </w:p>
    <w:p w14:paraId="0332BCC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（7）具备问题图谱展示，支持查看课程群所包含的课程问题图谱，支持多维度问题图展示，包括基础问题、组合问题、疑难负责问题等。</w:t>
      </w:r>
    </w:p>
    <w:p w14:paraId="34D737E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（8）可自定义构建课程体系，支持添加课程到课程体系中，支持关键字搜索课程。</w:t>
      </w:r>
    </w:p>
    <w:p w14:paraId="14AEB35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（9）在门户中展示课程图谱名称，并可通过知识点分布查看不同标签维度的课程数量。</w:t>
      </w:r>
    </w:p>
    <w:p w14:paraId="39E41FC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（10）支持设置导航模块的展示/隐藏，同时支持拖拽的形式改变导航栏中模块的顺序。</w:t>
      </w:r>
    </w:p>
    <w:p w14:paraId="203736D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（11）支持管理员设置图谱查看权限，包括限制在本单位、特定单位或全网范围内的访问。</w:t>
      </w:r>
    </w:p>
    <w:p w14:paraId="43E9C10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（12）可自定义构造课程体系，支持添加课程到课程体系中，支持关键字搜索课程。</w:t>
      </w:r>
    </w:p>
    <w:p w14:paraId="6E7732F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（13）在门户中展示课程图谱名称，并可通过知识点分布查看不同标签维度的课程数量。</w:t>
      </w:r>
    </w:p>
    <w:p w14:paraId="564D370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（14）支持设置导航模块的展示/隐藏，同时支持拖拽的形式改变导航栏中模块的顺序。</w:t>
      </w:r>
    </w:p>
    <w:p w14:paraId="33BD27F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（15）支持管理员设置图谱查看权限，包括限制在本单位、特定单位或全网范围内的访问。</w:t>
      </w:r>
    </w:p>
    <w:p w14:paraId="2B237F33">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3.2.19 </w:t>
      </w:r>
      <w:r>
        <w:rPr>
          <w:rFonts w:hint="eastAsia" w:ascii="宋体" w:hAnsi="宋体" w:eastAsia="宋体" w:cs="宋体"/>
          <w:color w:val="auto"/>
          <w:sz w:val="21"/>
          <w:szCs w:val="21"/>
          <w:highlight w:val="none"/>
          <w:lang w:val="en-US" w:eastAsia="zh-CN"/>
        </w:rPr>
        <w:t>图谱学习系统</w:t>
      </w:r>
      <w:r>
        <w:rPr>
          <w:rFonts w:hint="eastAsia" w:ascii="宋体" w:hAnsi="宋体" w:cs="宋体"/>
          <w:color w:val="auto"/>
          <w:sz w:val="21"/>
          <w:szCs w:val="21"/>
          <w:highlight w:val="none"/>
          <w:lang w:val="en-US" w:eastAsia="zh-CN"/>
        </w:rPr>
        <w:t>：</w:t>
      </w:r>
    </w:p>
    <w:p w14:paraId="24BFC80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（1）图谱学习系统支持多种图谱学习方式，包括学习地图、知识图谱、知识森林、问题图谱、目标图谱、课程思政图谱等多种图谱，同时支持自定义图谱的学习。</w:t>
      </w:r>
    </w:p>
    <w:p w14:paraId="524B847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（2）支持学生查看基于知识点的智能学习路径，系统根据学生知识点掌握情况，智能规划知识点学习路径，学生可以按学习路径进行知识点的学习和巩固。</w:t>
      </w:r>
    </w:p>
    <w:p w14:paraId="156C348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（3）图谱学习支持知识点卡片功能，可以展示学生当前知识点完成率和掌握率以及当前知识点下所包含的资源数。</w:t>
      </w:r>
    </w:p>
    <w:p w14:paraId="14EFF9B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（4）支持按照知识点，系统智能推荐拓展资源给学生学习。</w:t>
      </w:r>
    </w:p>
    <w:p w14:paraId="0AB3DCB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（5）图谱学习系统可以根据学生的学习行为数据及掌握情况智能生成个性化学习路径。</w:t>
      </w:r>
    </w:p>
    <w:p w14:paraId="1774853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（6）系统为学生提供了多种不同类型的资源以供学习和探索，包括云盘资源、视频、图片、文档、测验等，能够确保学习材料的丰富性和多样性。</w:t>
      </w:r>
    </w:p>
    <w:p w14:paraId="6BC1096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（7）通过图谱微课学生可以在讨论区发起新话题、互动点赞和回复，增强学习趣味性和社区参与度。</w:t>
      </w:r>
    </w:p>
    <w:p w14:paraId="382CB68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（8）图谱知识点学习支持错题集功能，可将学生学习过程中产生的错题归类到知识点下的错题集中。</w:t>
      </w:r>
    </w:p>
    <w:p w14:paraId="45BCE251">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3.2.20 </w:t>
      </w:r>
      <w:r>
        <w:rPr>
          <w:rFonts w:hint="eastAsia" w:ascii="宋体" w:hAnsi="宋体" w:eastAsia="宋体" w:cs="宋体"/>
          <w:color w:val="auto"/>
          <w:sz w:val="21"/>
          <w:szCs w:val="21"/>
          <w:highlight w:val="none"/>
          <w:lang w:val="en-US" w:eastAsia="zh-CN"/>
        </w:rPr>
        <w:t>知识图谱统计与分析系统</w:t>
      </w:r>
      <w:r>
        <w:rPr>
          <w:rFonts w:hint="eastAsia" w:ascii="宋体" w:hAnsi="宋体" w:cs="宋体"/>
          <w:color w:val="auto"/>
          <w:sz w:val="21"/>
          <w:szCs w:val="21"/>
          <w:highlight w:val="none"/>
          <w:lang w:val="en-US" w:eastAsia="zh-CN"/>
        </w:rPr>
        <w:t>：</w:t>
      </w:r>
    </w:p>
    <w:p w14:paraId="7F01F97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教师查看知识图谱的知识点建设情况，包括知识点建设率、图谱知识点总数、图谱关联资源知识点数、已设置标签的知识点数、图谱未关联资源知识点数等；支持查看不同知识点属性概况数据；支持查看图谱资源总数，关联视频、音频、文档、题目及其他类型资源数等；支持查看知识点关联资源数量排行榜。</w:t>
      </w:r>
    </w:p>
    <w:p w14:paraId="07BF2BC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（2）支持教师查看不同班级的学情数据，包括每个知识点的完成率与掌握率、知识点热度、完成率与掌握率的学情分段人数、学生完成率与掌握率排行情况等数据。</w:t>
      </w:r>
    </w:p>
    <w:p w14:paraId="43666D7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（3）支持教师选择多个不同班级进行学情数据对比，对比内容包括班级掌握率、班级完成率、完成率区间对比与掌握率区间对比等数据。通过班级对比分析，便于教师更好的了解不同班级间的学习差异。</w:t>
      </w:r>
    </w:p>
    <w:p w14:paraId="1169EC3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（4）支持教师依据知识点的属性或分类层级，灵活选取多样的评价维度，进而生成学生或班级画像。通过统计各维度知识点的完成率与掌握率，精准了解和分析班级或学生的学习状况。</w:t>
      </w:r>
    </w:p>
    <w:p w14:paraId="1B5E671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（5）支持教师查看知识点名称、关联学习资源数、任务点数量、考试、作业、章节测验、平均完成率、平均掌握率等数据，并可以通过详情查看学生对知识点的完成与掌握情况。</w:t>
      </w:r>
    </w:p>
    <w:p w14:paraId="5E9CA59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（6）支持教师查看学生平均完成率、平均掌握率，并通过详情查看每个学生对知识点的完成与掌握情况。</w:t>
      </w:r>
    </w:p>
    <w:p w14:paraId="4494841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（7）支持学生查看本人的知识点统计分析，包括每个分类、知识点的完成情况、掌握情况、课程资料阅读情况等。</w:t>
      </w:r>
    </w:p>
    <w:p w14:paraId="540D288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（8）支持学生通过知识点统计知识点个数关联的资源个数完成率情况及掌握率情况。</w:t>
      </w:r>
    </w:p>
    <w:p w14:paraId="5D8DBD29">
      <w:pPr>
        <w:pStyle w:val="6"/>
        <w:keepNext w:val="0"/>
        <w:keepLines w:val="0"/>
        <w:pageBreakBefore w:val="0"/>
        <w:widowControl w:val="0"/>
        <w:kinsoku/>
        <w:wordWrap/>
        <w:overflowPunct/>
        <w:topLinePunct w:val="0"/>
        <w:autoSpaceDE/>
        <w:autoSpaceDN/>
        <w:bidi w:val="0"/>
        <w:adjustRightInd/>
        <w:snapToGrid/>
        <w:spacing w:before="0" w:after="0" w:line="288" w:lineRule="auto"/>
        <w:ind w:left="0" w:leftChars="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3.2.21 </w:t>
      </w:r>
      <w:r>
        <w:rPr>
          <w:rFonts w:hint="eastAsia" w:ascii="宋体" w:hAnsi="宋体" w:eastAsia="宋体" w:cs="宋体"/>
          <w:color w:val="auto"/>
          <w:sz w:val="21"/>
          <w:szCs w:val="21"/>
          <w:highlight w:val="none"/>
          <w:lang w:val="en-US" w:eastAsia="zh-CN"/>
        </w:rPr>
        <w:t>AI工作台</w:t>
      </w:r>
      <w:r>
        <w:rPr>
          <w:rFonts w:hint="eastAsia" w:ascii="宋体" w:hAnsi="宋体" w:cs="宋体"/>
          <w:color w:val="auto"/>
          <w:sz w:val="21"/>
          <w:szCs w:val="21"/>
          <w:highlight w:val="none"/>
          <w:lang w:val="en-US" w:eastAsia="zh-CN"/>
        </w:rPr>
        <w:t>：</w:t>
      </w:r>
    </w:p>
    <w:p w14:paraId="21AF292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（1）问答管理：</w:t>
      </w:r>
    </w:p>
    <w:p w14:paraId="28E5FFE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1）支持自定义添加、编辑、删除问答分类，分类数量无限制。支持自定义添加、编辑、删除、批量导入、批量导出、批量删除业务问答规则，业务问答规则数量无限制。</w:t>
      </w:r>
    </w:p>
    <w:p w14:paraId="08B8CC6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2）支持手工启用、停用业务问答规则，可根据关键词搜索业务内容。业务问答规则中，答案支持文本、图片、视频、自定义级联菜单、图文混排、链接等多种内容。</w:t>
      </w:r>
    </w:p>
    <w:p w14:paraId="43F0239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业务问答支持关联微应用，如本单位的已有应用与自建应用。自定义添加、编辑业务问答中的问题标签，并根据标签进行问答提示。支持用户手动上传文档至问答库，上传后系统可对上传的文档进行解析，并可智能回答文档相关问题。</w:t>
      </w:r>
    </w:p>
    <w:p w14:paraId="0E63C5A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4）支持同步本校网络教学平台已建设的网络课程资料进行智能解析，解析后可围绕课程内容进行人机问答。</w:t>
      </w:r>
    </w:p>
    <w:p w14:paraId="2FBC4B7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支持根据用户输入问题进行匹配提示。支持问答无匹配时，提供语义相似度最高的热门问题。支持未知问题回复语自定义设置。支持欢迎语的自定义设置。支持阈值自定义。支持自定义配置访客端的常见问题。支持自由切换deepseek等大模型。</w:t>
      </w:r>
    </w:p>
    <w:p w14:paraId="31E1355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（2）智能问答：</w:t>
      </w:r>
    </w:p>
    <w:p w14:paraId="4F1C6B6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支持多轮对话，可基于上一个问题的回答继续进行后续问答；提问时支持通过语音输入问题，支持上传图片通过读取图片内的问题进行提问，支持用户上传文档，让大模型围绕此份文档智能回答相关问题，支持用户自主选择是否需要大模型回复。</w:t>
      </w:r>
    </w:p>
    <w:p w14:paraId="3ADE472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助教输出的答案支持显示来源，可截取显示与答案有关的原文内容，也可通过来源跳转回原文展开学习；助教可针对原文文档进行智能解析，可提炼该文档的概述、导图等内容，并可提炼文档相关问答，结合文档内容针对性实现智能问答。</w:t>
      </w:r>
    </w:p>
    <w:p w14:paraId="28C3049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3）支持用户针对答案进行选择是否满意，选择结果会记录至后台，管理员可将其二次修改后加入问答库。</w:t>
      </w:r>
    </w:p>
    <w:p w14:paraId="02D39D3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4）问答时支持智能推荐问题相关的微应用；</w:t>
      </w:r>
    </w:p>
    <w:p w14:paraId="5F54717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5）支持查询图书、期刊等文献，即根据用户输入的问题推荐相关文献，且支持通过在线查看原文、文献传递等途径获取。</w:t>
      </w:r>
    </w:p>
    <w:p w14:paraId="36F7F33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6）支持根据用户网络课程学习进度和掌握情况个性化推荐学习资源。支持移动端、PC端多种使用渠道；学生在学习章节视频、文档时，支持点击“不懂”按钮，助教可随时答疑。</w:t>
      </w:r>
    </w:p>
    <w:p w14:paraId="7B129E4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（3）数据统计：</w:t>
      </w:r>
    </w:p>
    <w:p w14:paraId="75C4C5D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1）机器可自动对没有答案的问题进行关键词识别并统计聚类，按照关键词问答频率由高到低排序，同时可以批量导出未知问题。</w:t>
      </w:r>
    </w:p>
    <w:p w14:paraId="342B311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2）支持统计历史会话，可按照时间范围、使用渠道等维度进行筛选，并可查看、导出会话具体内容。</w:t>
      </w:r>
    </w:p>
    <w:p w14:paraId="52C1DA3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3）支持统计访客信息，可分时间段了解访客访问趋势、地区等信息；支持分时间段查看问答匹配率、满意率的占比；支持查看热门问答；支持统计回复类型占比；支持统计问答库不同分类的问答比率。</w:t>
      </w:r>
    </w:p>
    <w:p w14:paraId="4C3BF02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（4）AI功能：</w:t>
      </w:r>
    </w:p>
    <w:p w14:paraId="2AD6E57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AI教案：支持选择课程章节或输入文本等方式由AI自动生成教案，并支持教师借助写作助手进行再次编辑。支持教师补充教学角色以及适合的教学风格，形成更加具有个性化的教案。支持选择模板生成教案，系统提供20种以上模板，也可自定义教案内容模块生成教案。生成的教案支持引用至课程内，也支持下载导出。</w:t>
      </w:r>
    </w:p>
    <w:p w14:paraId="391A9F7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AI生成PPT：支持输入PPT的标题或文本内容用AI生成大纲，对生成的大纲可以根据需求进行编辑和修改，支持根据授课进度选择对应章节，AI可解析章节中的关键知识点，生成符合教学进度的PPT课件。PPT大纲支持设定受众、场景、语气等，对输入文本进行扩写、润色等方式生成PPT大纲，生成大纲后选择PPT模板生成PPT，生成的PPT支持在线编辑、上传课程、下载导出。</w:t>
      </w:r>
    </w:p>
    <w:p w14:paraId="76E183D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3）智能编写：支持自定义文章类型、目录结构、写作风格、文章主题、面向对象、文章字数等由AI生成文章，生成文章支持在线编辑、复制、加入课程章节。</w:t>
      </w:r>
    </w:p>
    <w:p w14:paraId="672DE72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4）AI校正：支持对文字自动校对，包括错字、漏字、缺字、多字、语法、错误、语义错误等。</w:t>
      </w:r>
    </w:p>
    <w:p w14:paraId="3A1DE449">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5）AI写作辅助工具：支持选择部分段落进行润色改写、扩写、简写、续写、中英翻译，可直接替换或插入原文。</w:t>
      </w:r>
    </w:p>
    <w:p w14:paraId="162EACE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6）章节文档AI解析：支持AI解析章节、资料中的文档，生成文档摘要、脑图及词云。</w:t>
      </w:r>
    </w:p>
    <w:p w14:paraId="33A1D5C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7）章节视频AI解析：AI进行解析章节中的视频，生成视频摘要、视频分段总结、提取知识点、生成思维导图。</w:t>
      </w:r>
    </w:p>
    <w:p w14:paraId="25B44E9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AI智能出题：支持通过知识点、输入文本、上传附件文档和视频、选定章节等多种方式，结合出题要求说明，由AI自动生成相应试题。支持选择多种题型如：选择题、填空题、判断题、简答题等。支持设置出题要求，比如：适用学段、难易度、题目方向等。教师可以在线编辑调整AI生成的试题，也可引用至课程题库内。支持AI进行口语测评，教师输入需要学生跟读的文本，学生通过系统录制跟读的音频，系统对录音进行语音分析评估其完整度、准确度和流利度，并给出针对性的评分和反馈意见。</w:t>
      </w:r>
    </w:p>
    <w:p w14:paraId="658F4C1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9）</w:t>
      </w:r>
      <w:r>
        <w:rPr>
          <w:rFonts w:hint="eastAsia" w:ascii="宋体" w:hAnsi="宋体" w:eastAsia="宋体" w:cs="宋体"/>
          <w:color w:val="auto"/>
          <w:kern w:val="2"/>
          <w:sz w:val="21"/>
          <w:szCs w:val="21"/>
          <w:highlight w:val="none"/>
          <w:lang w:val="en-US" w:eastAsia="zh-CN" w:bidi="ar-SA"/>
        </w:rPr>
        <w:t>AI口语测评题：支持选择包括汉语、英语及日语、韩语、俄语等多种小语种，设置评分严宽度。支持AI实践随机分配对话情景，模拟互动环境，让学生与AI进行对话，获得即时评价反馈</w:t>
      </w:r>
      <w:r>
        <w:rPr>
          <w:rFonts w:hint="eastAsia" w:ascii="宋体" w:hAnsi="宋体" w:cs="宋体"/>
          <w:color w:val="auto"/>
          <w:kern w:val="2"/>
          <w:sz w:val="21"/>
          <w:szCs w:val="21"/>
          <w:highlight w:val="none"/>
          <w:lang w:val="en-US" w:eastAsia="zh-CN" w:bidi="ar-SA"/>
        </w:rPr>
        <w:t>。</w:t>
      </w:r>
    </w:p>
    <w:p w14:paraId="3CBD9D8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10</w:t>
      </w:r>
      <w:r>
        <w:rPr>
          <w:rFonts w:hint="eastAsia" w:ascii="宋体" w:hAnsi="宋体" w:eastAsia="宋体" w:cs="宋体"/>
          <w:color w:val="auto"/>
          <w:kern w:val="2"/>
          <w:sz w:val="21"/>
          <w:szCs w:val="21"/>
          <w:highlight w:val="none"/>
          <w:lang w:val="en-US" w:eastAsia="zh-CN" w:bidi="ar-SA"/>
        </w:rPr>
        <w:t>）AI程序题：支持自动对学生提交的代码进行评分和反馈。AI会根据预先设定的评分标准和规则，对学生提交的代码进行自动评分，包括代码质量、逻辑正确性、语法规范等，AI可以分析代码的复杂度，指出可能存在的改进空间，帮助学生提高代码的效率和可读性；支持学生提交的代码在线运行。</w:t>
      </w:r>
    </w:p>
    <w:p w14:paraId="2C3F252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）公式识别：题库智能导入试题时支持识别word文档中的LaTeX公式源码，并可对识别后的公式进行再次编辑。公式编辑器增加图片识别功能，支持上传公式图片识别为LaTeX源码。</w:t>
      </w:r>
    </w:p>
    <w:p w14:paraId="45484CA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AI作文批阅：支持根据不同的年级标准、文体进行中英文作文智能批阅。系统可从结构、内容、语言等6个大维度，12～16个细分维度进行打分，并给出推荐总分。支持对精彩句子进行点评，并给出提升建议。支持找出学生作文中的错别字，提供修改建议，帮助学生提高写作水平。</w:t>
      </w:r>
    </w:p>
    <w:p w14:paraId="3F62154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）作业智能查重：支持全文比对海量资源库数据，同时可进行班级内、课程内和校内自建库的全方位比对，并生成详实的检测报告。支持对文本、图片、PDF和Word文档进行查重。</w:t>
      </w:r>
    </w:p>
    <w:p w14:paraId="3091216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4</w:t>
      </w:r>
      <w:r>
        <w:rPr>
          <w:rFonts w:hint="eastAsia" w:ascii="宋体" w:hAnsi="宋体" w:eastAsia="宋体" w:cs="宋体"/>
          <w:color w:val="auto"/>
          <w:kern w:val="2"/>
          <w:sz w:val="21"/>
          <w:szCs w:val="21"/>
          <w:highlight w:val="none"/>
          <w:lang w:val="en-US" w:eastAsia="zh-CN" w:bidi="ar-SA"/>
        </w:rPr>
        <w:t>）OCR识别：支持在作答时直接上传作业图片。系统能够准确识别各种字体、大小和语言的文字，并提取图片中的文字内容，将其转化为可编辑的文本格式。</w:t>
      </w:r>
    </w:p>
    <w:p w14:paraId="63D9887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主观题智能批阅：支持自动对学生的输入文本或上传图片进行智能评分和反馈。可通过语义相似度计算结果给出学生相应的得分。也可以根据教师设置的得分点来匹配得分，确保评分符合标准化要求，同时满足教学目标和评价体系。</w:t>
      </w:r>
    </w:p>
    <w:p w14:paraId="74C0177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）学生举一反三自测：支持学生自测及错题练习时，AI智能推送相关同类题，帮助学生加深对知识的理解。</w:t>
      </w:r>
    </w:p>
    <w:p w14:paraId="4879185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7</w:t>
      </w:r>
      <w:r>
        <w:rPr>
          <w:rFonts w:hint="eastAsia" w:ascii="宋体" w:hAnsi="宋体" w:eastAsia="宋体" w:cs="宋体"/>
          <w:color w:val="auto"/>
          <w:kern w:val="2"/>
          <w:sz w:val="21"/>
          <w:szCs w:val="21"/>
          <w:highlight w:val="none"/>
          <w:lang w:val="en-US" w:eastAsia="zh-CN" w:bidi="ar-SA"/>
        </w:rPr>
        <w:t>）AI评估试卷质量：支持从题型题量、难易度、知识点覆盖以及题目质量等多个关键维度，对试卷质量进行深入、细致的评估，并提供相应建议。老师可根据AI 推荐知识点一键关联，健全知识图谱建设；老师可进行AI“一键换题”操作，快速获取更优质、更合适的题目，提高试卷编撰效率和质量。</w:t>
      </w:r>
    </w:p>
    <w:p w14:paraId="0CC3ACC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8</w:t>
      </w:r>
      <w:r>
        <w:rPr>
          <w:rFonts w:hint="eastAsia" w:ascii="宋体" w:hAnsi="宋体" w:eastAsia="宋体" w:cs="宋体"/>
          <w:color w:val="auto"/>
          <w:kern w:val="2"/>
          <w:sz w:val="21"/>
          <w:szCs w:val="21"/>
          <w:highlight w:val="none"/>
          <w:lang w:val="en-US" w:eastAsia="zh-CN" w:bidi="ar-SA"/>
        </w:rPr>
        <w:t>）AIGC检测：支持针对作业、文档等内容进行人工智能生成内容（AIGC）的综合检测及评估，并生成详细的检测报告。</w:t>
      </w:r>
    </w:p>
    <w:p w14:paraId="3A8C4A0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9</w:t>
      </w:r>
      <w:r>
        <w:rPr>
          <w:rFonts w:hint="eastAsia" w:ascii="宋体" w:hAnsi="宋体" w:eastAsia="宋体" w:cs="宋体"/>
          <w:color w:val="auto"/>
          <w:kern w:val="2"/>
          <w:sz w:val="21"/>
          <w:szCs w:val="21"/>
          <w:highlight w:val="none"/>
          <w:lang w:val="en-US" w:eastAsia="zh-CN" w:bidi="ar-SA"/>
        </w:rPr>
        <w:t>）AI实践：支持基于AI技术的多维实践任务设计，既可构建高拟真临床诊疗场景、心理干预案例等角色模拟训练，亦可针对学生提交的实验作品进行评估。通过多模态数据采集与分析，实现对学生实践成果的自动化评估与智能反馈。支持随机分配对话情景，模拟互动环境，让学生与AI进行对话，获得即时反馈。支持作品以图片的格式上传到系统，系统根据预设的评估标准进行评估。支持根据任务标题和要求自动生成任务情景。支持根据教学需求自定义情景。</w:t>
      </w:r>
    </w:p>
    <w:p w14:paraId="3F35554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20</w:t>
      </w:r>
      <w:r>
        <w:rPr>
          <w:rFonts w:hint="eastAsia" w:ascii="宋体" w:hAnsi="宋体" w:eastAsia="宋体" w:cs="宋体"/>
          <w:color w:val="auto"/>
          <w:kern w:val="2"/>
          <w:sz w:val="21"/>
          <w:szCs w:val="21"/>
          <w:highlight w:val="none"/>
          <w:lang w:val="en-US" w:eastAsia="zh-CN" w:bidi="ar-SA"/>
        </w:rPr>
        <w:t>）AI绘画：支持根据教师输入的需求及所选图片风格自动生图片。</w:t>
      </w:r>
    </w:p>
    <w:p w14:paraId="1D1A168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）文献阅读：支持通过大模型快速阅读和理解文字内容，自动生成词云、摘要、脑图、试题。支持针对章节、资料中的文档进行AI解析，生成文档摘要、脑图及词云。</w:t>
      </w:r>
    </w:p>
    <w:p w14:paraId="7306078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视频解读：借助AI分析解读视频，实现视频内容词云、脑图、试题、字幕等的生成，视频中涉及的知识点将被自动识别并形成知识点片段和知识点词云。同时也支持针对章节中的视频，生成视频摘要、视频分段总结、提取知识点、生成思维导图。</w:t>
      </w:r>
    </w:p>
    <w:p w14:paraId="2A1E555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）实时翻译：通过AI实现学术文献中英文对照阅读。</w:t>
      </w:r>
    </w:p>
    <w:p w14:paraId="117B933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4</w:t>
      </w:r>
      <w:r>
        <w:rPr>
          <w:rFonts w:hint="eastAsia" w:ascii="宋体" w:hAnsi="宋体" w:eastAsia="宋体" w:cs="宋体"/>
          <w:color w:val="auto"/>
          <w:kern w:val="2"/>
          <w:sz w:val="21"/>
          <w:szCs w:val="21"/>
          <w:highlight w:val="none"/>
          <w:lang w:val="en-US" w:eastAsia="zh-CN" w:bidi="ar-SA"/>
        </w:rPr>
        <w:t>）资料助手：支持针对资源检索的常见问题，可通过意图识别及语义分析，帮助师生迅速定位课程、音视频、试题、论文、期刊、图书、互联网资源等资料。</w:t>
      </w:r>
    </w:p>
    <w:p w14:paraId="157DD08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25</w:t>
      </w:r>
      <w:r>
        <w:rPr>
          <w:rFonts w:hint="eastAsia" w:ascii="宋体" w:hAnsi="宋体" w:eastAsia="宋体" w:cs="宋体"/>
          <w:color w:val="auto"/>
          <w:kern w:val="2"/>
          <w:sz w:val="21"/>
          <w:szCs w:val="21"/>
          <w:highlight w:val="none"/>
          <w:lang w:val="en-US" w:eastAsia="zh-CN" w:bidi="ar-SA"/>
        </w:rPr>
        <w:t>）AI学情分析：支持根据学生的学习数据自定义分析维度进行学情分析并提供建议。支持对多个班级的数据进行深度分析，洞察每个班级的独特学情，为教育决策提供科学依据。支持导出多种统计图表（包括饼图、散点图、面积图、箱线图等）帮助教师进行分析。</w:t>
      </w:r>
    </w:p>
    <w:p w14:paraId="5B5E6A8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6</w:t>
      </w:r>
      <w:r>
        <w:rPr>
          <w:rFonts w:hint="eastAsia" w:ascii="宋体" w:hAnsi="宋体" w:eastAsia="宋体" w:cs="宋体"/>
          <w:color w:val="auto"/>
          <w:kern w:val="2"/>
          <w:sz w:val="21"/>
          <w:szCs w:val="21"/>
          <w:highlight w:val="none"/>
          <w:lang w:val="en-US" w:eastAsia="zh-CN" w:bidi="ar-SA"/>
        </w:rPr>
        <w:t>）任务流智能体：支持通过任务流低代码搭建专属智能体，教师可以根据自己的教学需求，自主构建专属智能体。通过直观的拖拽操作，包括代码、条件选择器、知识库等功能节点，动态选项、问答等交互节点，意图识别、大模型生成等大模型节点，轻松配置任务流，实现教学流程的个性化定制，让教学策略更加贴合个人教学风格和学生需求。</w:t>
      </w:r>
    </w:p>
    <w:p w14:paraId="1E26300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7</w:t>
      </w:r>
      <w:r>
        <w:rPr>
          <w:rFonts w:hint="eastAsia" w:ascii="宋体" w:hAnsi="宋体" w:eastAsia="宋体" w:cs="宋体"/>
          <w:color w:val="auto"/>
          <w:kern w:val="2"/>
          <w:sz w:val="21"/>
          <w:szCs w:val="21"/>
          <w:highlight w:val="none"/>
          <w:lang w:val="en-US" w:eastAsia="zh-CN" w:bidi="ar-SA"/>
        </w:rPr>
        <w:t>）快捷指令：支持内置教学指令，快速发起指令活动。</w:t>
      </w:r>
    </w:p>
    <w:p w14:paraId="0B08D05A">
      <w:pPr>
        <w:pStyle w:val="6"/>
        <w:keepNext w:val="0"/>
        <w:keepLines w:val="0"/>
        <w:pageBreakBefore w:val="0"/>
        <w:widowControl w:val="0"/>
        <w:kinsoku/>
        <w:wordWrap/>
        <w:overflowPunct/>
        <w:topLinePunct w:val="0"/>
        <w:autoSpaceDE/>
        <w:autoSpaceDN/>
        <w:bidi w:val="0"/>
        <w:adjustRightInd/>
        <w:snapToGrid/>
        <w:spacing w:before="0" w:after="0" w:line="288" w:lineRule="auto"/>
        <w:ind w:left="0"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3.2.22 </w:t>
      </w:r>
      <w:r>
        <w:rPr>
          <w:rFonts w:hint="eastAsia" w:ascii="宋体" w:hAnsi="宋体" w:eastAsia="宋体" w:cs="宋体"/>
          <w:color w:val="auto"/>
          <w:sz w:val="21"/>
          <w:szCs w:val="21"/>
          <w:highlight w:val="none"/>
          <w:lang w:val="en-US" w:eastAsia="zh-CN"/>
        </w:rPr>
        <w:t>任务引擎</w:t>
      </w:r>
      <w:r>
        <w:rPr>
          <w:rFonts w:hint="eastAsia" w:ascii="宋体" w:hAnsi="宋体" w:cs="宋体"/>
          <w:color w:val="auto"/>
          <w:sz w:val="21"/>
          <w:szCs w:val="21"/>
          <w:highlight w:val="none"/>
          <w:lang w:val="en-US" w:eastAsia="zh-CN"/>
        </w:rPr>
        <w:t>：</w:t>
      </w:r>
    </w:p>
    <w:p w14:paraId="371E067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（1）课程任务引擎管理，支持展示当前创建的指定类型（任务型、课程型、业务型）任务。</w:t>
      </w:r>
    </w:p>
    <w:p w14:paraId="70A2545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（2）支持新建任务，新建时可自定义任务名称、任务封面、任务介绍、任务标签。新建后默认跳转到当前任务的管理页面，进行任务设计操作。</w:t>
      </w:r>
    </w:p>
    <w:p w14:paraId="4B734B5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（3）支持根据任务名称查询对应的任务，支持删除任务且删除后列表不可见。支持在已删除任务查看已删除的任务数据，支持恢复已删除的任务资源。</w:t>
      </w:r>
    </w:p>
    <w:p w14:paraId="3F3AE73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（4）支持AI生成任务，简化教师创建任务的操作流程。支持按章节、教案、文本生成任务。</w:t>
      </w:r>
    </w:p>
    <w:p w14:paraId="4483D5FB">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（5）任务生成后点击保存任务，可在任务列表上新增一条任务数据。支持点击任务上的管理按钮，跳转至当前任务的管理页面，支持修改任务信息和查看任务统计。</w:t>
      </w:r>
    </w:p>
    <w:p w14:paraId="0E5A0BE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（6）任务信息页面支持编辑基础信息和内容，支持保存、预览、设置、发布任务，支持查看任务门户。</w:t>
      </w:r>
    </w:p>
    <w:p w14:paraId="7AA5D01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（7）支持任务分组、任务点添加和管理、任务点完成条件、任务达标标准的设置。支持切换不同展示效果（列表模式、卡片模式）。</w:t>
      </w:r>
    </w:p>
    <w:p w14:paraId="71E14D7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（8）支持在任务下进行分组维护，支持编辑分组信息（分组名称和分组描述）。支持删除创建好的分组，且该分组下的任务点同步删除。</w:t>
      </w:r>
    </w:p>
    <w:p w14:paraId="1EE757B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支持在任务下添加具体的资源类型，包含视频、文档、笔记、课程内容（课程、章节、知识点）、作业、测验、自测、直播、课堂、问卷、审批、自定义。支持在对应任务类型列表进行任务资源的维护，包括新建、查询、预览、管理、编辑操作。支持在自定义类型的任务点进行签到和成绩录入。</w:t>
      </w:r>
    </w:p>
    <w:p w14:paraId="6E2BA17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（10）支持设置每个任务点的完成条件，不同类型任务资源的完成条件不完全相等。支持在分组下设置每个分组的组间完成条件。支持在任务下设置整个任务的达标标准。</w:t>
      </w:r>
    </w:p>
    <w:p w14:paraId="239ABE0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（11）点击任务信息页面的查看按钮，支持跳转该任务的门户页，进行门户查看。点击任务信息页面的设置按钮，支持对任务进行共建、克隆、报名设置、证书设置、其他设置等操作。</w:t>
      </w:r>
    </w:p>
    <w:p w14:paraId="186B0C6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支持复制链接邀请其他教师参与当前任务的共建操作，支持设置邀请链接的有效期和是否发送通知；支持勾选克隆按钮从而将当前任务克隆给自己或他人（只克隆基本信息和任务设计内容）。支持切换开关实现是否开启任务报名、是否填写信息、任务报名是否审批等操作（发布后报名表单不可更改）。支持切换开关实现任务达标是否发放证书操作，支持编辑证书模版，查看发放证书。</w:t>
      </w:r>
    </w:p>
    <w:p w14:paraId="536AB8C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13）支持填写任务目标，并于专业建设平台的目标管理相关联。支持点击预览按钮，查看学生端的预览效果。支持点击保存按钮，保存任务的基本信息（任务设计模块实时保存）。支持任务发布，教师可以选择当前课程下的班级进行发布，已发布的班级下的学生个人空间可以看见该条任务，未发布的班级学生个人空间任务不可见。</w:t>
      </w:r>
    </w:p>
    <w:p w14:paraId="5A6A7C41">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（14）支持任务统计页面查看任务的学生和任务点概况。点击学生概况右侧的详情，支持查看当前任务的所有学生的学习情况。</w:t>
      </w:r>
    </w:p>
    <w:p w14:paraId="056EC188">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15）支持根据达标状态、学生姓名/账号的方式筛选符合条件的学生列表。点击学生列表项右侧的详情，支持查看选中学生所有任务点的完成情况。支持根据任务点类型、任务分组、任务点完成条件、任务点名称筛选符合条件的任务点列表。支持导出单个学生的任务点内容，支持全量导出、筛选导出、勾选导出三种方式。</w:t>
      </w:r>
    </w:p>
    <w:p w14:paraId="21C440B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（16）支持设置督学条件对满足条件的学生发起督学，支持点击单个学生督学、勾选多个学生批量督学。支持导出学生概况可全量导出、筛选导出、勾选导出。</w:t>
      </w:r>
    </w:p>
    <w:p w14:paraId="0290D7AF">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17）支持学生点击“个人空间-我的任务”查看我的任务列表，支持学生点击“课程-任务”查看任务点并进入学习，支持学生查看任务的基本信息、达标情况和解锁情况。支持点击达标按钮，查看学生当前的达标情况。任务如设置有发放证书，当任务达标后点击证书按钮，可进行证书查看、下载操作。支持切换不同类型的学习路径（列表模式、框架模式、图谱模式），方便学生个性化学习。支持学生点击任务点进行学习，学习后返回任务详情，支持学生查看自己任务点的最新完成情况和待完成分组、任务点的解锁情况。</w:t>
      </w:r>
    </w:p>
    <w:p w14:paraId="5F834517">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3.3 其它要求：</w:t>
      </w:r>
    </w:p>
    <w:p w14:paraId="451C4F5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3.3.1 </w:t>
      </w:r>
      <w:r>
        <w:rPr>
          <w:rFonts w:hint="eastAsia" w:ascii="宋体" w:hAnsi="宋体" w:cs="宋体"/>
          <w:color w:val="auto"/>
          <w:kern w:val="2"/>
          <w:sz w:val="21"/>
          <w:szCs w:val="21"/>
          <w:highlight w:val="none"/>
          <w:lang w:val="en-US" w:eastAsia="zh-CN" w:bidi="ar-SA"/>
        </w:rPr>
        <w:t>服务期</w:t>
      </w:r>
      <w:r>
        <w:rPr>
          <w:rFonts w:hint="eastAsia" w:ascii="宋体" w:hAnsi="宋体" w:eastAsia="宋体" w:cs="宋体"/>
          <w:color w:val="auto"/>
          <w:kern w:val="2"/>
          <w:sz w:val="21"/>
          <w:szCs w:val="21"/>
          <w:highlight w:val="none"/>
          <w:lang w:val="en-US" w:eastAsia="zh-CN" w:bidi="ar-SA"/>
        </w:rPr>
        <w:t>内需要提供的技术支持：</w:t>
      </w:r>
      <w:r>
        <w:rPr>
          <w:rFonts w:hint="eastAsia" w:ascii="宋体" w:hAnsi="宋体" w:cs="宋体"/>
          <w:color w:val="auto"/>
          <w:kern w:val="2"/>
          <w:sz w:val="21"/>
          <w:szCs w:val="21"/>
          <w:highlight w:val="none"/>
          <w:lang w:val="en-US" w:eastAsia="zh-CN" w:bidi="ar-SA"/>
        </w:rPr>
        <w:t>服务期</w:t>
      </w:r>
      <w:r>
        <w:rPr>
          <w:rFonts w:hint="eastAsia" w:ascii="宋体" w:hAnsi="宋体" w:eastAsia="宋体" w:cs="宋体"/>
          <w:color w:val="auto"/>
          <w:kern w:val="2"/>
          <w:sz w:val="21"/>
          <w:szCs w:val="21"/>
          <w:highlight w:val="none"/>
          <w:lang w:val="en-US" w:eastAsia="zh-CN" w:bidi="ar-SA"/>
        </w:rPr>
        <w:t>内供应商提供专门的客户服务系统并指定专人负责与用户保持长期的联系与服务，采购人工作日9点到晚17点用于接收、确认学校反馈的问题、需求并及时学校解决反馈的问题、满足学校反馈的需求，采用信息化管理方式为学校建立并维护完整、准确、详细的软件使用档案。同步服务期内做好平台功能更新。</w:t>
      </w:r>
    </w:p>
    <w:p w14:paraId="5FB000CC">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3.3.2 技术培训：</w:t>
      </w:r>
    </w:p>
    <w:p w14:paraId="62267F1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每年提供系统管理员的系统维护培训服务及必要的支撑技术培训服务。提供至少3次总计不低于6学时针对老师和学生的系统应用操作现场培训服务，并委派专人解答、指导使用人员提出的问题。为保证软件正常工作，供货方应负责培训用户维护人员，使维护工作人员能完全熟悉并掌握软件维护技能，及时排除一般的软件故障。培训内容包括以下几个方面：</w:t>
      </w:r>
    </w:p>
    <w:p w14:paraId="36611BBE">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1）为维护及安装工作所必须的相关文件的讲解；</w:t>
      </w:r>
      <w:bookmarkStart w:id="5" w:name="_GoBack"/>
      <w:bookmarkEnd w:id="5"/>
    </w:p>
    <w:p w14:paraId="594D8FE3">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2）软件的安装和测试；</w:t>
      </w:r>
    </w:p>
    <w:p w14:paraId="18EBF8F6">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3）软件的操作和维护；</w:t>
      </w:r>
    </w:p>
    <w:p w14:paraId="0E558C7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4）系统管理员培训。</w:t>
      </w:r>
    </w:p>
    <w:p w14:paraId="119B3E85">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（2）培训目标：管理员能够从技术上操作和应用平台，掌握系统配置、管理，以及日常维护操作，提高系统管理员的管理效率。</w:t>
      </w:r>
    </w:p>
    <w:p w14:paraId="25FF8584">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（3）培训内容：系统安装、维护培训；项目实施培训；用户管理、配置管理、系统维护等管理功能培训；常见问题处理培训。</w:t>
      </w:r>
    </w:p>
    <w:p w14:paraId="4F43CEF2">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（4）教师应用培训：</w:t>
      </w:r>
    </w:p>
    <w:p w14:paraId="0D29DCB0">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1）培训目标：了解系统的主要功能以及系统结构，及学生自主学习工具如网上备课、课程建设、教学组织；掌握在线教学操作；掌握网上教学的功能；能够高效地使用系统从事教学活动。</w:t>
      </w:r>
    </w:p>
    <w:p w14:paraId="22D1A66D">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2）培训内容：课程建设培训；教学活动管理操作。</w:t>
      </w:r>
    </w:p>
    <w:p w14:paraId="310B14AA">
      <w:pPr>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3.3.3 本项目所涉及的接口由采购人无条件免费开放，接口文档详见https://sourceid.ruishan.cc/linkid/authentication/public/interface/cas-authentication.html。</w:t>
      </w:r>
    </w:p>
    <w:p w14:paraId="24E811B3">
      <w:pPr>
        <w:adjustRightInd w:val="0"/>
        <w:snapToGrid w:val="0"/>
        <w:spacing w:line="288" w:lineRule="auto"/>
        <w:rPr>
          <w:rFonts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五</w:t>
      </w:r>
      <w:r>
        <w:rPr>
          <w:rFonts w:hint="eastAsia" w:ascii="宋体" w:hAnsi="宋体" w:eastAsia="宋体" w:cs="宋体"/>
          <w:b/>
          <w:bCs/>
          <w:color w:val="auto"/>
          <w:kern w:val="2"/>
          <w:sz w:val="21"/>
          <w:szCs w:val="21"/>
          <w:highlight w:val="none"/>
          <w:lang w:val="en-US" w:eastAsia="zh-CN" w:bidi="ar-SA"/>
        </w:rPr>
        <w:t>、演示：</w:t>
      </w:r>
    </w:p>
    <w:p w14:paraId="4D90688B">
      <w:pPr>
        <w:adjustRightInd w:val="0"/>
        <w:snapToGrid w:val="0"/>
        <w:spacing w:line="288" w:lineRule="auto"/>
        <w:ind w:firstLine="422" w:firstLineChars="200"/>
        <w:rPr>
          <w:rFonts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▲1.供应商演示内容需为真人操作软件DEMO录制的视频进行。</w:t>
      </w:r>
    </w:p>
    <w:p w14:paraId="2A67030A">
      <w:pPr>
        <w:adjustRightInd w:val="0"/>
        <w:snapToGrid w:val="0"/>
        <w:spacing w:line="288" w:lineRule="auto"/>
        <w:ind w:firstLine="422" w:firstLineChars="200"/>
        <w:rPr>
          <w:rFonts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▲2.未提供任何演示的响应无效。以PPT、非真人操作软件DEMO录制的视频、图片等视同未演示，响应无效。</w:t>
      </w:r>
    </w:p>
    <w:p w14:paraId="3F9A54EB">
      <w:pPr>
        <w:spacing w:line="288" w:lineRule="auto"/>
        <w:ind w:firstLine="422" w:firstLineChars="200"/>
        <w:rPr>
          <w:color w:val="auto"/>
          <w:highlight w:val="none"/>
        </w:rPr>
      </w:pPr>
      <w:r>
        <w:rPr>
          <w:rFonts w:hint="eastAsia" w:ascii="宋体" w:hAnsi="宋体" w:eastAsia="宋体" w:cs="宋体"/>
          <w:b/>
          <w:bCs/>
          <w:color w:val="auto"/>
          <w:kern w:val="2"/>
          <w:sz w:val="21"/>
          <w:szCs w:val="21"/>
          <w:highlight w:val="none"/>
          <w:lang w:val="en-US" w:eastAsia="zh-CN" w:bidi="ar-SA"/>
        </w:rPr>
        <w:t>3.演示内容：</w:t>
      </w:r>
    </w:p>
    <w:p w14:paraId="2F03B7F2">
      <w:pPr>
        <w:keepNext w:val="0"/>
        <w:keepLines w:val="0"/>
        <w:pageBreakBefore w:val="0"/>
        <w:widowControl w:val="0"/>
        <w:kinsoku/>
        <w:wordWrap/>
        <w:overflowPunct/>
        <w:topLinePunct w:val="0"/>
        <w:autoSpaceDE/>
        <w:autoSpaceDN/>
        <w:bidi w:val="0"/>
        <w:adjustRightInd w:val="0"/>
        <w:snapToGrid w:val="0"/>
        <w:spacing w:line="288" w:lineRule="auto"/>
        <w:ind w:left="0" w:leftChars="0" w:firstLine="420" w:firstLineChars="200"/>
        <w:contextualSpacing/>
        <w:jc w:val="left"/>
        <w:textAlignment w:val="auto"/>
        <w:rPr>
          <w:rFonts w:hint="eastAsia" w:ascii="宋体" w:hAnsi="宋体" w:eastAsia="宋体" w:cs="宋体"/>
          <w:b w:val="0"/>
          <w:bCs w:val="0"/>
          <w:color w:val="auto"/>
          <w:sz w:val="21"/>
          <w:szCs w:val="21"/>
          <w:highlight w:val="none"/>
          <w:lang w:val="zh-TW" w:eastAsia="zh-TW"/>
        </w:rPr>
      </w:pPr>
      <w:r>
        <w:rPr>
          <w:rFonts w:hint="eastAsia" w:ascii="宋体" w:hAnsi="宋体" w:eastAsia="宋体" w:cs="宋体"/>
          <w:b w:val="0"/>
          <w:bCs w:val="0"/>
          <w:color w:val="auto"/>
          <w:sz w:val="21"/>
          <w:szCs w:val="21"/>
          <w:highlight w:val="none"/>
          <w:lang w:val="zh-TW" w:eastAsia="zh-TW"/>
        </w:rPr>
        <w:t>1.PC门户配置功能：页面支持用户自定义模块布局，支持拖拽式调整同一模块内不同栏目的位置，支持用户自定义对页面背景、音乐、主题色及简体或繁体字的转换设置。每一个模块内的数据来源均支持人工配置；可以是外部数据接入，也可以直接从数据中心抽调。</w:t>
      </w:r>
    </w:p>
    <w:p w14:paraId="7AE2A862">
      <w:pPr>
        <w:keepNext w:val="0"/>
        <w:keepLines w:val="0"/>
        <w:pageBreakBefore w:val="0"/>
        <w:widowControl w:val="0"/>
        <w:kinsoku/>
        <w:wordWrap/>
        <w:overflowPunct/>
        <w:topLinePunct w:val="0"/>
        <w:autoSpaceDE/>
        <w:autoSpaceDN/>
        <w:bidi w:val="0"/>
        <w:adjustRightInd w:val="0"/>
        <w:snapToGrid w:val="0"/>
        <w:spacing w:line="288" w:lineRule="auto"/>
        <w:ind w:left="0" w:leftChars="0" w:firstLine="420" w:firstLineChars="200"/>
        <w:contextualSpacing/>
        <w:jc w:val="left"/>
        <w:textAlignment w:val="auto"/>
        <w:rPr>
          <w:rFonts w:hint="eastAsia" w:ascii="宋体" w:hAnsi="宋体" w:eastAsia="宋体" w:cs="宋体"/>
          <w:b w:val="0"/>
          <w:bCs w:val="0"/>
          <w:color w:val="auto"/>
          <w:sz w:val="21"/>
          <w:szCs w:val="21"/>
          <w:highlight w:val="none"/>
          <w:lang w:val="zh-TW" w:eastAsia="zh-TW"/>
        </w:rPr>
      </w:pPr>
      <w:r>
        <w:rPr>
          <w:rFonts w:hint="eastAsia" w:ascii="宋体" w:hAnsi="宋体" w:eastAsia="宋体" w:cs="宋体"/>
          <w:b w:val="0"/>
          <w:bCs w:val="0"/>
          <w:color w:val="auto"/>
          <w:sz w:val="21"/>
          <w:szCs w:val="21"/>
          <w:highlight w:val="none"/>
          <w:lang w:val="zh-TW" w:eastAsia="zh-TW"/>
        </w:rPr>
        <w:t>2.支持视频的虚拟剪辑，只需要拖动视频播放的起始点、终止点，就可以将视频文件按照课程的要求剪辑成适当长度，教师还可手动输入时间点，进行视频在线虚拟剪辑。</w:t>
      </w:r>
    </w:p>
    <w:p w14:paraId="2B8715D7">
      <w:pPr>
        <w:keepNext w:val="0"/>
        <w:keepLines w:val="0"/>
        <w:pageBreakBefore w:val="0"/>
        <w:widowControl w:val="0"/>
        <w:kinsoku/>
        <w:wordWrap/>
        <w:overflowPunct/>
        <w:topLinePunct w:val="0"/>
        <w:autoSpaceDE/>
        <w:autoSpaceDN/>
        <w:bidi w:val="0"/>
        <w:adjustRightInd w:val="0"/>
        <w:snapToGrid w:val="0"/>
        <w:spacing w:line="288" w:lineRule="auto"/>
        <w:ind w:left="0" w:leftChars="0" w:firstLine="420" w:firstLineChars="200"/>
        <w:contextualSpacing/>
        <w:jc w:val="left"/>
        <w:textAlignment w:val="auto"/>
        <w:rPr>
          <w:rFonts w:hint="eastAsia" w:ascii="宋体" w:hAnsi="宋体" w:eastAsia="宋体" w:cs="宋体"/>
          <w:b w:val="0"/>
          <w:bCs w:val="0"/>
          <w:color w:val="auto"/>
          <w:sz w:val="21"/>
          <w:szCs w:val="21"/>
          <w:highlight w:val="none"/>
          <w:lang w:val="zh-TW" w:eastAsia="zh-TW"/>
        </w:rPr>
      </w:pPr>
      <w:r>
        <w:rPr>
          <w:rFonts w:hint="eastAsia" w:ascii="宋体" w:hAnsi="宋体" w:eastAsia="宋体" w:cs="宋体"/>
          <w:b w:val="0"/>
          <w:bCs w:val="0"/>
          <w:color w:val="auto"/>
          <w:sz w:val="21"/>
          <w:szCs w:val="21"/>
          <w:highlight w:val="none"/>
          <w:lang w:val="zh-TW" w:eastAsia="zh-TW"/>
        </w:rPr>
        <w:t>3.支持学生进入课程、观看视频时进行人脸识别和抓拍。观看视频抓拍支持视频起始、视频播放、视频暂停再播放、视频结束抓拍设置，也支持播放中的定时抓拍,如10分钟抓拍一次和随机抓拍。识别失败支持记录并继续学习和不允许学习的配置。</w:t>
      </w:r>
    </w:p>
    <w:p w14:paraId="3D4CE273">
      <w:pPr>
        <w:keepNext w:val="0"/>
        <w:keepLines w:val="0"/>
        <w:pageBreakBefore w:val="0"/>
        <w:widowControl w:val="0"/>
        <w:kinsoku/>
        <w:wordWrap/>
        <w:overflowPunct/>
        <w:topLinePunct w:val="0"/>
        <w:autoSpaceDE/>
        <w:autoSpaceDN/>
        <w:bidi w:val="0"/>
        <w:adjustRightInd w:val="0"/>
        <w:snapToGrid w:val="0"/>
        <w:spacing w:line="288" w:lineRule="auto"/>
        <w:ind w:left="0" w:leftChars="0" w:firstLine="420" w:firstLineChars="200"/>
        <w:contextualSpacing/>
        <w:jc w:val="left"/>
        <w:textAlignment w:val="auto"/>
        <w:rPr>
          <w:rFonts w:hint="eastAsia" w:ascii="宋体" w:hAnsi="宋体" w:eastAsia="宋体" w:cs="宋体"/>
          <w:b w:val="0"/>
          <w:bCs w:val="0"/>
          <w:color w:val="auto"/>
          <w:sz w:val="21"/>
          <w:szCs w:val="21"/>
          <w:highlight w:val="none"/>
          <w:lang w:val="zh-TW" w:eastAsia="zh-CN"/>
        </w:rPr>
      </w:pPr>
      <w:r>
        <w:rPr>
          <w:rFonts w:hint="eastAsia" w:ascii="宋体" w:hAnsi="宋体" w:eastAsia="宋体" w:cs="宋体"/>
          <w:b w:val="0"/>
          <w:bCs w:val="0"/>
          <w:color w:val="auto"/>
          <w:sz w:val="21"/>
          <w:szCs w:val="21"/>
          <w:highlight w:val="none"/>
          <w:lang w:val="zh-TW" w:eastAsia="zh-TW"/>
        </w:rPr>
        <w:t>4.支持智能标注视频资源中的知识点：支持智能标记章节视频知识点，系统自动解析视频中出现的知识点，并标记到视频进度上，也支持用户手动标注或修改教学视频片段位置信息</w:t>
      </w:r>
      <w:r>
        <w:rPr>
          <w:rFonts w:hint="eastAsia" w:ascii="宋体" w:hAnsi="宋体" w:cs="宋体"/>
          <w:b w:val="0"/>
          <w:bCs w:val="0"/>
          <w:color w:val="auto"/>
          <w:sz w:val="21"/>
          <w:szCs w:val="21"/>
          <w:highlight w:val="none"/>
          <w:lang w:val="zh-TW" w:eastAsia="zh-CN"/>
        </w:rPr>
        <w:t>。</w:t>
      </w:r>
    </w:p>
    <w:p w14:paraId="702F2CB6">
      <w:pPr>
        <w:keepNext w:val="0"/>
        <w:keepLines w:val="0"/>
        <w:pageBreakBefore w:val="0"/>
        <w:widowControl w:val="0"/>
        <w:kinsoku/>
        <w:wordWrap/>
        <w:overflowPunct/>
        <w:topLinePunct w:val="0"/>
        <w:autoSpaceDE/>
        <w:autoSpaceDN/>
        <w:bidi w:val="0"/>
        <w:adjustRightInd w:val="0"/>
        <w:snapToGrid w:val="0"/>
        <w:spacing w:line="288" w:lineRule="auto"/>
        <w:ind w:left="0" w:leftChars="0" w:firstLine="420" w:firstLineChars="200"/>
        <w:contextualSpacing/>
        <w:jc w:val="left"/>
        <w:textAlignment w:val="auto"/>
        <w:rPr>
          <w:rFonts w:hint="eastAsia" w:ascii="宋体" w:hAnsi="宋体" w:eastAsia="宋体" w:cs="宋体"/>
          <w:b w:val="0"/>
          <w:bCs w:val="0"/>
          <w:color w:val="auto"/>
          <w:sz w:val="21"/>
          <w:szCs w:val="21"/>
          <w:highlight w:val="none"/>
          <w:lang w:val="zh-TW" w:eastAsia="zh-TW"/>
        </w:rPr>
      </w:pPr>
      <w:r>
        <w:rPr>
          <w:rFonts w:hint="eastAsia" w:ascii="宋体" w:hAnsi="宋体" w:eastAsia="宋体" w:cs="宋体"/>
          <w:b w:val="0"/>
          <w:bCs w:val="0"/>
          <w:color w:val="auto"/>
          <w:sz w:val="21"/>
          <w:szCs w:val="21"/>
          <w:highlight w:val="none"/>
          <w:lang w:val="zh-TW" w:eastAsia="zh-TW"/>
        </w:rPr>
        <w:t>5.平台支持试卷导出功能，至少支持A3、A4、B4等版式。支持自定义设置导出试卷模板，包括密封线位置，显示的课程信息，学生信息，考试承诺书等多项内容。支持自动随机组卷，组多套试卷时，可设置试卷试题重复率为0或自定义重复率不高于1%到80%区间任意值。</w:t>
      </w:r>
    </w:p>
    <w:p w14:paraId="2E8F713D">
      <w:pPr>
        <w:keepNext w:val="0"/>
        <w:keepLines w:val="0"/>
        <w:pageBreakBefore w:val="0"/>
        <w:widowControl w:val="0"/>
        <w:kinsoku/>
        <w:wordWrap/>
        <w:overflowPunct/>
        <w:topLinePunct w:val="0"/>
        <w:autoSpaceDE/>
        <w:autoSpaceDN/>
        <w:bidi w:val="0"/>
        <w:adjustRightInd w:val="0"/>
        <w:snapToGrid w:val="0"/>
        <w:spacing w:line="288" w:lineRule="auto"/>
        <w:ind w:left="0" w:leftChars="0" w:firstLine="420" w:firstLineChars="200"/>
        <w:contextualSpacing/>
        <w:jc w:val="left"/>
        <w:textAlignment w:val="auto"/>
        <w:rPr>
          <w:rFonts w:hint="eastAsia" w:ascii="宋体" w:hAnsi="宋体" w:eastAsia="宋体" w:cs="宋体"/>
          <w:b w:val="0"/>
          <w:bCs w:val="0"/>
          <w:color w:val="auto"/>
          <w:sz w:val="21"/>
          <w:szCs w:val="21"/>
          <w:highlight w:val="none"/>
          <w:lang w:val="zh-TW" w:eastAsia="zh-TW"/>
        </w:rPr>
      </w:pPr>
      <w:r>
        <w:rPr>
          <w:rFonts w:hint="eastAsia" w:ascii="宋体" w:hAnsi="宋体" w:eastAsia="宋体" w:cs="宋体"/>
          <w:b w:val="0"/>
          <w:bCs w:val="0"/>
          <w:color w:val="auto"/>
          <w:sz w:val="21"/>
          <w:szCs w:val="21"/>
          <w:highlight w:val="none"/>
          <w:lang w:val="zh-TW" w:eastAsia="zh-TW"/>
        </w:rPr>
        <w:t>6.表单采集：支持用户自定义创建表单，具有单选、多选、下拉框、单行输入、多行输入、日期选择、图片、附件等元素；支持单独设置每一题是否必填；支持设置审批流。</w:t>
      </w:r>
    </w:p>
    <w:p w14:paraId="16F19120">
      <w:pPr>
        <w:keepNext w:val="0"/>
        <w:keepLines w:val="0"/>
        <w:pageBreakBefore w:val="0"/>
        <w:widowControl w:val="0"/>
        <w:kinsoku/>
        <w:wordWrap/>
        <w:overflowPunct/>
        <w:topLinePunct w:val="0"/>
        <w:autoSpaceDE/>
        <w:autoSpaceDN/>
        <w:bidi w:val="0"/>
        <w:adjustRightInd w:val="0"/>
        <w:snapToGrid w:val="0"/>
        <w:spacing w:line="288" w:lineRule="auto"/>
        <w:ind w:left="0" w:leftChars="0" w:firstLine="420" w:firstLineChars="200"/>
        <w:contextualSpacing/>
        <w:jc w:val="left"/>
        <w:textAlignment w:val="auto"/>
        <w:rPr>
          <w:rFonts w:hint="eastAsia" w:ascii="宋体" w:hAnsi="宋体" w:eastAsia="宋体" w:cs="宋体"/>
          <w:b w:val="0"/>
          <w:bCs w:val="0"/>
          <w:color w:val="auto"/>
          <w:sz w:val="21"/>
          <w:szCs w:val="21"/>
          <w:highlight w:val="none"/>
          <w:lang w:val="zh-TW" w:eastAsia="zh-TW"/>
        </w:rPr>
      </w:pPr>
      <w:r>
        <w:rPr>
          <w:rFonts w:hint="eastAsia" w:ascii="宋体" w:hAnsi="宋体" w:eastAsia="宋体" w:cs="宋体"/>
          <w:b w:val="0"/>
          <w:bCs w:val="0"/>
          <w:color w:val="auto"/>
          <w:sz w:val="21"/>
          <w:szCs w:val="21"/>
          <w:highlight w:val="none"/>
          <w:lang w:val="zh-TW" w:eastAsia="zh-TW"/>
        </w:rPr>
        <w:t>7.支持知识图谱自定义编辑功能，系统提供至少6种图谱形态，用户可根据课程性质选择合适的图谱形态进行编辑。支持课程章节一键转化生成知识图谱，并同时进行资源关联。</w:t>
      </w:r>
    </w:p>
    <w:p w14:paraId="6F9E19C3">
      <w:pPr>
        <w:keepNext w:val="0"/>
        <w:keepLines w:val="0"/>
        <w:pageBreakBefore w:val="0"/>
        <w:widowControl w:val="0"/>
        <w:kinsoku/>
        <w:wordWrap/>
        <w:overflowPunct/>
        <w:topLinePunct w:val="0"/>
        <w:autoSpaceDE/>
        <w:autoSpaceDN/>
        <w:bidi w:val="0"/>
        <w:adjustRightInd w:val="0"/>
        <w:snapToGrid w:val="0"/>
        <w:spacing w:line="288" w:lineRule="auto"/>
        <w:ind w:left="0" w:leftChars="0" w:firstLine="420" w:firstLineChars="200"/>
        <w:contextualSpacing/>
        <w:jc w:val="left"/>
        <w:textAlignment w:val="auto"/>
        <w:rPr>
          <w:rFonts w:hint="eastAsia" w:ascii="宋体" w:hAnsi="宋体" w:eastAsia="宋体" w:cs="宋体"/>
          <w:b w:val="0"/>
          <w:bCs w:val="0"/>
          <w:color w:val="auto"/>
          <w:sz w:val="21"/>
          <w:szCs w:val="21"/>
          <w:highlight w:val="none"/>
          <w:lang w:val="zh-TW" w:eastAsia="zh-TW"/>
        </w:rPr>
      </w:pPr>
      <w:r>
        <w:rPr>
          <w:rFonts w:hint="eastAsia" w:ascii="宋体" w:hAnsi="宋体" w:eastAsia="宋体" w:cs="宋体"/>
          <w:b w:val="0"/>
          <w:bCs w:val="0"/>
          <w:color w:val="auto"/>
          <w:sz w:val="21"/>
          <w:szCs w:val="21"/>
          <w:highlight w:val="none"/>
          <w:lang w:val="zh-TW" w:eastAsia="zh-TW"/>
        </w:rPr>
        <w:t>8.支持使用示范教学包建课，示范教学包需整合本科、中高职、基础教育等各层次院校，各学科、专业的资源，教师可以在建课时引用示范教学包中的课程资源、课堂活动示例、题库等内容，同时可以根据教师自己课程的需要进行重新组合使用。学生学习章节中的视频、文档时，支持点击“不懂”，助教随时答疑。</w:t>
      </w:r>
    </w:p>
    <w:p w14:paraId="2B4DDF37">
      <w:pPr>
        <w:keepNext w:val="0"/>
        <w:keepLines w:val="0"/>
        <w:pageBreakBefore w:val="0"/>
        <w:widowControl w:val="0"/>
        <w:kinsoku/>
        <w:wordWrap/>
        <w:overflowPunct/>
        <w:topLinePunct w:val="0"/>
        <w:autoSpaceDE/>
        <w:autoSpaceDN/>
        <w:bidi w:val="0"/>
        <w:adjustRightInd w:val="0"/>
        <w:snapToGrid w:val="0"/>
        <w:spacing w:line="288" w:lineRule="auto"/>
        <w:ind w:left="0" w:leftChars="0" w:firstLine="420" w:firstLineChars="200"/>
        <w:contextualSpacing/>
        <w:jc w:val="left"/>
        <w:textAlignment w:val="auto"/>
        <w:rPr>
          <w:rFonts w:hint="eastAsia" w:ascii="宋体" w:hAnsi="宋体" w:eastAsia="宋体" w:cs="宋体"/>
          <w:b w:val="0"/>
          <w:bCs w:val="0"/>
          <w:color w:val="auto"/>
          <w:sz w:val="21"/>
          <w:szCs w:val="21"/>
          <w:highlight w:val="none"/>
          <w:lang w:val="zh-TW" w:eastAsia="zh-CN"/>
        </w:rPr>
      </w:pPr>
      <w:r>
        <w:rPr>
          <w:rFonts w:hint="eastAsia" w:ascii="宋体" w:hAnsi="宋体" w:eastAsia="宋体" w:cs="宋体"/>
          <w:b w:val="0"/>
          <w:bCs w:val="0"/>
          <w:color w:val="auto"/>
          <w:sz w:val="21"/>
          <w:szCs w:val="21"/>
          <w:highlight w:val="none"/>
          <w:lang w:val="zh-TW" w:eastAsia="zh-TW"/>
        </w:rPr>
        <w:t>9.AI口语测评题：支持选择包括汉语、英语及日语、韩语、俄语等多种小语种，设置评分严宽度。支持AI实践随机分配对话情景，模拟互动环境，让学生与AI进行对话，获得即时评价反馈</w:t>
      </w:r>
      <w:r>
        <w:rPr>
          <w:rFonts w:hint="eastAsia" w:ascii="宋体" w:hAnsi="宋体" w:cs="宋体"/>
          <w:b w:val="0"/>
          <w:bCs w:val="0"/>
          <w:color w:val="auto"/>
          <w:sz w:val="21"/>
          <w:szCs w:val="21"/>
          <w:highlight w:val="none"/>
          <w:lang w:val="zh-TW" w:eastAsia="zh-CN"/>
        </w:rPr>
        <w:t>。</w:t>
      </w:r>
    </w:p>
    <w:p w14:paraId="5203F1EF">
      <w:pPr>
        <w:keepNext w:val="0"/>
        <w:keepLines w:val="0"/>
        <w:pageBreakBefore w:val="0"/>
        <w:widowControl w:val="0"/>
        <w:kinsoku/>
        <w:wordWrap/>
        <w:overflowPunct/>
        <w:topLinePunct w:val="0"/>
        <w:autoSpaceDE/>
        <w:autoSpaceDN/>
        <w:bidi w:val="0"/>
        <w:adjustRightInd w:val="0"/>
        <w:snapToGrid w:val="0"/>
        <w:spacing w:line="288" w:lineRule="auto"/>
        <w:ind w:left="0" w:leftChars="0" w:firstLine="420" w:firstLineChars="200"/>
        <w:contextualSpacing/>
        <w:jc w:val="left"/>
        <w:textAlignment w:val="auto"/>
        <w:rPr>
          <w:rFonts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zh-TW" w:eastAsia="zh-TW"/>
        </w:rPr>
        <w:t>10.支持通过任务流低代码搭建专属智能体，教师可以根据自己的教学需求，自主构建专属智能体。通过直观的拖拽操作，包括代码、条件选择器、知识库等功能节点，动态选项、问答等交互节点，意图识别、大模型生成等大模型节点，轻松配置任务流，实现教学流程的个性化定制，让教学策略更加贴合个人教学风格和学生需求。</w:t>
      </w:r>
    </w:p>
    <w:p w14:paraId="46E49D49">
      <w:pPr>
        <w:spacing w:line="288" w:lineRule="auto"/>
        <w:ind w:firstLine="422" w:firstLineChars="200"/>
        <w:rPr>
          <w:rFonts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4.演示U盘：</w:t>
      </w:r>
    </w:p>
    <w:p w14:paraId="3CC1D9FC">
      <w:pPr>
        <w:spacing w:line="288" w:lineRule="auto"/>
        <w:ind w:firstLine="420" w:firstLineChars="200"/>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（1）供应商需将以上演示及讲解过程录制视频，演示时长不超过</w:t>
      </w:r>
      <w:r>
        <w:rPr>
          <w:rFonts w:hint="eastAsia" w:ascii="宋体" w:hAnsi="宋体" w:cs="宋体"/>
          <w:color w:val="auto"/>
          <w:kern w:val="2"/>
          <w:sz w:val="21"/>
          <w:szCs w:val="21"/>
          <w:highlight w:val="none"/>
          <w:lang w:val="en-US" w:eastAsia="zh-CN" w:bidi="ar-SA"/>
        </w:rPr>
        <w:t>15</w:t>
      </w:r>
      <w:r>
        <w:rPr>
          <w:rFonts w:hint="eastAsia" w:ascii="宋体" w:hAnsi="宋体" w:eastAsia="宋体" w:cs="宋体"/>
          <w:color w:val="auto"/>
          <w:kern w:val="2"/>
          <w:sz w:val="21"/>
          <w:szCs w:val="21"/>
          <w:highlight w:val="none"/>
          <w:lang w:val="en-US" w:eastAsia="zh-CN" w:bidi="ar-SA"/>
        </w:rPr>
        <w:t>分钟以.mp4格式存储于U盘。</w:t>
      </w:r>
    </w:p>
    <w:p w14:paraId="36EDF77A">
      <w:pPr>
        <w:spacing w:line="288" w:lineRule="auto"/>
        <w:ind w:firstLine="420" w:firstLineChars="200"/>
        <w:rPr>
          <w:rFonts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（2）演示U盘可以EMS或顺丰邮寄形式在响应截止时间前递交，演示U盘应当密封包装并在包装上标注演示U盘、响应项目名称、供应商名称并加盖公章。</w:t>
      </w:r>
    </w:p>
    <w:p w14:paraId="3921926C">
      <w:pPr>
        <w:adjustRightInd w:val="0"/>
        <w:snapToGrid w:val="0"/>
        <w:spacing w:line="288"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（3）未按磋商文件要求提供演示U盘造成专家无法正常评审的风险由供应商自行承担。</w:t>
      </w:r>
    </w:p>
    <w:p w14:paraId="3B376BCD">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第三章 供应商须知</w:t>
      </w:r>
    </w:p>
    <w:p w14:paraId="49EFE055">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前附表</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79"/>
        <w:gridCol w:w="1774"/>
        <w:gridCol w:w="6943"/>
      </w:tblGrid>
      <w:tr w14:paraId="515709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E33D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条款号</w:t>
            </w:r>
          </w:p>
        </w:tc>
        <w:tc>
          <w:tcPr>
            <w:tcW w:w="168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9794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内容</w:t>
            </w:r>
          </w:p>
        </w:tc>
        <w:tc>
          <w:tcPr>
            <w:tcW w:w="660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AE29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说明与要求</w:t>
            </w:r>
          </w:p>
        </w:tc>
      </w:tr>
      <w:tr w14:paraId="58E290C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AC77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A7CB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EC5C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竞争性磋商</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磋商文件</w:t>
            </w:r>
            <w:r>
              <w:rPr>
                <w:rFonts w:hint="eastAsia" w:ascii="宋体" w:hAnsi="宋体" w:eastAsia="宋体" w:cs="宋体"/>
                <w:color w:val="auto"/>
                <w:spacing w:val="0"/>
                <w:kern w:val="0"/>
                <w:sz w:val="21"/>
                <w:szCs w:val="21"/>
                <w:highlight w:val="none"/>
                <w:lang w:val="en-US" w:eastAsia="zh-CN" w:bidi="ar"/>
              </w:rPr>
              <w:t>即采购文件</w:t>
            </w:r>
          </w:p>
        </w:tc>
      </w:tr>
      <w:tr w14:paraId="55A2F9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3F16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0FAA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响应保证金</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5455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无</w:t>
            </w:r>
          </w:p>
        </w:tc>
      </w:tr>
      <w:tr w14:paraId="37AD7B9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6C01F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（三）</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BE42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A124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1.成交供应商在成交通知书发出之日起七个工作日内，向采购代理机构交纳代理服务费；</w:t>
            </w:r>
          </w:p>
          <w:p w14:paraId="68F0AC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成交供应商逾期支付代理服务费，须承担代理服务费每日百分之三的违约金，逾期十日未支付的，采购代理机构有权向杭州仲裁委员会对成交供应商提起仲裁，仲裁费用（包括仲裁受理费、仲裁处理费、律师费、保全保险费、差旅费、文印费等费用）均由成交供应商承担。</w:t>
            </w:r>
          </w:p>
          <w:p w14:paraId="7FB5F0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3.代理服务费收费标准：参照发改价格[2011]534号文件规定代理服务收费标准的【</w:t>
            </w:r>
            <w:r>
              <w:rPr>
                <w:rFonts w:hint="eastAsia" w:ascii="宋体" w:hAnsi="宋体" w:cs="宋体"/>
                <w:color w:val="auto"/>
                <w:spacing w:val="0"/>
                <w:kern w:val="0"/>
                <w:sz w:val="21"/>
                <w:szCs w:val="21"/>
                <w:highlight w:val="none"/>
                <w:lang w:val="en-US" w:eastAsia="zh-CN" w:bidi="ar"/>
              </w:rPr>
              <w:t>70</w:t>
            </w:r>
            <w:r>
              <w:rPr>
                <w:rFonts w:hint="eastAsia" w:ascii="宋体" w:hAnsi="宋体" w:eastAsia="宋体" w:cs="宋体"/>
                <w:color w:val="auto"/>
                <w:spacing w:val="0"/>
                <w:kern w:val="0"/>
                <w:sz w:val="21"/>
                <w:szCs w:val="21"/>
                <w:highlight w:val="none"/>
                <w:lang w:val="en-US" w:eastAsia="zh-CN" w:bidi="ar"/>
              </w:rPr>
              <w:t>%】计取（不足3000元的按3000元计）。</w:t>
            </w:r>
          </w:p>
        </w:tc>
      </w:tr>
      <w:tr w14:paraId="12AA3C0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5F32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（四）</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4ADF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响应委托</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096D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▲1.供应商代表是法定代表人（单位负责人、自然人本人）的，须提供本人身份证明。</w:t>
            </w:r>
          </w:p>
          <w:p w14:paraId="6902EA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▲2.供应商代表不是法定代表人（单位负责人、自然人本人）的，须提供授权委托书和授权代表社保缴纳证明（响应截止时间前【6】个月内任意一月）；</w:t>
            </w:r>
          </w:p>
          <w:p w14:paraId="14E1FF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▲3.供应商委派不在本单位缴纳社保的人员作为授权代表的，应当在响应文件中，说明具体原因、授权代表缴纳社保的单位，并附列该授权代表缴纳社保清单。</w:t>
            </w:r>
          </w:p>
        </w:tc>
      </w:tr>
      <w:tr w14:paraId="7DF2F98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585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（五）</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B274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联合体响应</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CA42F6">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1.本项目是否接受联合体响应：是</w:t>
            </w:r>
          </w:p>
          <w:p w14:paraId="4AA8CD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2.两个以上的自然人、法人或者其他组织可以组成一个联合体，以一个供应商的身份共同参加采购；</w:t>
            </w:r>
          </w:p>
          <w:p w14:paraId="30C5D6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3.以联合体形式进行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5C7BB6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4.联合体中有同类资质的供应商按照联合体分工承担相同工作的，应当按照资质等级较低的供应商确定资质等级；</w:t>
            </w:r>
          </w:p>
          <w:p w14:paraId="4F287B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5.以联合体形式参加采购活动的，联合体各方不得再单独参加或者与其他供应商另外组成联合体参加同一合同项下的采购活动；</w:t>
            </w:r>
          </w:p>
          <w:p w14:paraId="0B8B48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6.联合体其他有关说明：</w:t>
            </w:r>
          </w:p>
          <w:p w14:paraId="00C070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lang w:val="en-US" w:eastAsia="zh-CN" w:bidi="ar"/>
              </w:rPr>
              <w:t>（1）联合体的特定资格要求：联合体成员中有一方具备即为符合要求；</w:t>
            </w:r>
          </w:p>
          <w:p w14:paraId="41B741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（2）联合体的商务技术资料：联合体成员中有一方具备即为符合要求。</w:t>
            </w:r>
          </w:p>
        </w:tc>
      </w:tr>
      <w:tr w14:paraId="44D896E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452B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（六）</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A492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转包与分包</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BEBC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1.本项目不允许转包；</w:t>
            </w:r>
          </w:p>
          <w:p w14:paraId="428E31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宋体" w:hAnsi="宋体" w:eastAsia="宋体" w:cs="宋体"/>
                <w:color w:val="auto"/>
                <w:sz w:val="21"/>
                <w:szCs w:val="21"/>
                <w:highlight w:val="none"/>
                <w:lang w:val="en-US"/>
              </w:rPr>
            </w:pPr>
            <w:r>
              <w:rPr>
                <w:rFonts w:hint="eastAsia" w:ascii="宋体" w:hAnsi="宋体" w:eastAsia="宋体" w:cs="宋体"/>
                <w:color w:val="auto"/>
                <w:spacing w:val="0"/>
                <w:kern w:val="0"/>
                <w:sz w:val="21"/>
                <w:szCs w:val="21"/>
                <w:highlight w:val="none"/>
                <w:lang w:val="en-US" w:eastAsia="zh-CN" w:bidi="ar"/>
              </w:rPr>
              <w:t>2.本项目不允许分包，不适宜分包的理由是：</w:t>
            </w:r>
            <w:r>
              <w:rPr>
                <w:rFonts w:hint="eastAsia" w:ascii="宋体" w:hAnsi="宋体" w:cs="宋体"/>
                <w:color w:val="auto"/>
                <w:spacing w:val="0"/>
                <w:kern w:val="0"/>
                <w:sz w:val="21"/>
                <w:szCs w:val="21"/>
                <w:highlight w:val="none"/>
                <w:lang w:val="en-US" w:eastAsia="zh-CN" w:bidi="ar"/>
              </w:rPr>
              <w:t>本项目内容整体不可分割。</w:t>
            </w:r>
          </w:p>
        </w:tc>
      </w:tr>
      <w:tr w14:paraId="254DC7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0BA3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（七）</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D56C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文件资料邮寄信息</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039F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电子备份响应文件等资料（如有）邮寄信息：</w:t>
            </w:r>
          </w:p>
          <w:p w14:paraId="75DC74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aps w:val="0"/>
                <w:color w:val="auto"/>
                <w:spacing w:val="0"/>
                <w:kern w:val="0"/>
                <w:sz w:val="21"/>
                <w:szCs w:val="21"/>
                <w:highlight w:val="none"/>
                <w:lang w:val="en-US" w:eastAsia="zh-CN" w:bidi="ar"/>
              </w:rPr>
              <w:t>资料外包装或封签应标明：</w:t>
            </w:r>
            <w:r>
              <w:rPr>
                <w:rFonts w:hint="eastAsia" w:ascii="宋体" w:hAnsi="宋体" w:eastAsia="宋体" w:cs="宋体"/>
                <w:b w:val="0"/>
                <w:bCs w:val="0"/>
                <w:i w:val="0"/>
                <w:iCs w:val="0"/>
                <w:caps w:val="0"/>
                <w:color w:val="auto"/>
                <w:spacing w:val="0"/>
                <w:kern w:val="0"/>
                <w:sz w:val="21"/>
                <w:szCs w:val="21"/>
                <w:highlight w:val="none"/>
                <w:u w:val="single"/>
                <w:lang w:val="en-US" w:eastAsia="zh-CN" w:bidi="ar"/>
              </w:rPr>
              <w:t>资料内容、项目名称、项目编号、标项、供应商名称</w:t>
            </w:r>
            <w:r>
              <w:rPr>
                <w:rFonts w:hint="eastAsia" w:ascii="宋体" w:hAnsi="宋体" w:eastAsia="宋体" w:cs="宋体"/>
                <w:i w:val="0"/>
                <w:iCs w:val="0"/>
                <w:caps w:val="0"/>
                <w:color w:val="auto"/>
                <w:spacing w:val="0"/>
                <w:kern w:val="0"/>
                <w:sz w:val="21"/>
                <w:szCs w:val="21"/>
                <w:highlight w:val="none"/>
                <w:u w:val="single"/>
                <w:lang w:val="en-US" w:eastAsia="zh-CN" w:bidi="ar"/>
              </w:rPr>
              <w:t>并加盖公章。</w:t>
            </w:r>
          </w:p>
          <w:p w14:paraId="54078A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邮寄地址：</w:t>
            </w:r>
            <w:r>
              <w:rPr>
                <w:rFonts w:hint="eastAsia" w:ascii="宋体" w:hAnsi="宋体" w:eastAsia="宋体" w:cs="宋体"/>
                <w:i w:val="0"/>
                <w:iCs w:val="0"/>
                <w:color w:val="auto"/>
                <w:spacing w:val="0"/>
                <w:kern w:val="0"/>
                <w:sz w:val="21"/>
                <w:szCs w:val="21"/>
                <w:highlight w:val="none"/>
                <w:lang w:val="en-US" w:eastAsia="zh-CN" w:bidi="ar"/>
              </w:rPr>
              <w:t>杭州市西湖区玉古路173号中田大厦21楼</w:t>
            </w:r>
            <w:r>
              <w:rPr>
                <w:rFonts w:hint="eastAsia" w:ascii="宋体" w:hAnsi="宋体" w:eastAsia="宋体" w:cs="宋体"/>
                <w:color w:val="auto"/>
                <w:spacing w:val="0"/>
                <w:kern w:val="0"/>
                <w:sz w:val="21"/>
                <w:szCs w:val="21"/>
                <w:highlight w:val="none"/>
                <w:lang w:val="en-US" w:eastAsia="zh-CN" w:bidi="ar"/>
              </w:rPr>
              <w:t>，</w:t>
            </w:r>
            <w:r>
              <w:rPr>
                <w:rFonts w:hint="eastAsia" w:ascii="宋体" w:hAnsi="宋体" w:eastAsia="宋体" w:cs="宋体"/>
                <w:i w:val="0"/>
                <w:iCs w:val="0"/>
                <w:color w:val="auto"/>
                <w:spacing w:val="0"/>
                <w:kern w:val="0"/>
                <w:sz w:val="21"/>
                <w:szCs w:val="21"/>
                <w:highlight w:val="none"/>
                <w:lang w:val="en-US" w:eastAsia="zh-CN" w:bidi="ar"/>
              </w:rPr>
              <w:t>浙江求是招标代理有限公司</w:t>
            </w:r>
            <w:r>
              <w:rPr>
                <w:rFonts w:hint="eastAsia" w:ascii="宋体" w:hAnsi="宋体" w:eastAsia="宋体" w:cs="宋体"/>
                <w:color w:val="auto"/>
                <w:spacing w:val="0"/>
                <w:kern w:val="0"/>
                <w:sz w:val="21"/>
                <w:szCs w:val="21"/>
                <w:highlight w:val="none"/>
                <w:lang w:val="en-US" w:eastAsia="zh-CN" w:bidi="ar"/>
              </w:rPr>
              <w:t>，收件人：</w:t>
            </w:r>
            <w:r>
              <w:rPr>
                <w:rFonts w:hint="eastAsia" w:ascii="宋体" w:hAnsi="宋体" w:eastAsia="宋体" w:cs="宋体"/>
                <w:i w:val="0"/>
                <w:iCs w:val="0"/>
                <w:color w:val="auto"/>
                <w:spacing w:val="0"/>
                <w:kern w:val="0"/>
                <w:sz w:val="21"/>
                <w:szCs w:val="21"/>
                <w:highlight w:val="none"/>
                <w:lang w:val="en-US" w:eastAsia="zh-CN" w:bidi="ar"/>
              </w:rPr>
              <w:t>俞炳</w:t>
            </w:r>
            <w:r>
              <w:rPr>
                <w:rFonts w:hint="eastAsia" w:ascii="宋体" w:hAnsi="宋体" w:eastAsia="宋体" w:cs="宋体"/>
                <w:color w:val="auto"/>
                <w:spacing w:val="0"/>
                <w:kern w:val="0"/>
                <w:sz w:val="21"/>
                <w:szCs w:val="21"/>
                <w:highlight w:val="none"/>
                <w:lang w:val="en-US" w:eastAsia="zh-CN" w:bidi="ar"/>
              </w:rPr>
              <w:t>，电话：</w:t>
            </w:r>
            <w:r>
              <w:rPr>
                <w:rFonts w:hint="eastAsia" w:ascii="宋体" w:hAnsi="宋体" w:eastAsia="宋体" w:cs="宋体"/>
                <w:i w:val="0"/>
                <w:iCs w:val="0"/>
                <w:color w:val="auto"/>
                <w:spacing w:val="0"/>
                <w:kern w:val="0"/>
                <w:sz w:val="21"/>
                <w:szCs w:val="21"/>
                <w:highlight w:val="none"/>
                <w:lang w:val="en-US" w:eastAsia="zh-CN" w:bidi="ar"/>
              </w:rPr>
              <w:t>0571-87670302</w:t>
            </w:r>
            <w:r>
              <w:rPr>
                <w:rFonts w:hint="eastAsia" w:ascii="宋体" w:hAnsi="宋体" w:eastAsia="宋体" w:cs="宋体"/>
                <w:color w:val="auto"/>
                <w:spacing w:val="0"/>
                <w:kern w:val="0"/>
                <w:sz w:val="21"/>
                <w:szCs w:val="21"/>
                <w:highlight w:val="none"/>
                <w:lang w:val="en-US" w:eastAsia="zh-CN" w:bidi="ar"/>
              </w:rPr>
              <w:t>，电子邮箱：</w:t>
            </w:r>
            <w:r>
              <w:rPr>
                <w:rFonts w:hint="eastAsia" w:ascii="宋体" w:hAnsi="宋体" w:eastAsia="宋体" w:cs="宋体"/>
                <w:i w:val="0"/>
                <w:iCs w:val="0"/>
                <w:color w:val="auto"/>
                <w:spacing w:val="0"/>
                <w:kern w:val="0"/>
                <w:sz w:val="21"/>
                <w:szCs w:val="21"/>
                <w:highlight w:val="none"/>
                <w:lang w:val="en-US" w:eastAsia="zh-CN" w:bidi="ar"/>
              </w:rPr>
              <w:t>zb02@qszb.net</w:t>
            </w:r>
            <w:r>
              <w:rPr>
                <w:rFonts w:hint="eastAsia" w:ascii="宋体" w:hAnsi="宋体" w:eastAsia="宋体" w:cs="宋体"/>
                <w:color w:val="auto"/>
                <w:spacing w:val="0"/>
                <w:kern w:val="0"/>
                <w:sz w:val="21"/>
                <w:szCs w:val="21"/>
                <w:highlight w:val="none"/>
                <w:lang w:val="en-US" w:eastAsia="zh-CN" w:bidi="ar"/>
              </w:rPr>
              <w:t>。</w:t>
            </w:r>
          </w:p>
          <w:p w14:paraId="2D47A3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特别说明：建议使用EMS或顺丰邮寄。寄出后将：快递单号、项目名称、项目编号、供应商名称、联系方式等相关信息发送至电子邮箱，以便查收。双休日和法定节假日不收件，供应商人自行承担邮寄风险。</w:t>
            </w:r>
          </w:p>
        </w:tc>
      </w:tr>
      <w:tr w14:paraId="608FBD8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2A2B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（八）</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2566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报价</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56DE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1.报价应按采购文件要求的格式编制、填写报价内容（可自行增行），未按采购文件要求编制、填写的响应文件可能被拒绝；</w:t>
            </w:r>
          </w:p>
          <w:p w14:paraId="15A958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2.本次采购采用人民币报价；</w:t>
            </w:r>
          </w:p>
          <w:p w14:paraId="51A8E3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3.最后报价是履行合同的最终价格，有关本项目实施所涉及的一切费用均计入报价。总价不为零，分项报价中部分产品、服务单价为零的，视作已包含在总价中。</w:t>
            </w:r>
          </w:p>
          <w:p w14:paraId="09BDDB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▲4.采购人将以合同形式有偿取得货物、工程和服务，不接受供应商给予的赠品、回扣或者与采购无关的其他商品、服务。</w:t>
            </w:r>
          </w:p>
        </w:tc>
      </w:tr>
      <w:tr w14:paraId="08D9815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5EA9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（九）</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6F07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响应有效期</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1012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▲从提交响应文件的截止之日起90天。在原响应有效期满之前，如果出现特殊情况，采购人或采购代理机构以书面形式通知供应商延长响应有效期。</w:t>
            </w:r>
          </w:p>
        </w:tc>
      </w:tr>
      <w:tr w14:paraId="5841AC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E05C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83AD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信用记录</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666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根据财库[2016]125号《关于在政府采购活动中查询及使用信用记录有关问题的通知》要求，采购代理机构会对供应商信用记录进行查询并甄别，信用信息查询的截止时点：响应截止时间。</w:t>
            </w:r>
          </w:p>
          <w:p w14:paraId="2FEF80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（1）查询渠道：“信用中国”（www.creditchina.gov.cn）、“中国政府采购网”（www.ccgp.gov.cn）；</w:t>
            </w:r>
          </w:p>
          <w:p w14:paraId="38B303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（2）信用信息查询记录和证据留存具体方式：采购代理机构经办人和监督人员将查询网页打印、签名与其他采购文件一并保存；</w:t>
            </w:r>
          </w:p>
          <w:p w14:paraId="4627CE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（3）信用信息的使用规则：供应商被列入失信被执行人、重大税收违法案件当事人名单、政府采购严重违法失信行为记录名单的，拒绝其参与采购活动。</w:t>
            </w:r>
          </w:p>
          <w:p w14:paraId="15BF84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联合体信用信息查询：两个以上的自然人、法人或者其他组织组成一个联合体，以一个供应商的身份共同参加采购活动的，应当对所有联合体成员进行信用记录查询，联合体成员存在不良信用记录的，视同联合体存在不良信用记录。</w:t>
            </w:r>
          </w:p>
        </w:tc>
      </w:tr>
      <w:tr w14:paraId="600ABE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AE37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（十一）</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463B4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磋商</w:t>
            </w:r>
            <w:r>
              <w:rPr>
                <w:rFonts w:hint="eastAsia" w:ascii="宋体" w:hAnsi="宋体" w:eastAsia="宋体" w:cs="宋体"/>
                <w:b w:val="0"/>
                <w:bCs w:val="0"/>
                <w:color w:val="auto"/>
                <w:spacing w:val="0"/>
                <w:kern w:val="0"/>
                <w:sz w:val="21"/>
                <w:szCs w:val="21"/>
                <w:highlight w:val="none"/>
                <w:lang w:val="en-US" w:eastAsia="zh-CN" w:bidi="ar"/>
              </w:rPr>
              <w:t>说明</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E386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供应商的磋商内容或最后报价应当在规定时间内（不少于30分钟）通过指定的方式提交。供应商超过规定时间未提交磋商记录或最后报价的，视为退出磋商。</w:t>
            </w:r>
          </w:p>
        </w:tc>
      </w:tr>
      <w:tr w14:paraId="17481AC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97" w:hRule="atLeast"/>
        </w:trPr>
        <w:tc>
          <w:tcPr>
            <w:tcW w:w="112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3E4B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（十二）</w:t>
            </w:r>
          </w:p>
        </w:tc>
        <w:tc>
          <w:tcPr>
            <w:tcW w:w="168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A486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评审结果公示</w:t>
            </w:r>
          </w:p>
        </w:tc>
        <w:tc>
          <w:tcPr>
            <w:tcW w:w="660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07C7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评审结果公示媒体：浙江政府采购网（zfcg.czt.zj.gov.cn）</w:t>
            </w:r>
          </w:p>
        </w:tc>
      </w:tr>
    </w:tbl>
    <w:p w14:paraId="49144CBD">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供应商须知</w:t>
      </w:r>
    </w:p>
    <w:p w14:paraId="72C952FE">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一、总则</w:t>
      </w:r>
    </w:p>
    <w:p w14:paraId="43B1D4C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572C0E9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供应商应仔细阅读磋商文件的所有内容，按照磋商文件的要求提交响应文件，并对所提供的全部资料的真实性承担法律责任。</w:t>
      </w:r>
    </w:p>
    <w:p w14:paraId="7E9E885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（一）适用范围</w:t>
      </w:r>
    </w:p>
    <w:p w14:paraId="1A4C15C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本磋商文件适用于本项目的磋商、评审、成交、验收、合同履约、付款等（法律、法规另有规定的，从其规定）。</w:t>
      </w:r>
    </w:p>
    <w:p w14:paraId="1F5EA4A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（二）定义</w:t>
      </w:r>
    </w:p>
    <w:p w14:paraId="64169D7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1.“采购人”系指采购公告中载明的本项目的采购人；</w:t>
      </w:r>
    </w:p>
    <w:p w14:paraId="40E901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2.“采购代理机构”系指组织本次竞争性磋商的浙江求是招标代理有限公司；</w:t>
      </w:r>
    </w:p>
    <w:p w14:paraId="58BFAA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3.“供应商”系指响应磋商、参加竞争的法人、其他组织或者自然人；</w:t>
      </w:r>
    </w:p>
    <w:p w14:paraId="30B72F7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4.“书面形式”包括合同书、信件和数据电文(包括电报、电传、传真、电子数据交换和电子邮件)等可以有形地表现所载内容的形式；</w:t>
      </w:r>
    </w:p>
    <w:p w14:paraId="0A77841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电子加密响应文件”系指通过电子交易客户端（响应客户端）完成响应文件编制后生成并加密的数据电文形式的响应文件；“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p>
    <w:p w14:paraId="1267DEA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磋商文件对响应文件签署、盖章的要求适用于电子签名。</w:t>
      </w:r>
    </w:p>
    <w:p w14:paraId="1879A1F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6.“▲”系指实质性要求条款，供应商应当做出实质性响应。</w:t>
      </w:r>
    </w:p>
    <w:p w14:paraId="269661D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（三）采购方式</w:t>
      </w:r>
    </w:p>
    <w:p w14:paraId="46554EA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采购方式：详见【第三章  供应商须知  前附表】。</w:t>
      </w:r>
    </w:p>
    <w:p w14:paraId="20690368">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（四）磋商费用</w:t>
      </w:r>
    </w:p>
    <w:p w14:paraId="0ACCD56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磋商保证金：详见【第三章  供应商须知  前附表】。</w:t>
      </w:r>
    </w:p>
    <w:p w14:paraId="169006B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代理服务费：详见【第三章  供应商须知  前附表】。</w:t>
      </w:r>
    </w:p>
    <w:p w14:paraId="33C98937">
      <w:pPr>
        <w:keepNext w:val="0"/>
        <w:keepLines w:val="0"/>
        <w:widowControl/>
        <w:suppressLineNumbers w:val="0"/>
        <w:spacing w:line="288" w:lineRule="auto"/>
        <w:ind w:left="0" w:firstLine="42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（五）竞争性磋商委托</w:t>
      </w:r>
    </w:p>
    <w:p w14:paraId="6CCC4A0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7E25F01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（六）联合体响应</w:t>
      </w:r>
    </w:p>
    <w:p w14:paraId="6505142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详见【第三章  投标人须知  前附表】。</w:t>
      </w:r>
    </w:p>
    <w:p w14:paraId="16FDAFD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（七）转包与分包</w:t>
      </w:r>
    </w:p>
    <w:p w14:paraId="6CFF673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2D474DC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（八）质疑和投诉</w:t>
      </w:r>
    </w:p>
    <w:p w14:paraId="7BAE6D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认为采购文件、采购过程、中标或者成交结果使自己的权益受到损害的，可以在知道或者应知其权益受到损害之日起7个工作日内，以书面形式向采购人、采购代理机构提出质疑。采购人、采购代理机构在收到供应商的书面质疑后七个工作日内作出答复。</w:t>
      </w:r>
    </w:p>
    <w:p w14:paraId="2C40782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质疑供应商对采购人、采购代理机构的答复不满意，或者采购人、采购代理机构未在规定时间内作出答复的，可以在答复期满后15个工作日内向本级财政部门提起投诉。</w:t>
      </w:r>
    </w:p>
    <w:p w14:paraId="4B0E452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2.供应商提出质疑应当提交质疑函和必要的证明材料，质疑函范本、投诉书范本请到浙江政府采购网下载专区下载。质疑函应当包括下列内容：</w:t>
      </w:r>
    </w:p>
    <w:p w14:paraId="59B347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（1）供应商的姓名或者名称、地址、邮编、联系人及联系电话；</w:t>
      </w:r>
    </w:p>
    <w:p w14:paraId="5253F84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（2）质疑项目的名称、编号；</w:t>
      </w:r>
    </w:p>
    <w:p w14:paraId="466AB0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（3）具体、明确的质疑事项和与质疑事项相关的请求；</w:t>
      </w:r>
    </w:p>
    <w:p w14:paraId="7847945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（4）事实依据；</w:t>
      </w:r>
    </w:p>
    <w:p w14:paraId="36A842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（5）必要的法律依据；</w:t>
      </w:r>
    </w:p>
    <w:p w14:paraId="58CBF02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（6）提出质疑的日期。</w:t>
      </w:r>
    </w:p>
    <w:p w14:paraId="5443CA5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供应商为自然人的，应当由本人签名；供应商为法人或者其他组织的，应当由法定代表人、主要负责人，或者其授权代表签名或者盖章，并加盖公章。</w:t>
      </w:r>
    </w:p>
    <w:p w14:paraId="6C8F0AA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3.提出质疑的供应商应当是参与本项目磋商响应活动的供应商。</w:t>
      </w:r>
      <w:r>
        <w:rPr>
          <w:rFonts w:hint="eastAsia" w:ascii="宋体" w:hAnsi="宋体" w:eastAsia="宋体" w:cs="宋体"/>
          <w:b/>
          <w:bCs/>
          <w:color w:val="auto"/>
          <w:spacing w:val="0"/>
          <w:kern w:val="0"/>
          <w:sz w:val="21"/>
          <w:szCs w:val="21"/>
          <w:highlight w:val="none"/>
          <w:lang w:val="en-US" w:eastAsia="zh-CN" w:bidi="ar"/>
        </w:rPr>
        <w:t>供应商在法定质疑期内应一次性提出针对同一采购程序环节的质疑。</w:t>
      </w:r>
    </w:p>
    <w:p w14:paraId="0BC42DC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4.根据《政府采购质疑和投诉办法》第三十七条的规定，投诉人在全国范围12个月内三次以上投诉查无实据的，由财政部门列入不良行为记录名单。</w:t>
      </w:r>
    </w:p>
    <w:p w14:paraId="0901754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投诉人有下列行为之一的，属于虚假、恶意投诉，由财政部门列入不良行为记录名单，禁止其1至3年内参加政府采购活动：</w:t>
      </w:r>
    </w:p>
    <w:p w14:paraId="4C0F576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（1）捏造事实；</w:t>
      </w:r>
    </w:p>
    <w:p w14:paraId="4151583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（2）提供虚假材料；</w:t>
      </w:r>
    </w:p>
    <w:p w14:paraId="46907C0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（3）以非法手段取得证明材料。证据来源的合法性存在明显疑问，投诉人无法证明其取得方式合法的，视为以非法手段取得证明材料。</w:t>
      </w:r>
    </w:p>
    <w:p w14:paraId="6AAD5AE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（九）采购项目需要落实的政府采购政策</w:t>
      </w:r>
    </w:p>
    <w:p w14:paraId="6F76DA1B">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1.支持中小企业发展</w:t>
      </w:r>
    </w:p>
    <w:p w14:paraId="0DE44FFE">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1</w:t>
      </w:r>
      <w:r>
        <w:rPr>
          <w:rFonts w:hint="eastAsia" w:ascii="宋体" w:hAnsi="宋体" w:eastAsia="宋体" w:cs="宋体"/>
          <w:color w:val="auto"/>
          <w:spacing w:val="0"/>
          <w:kern w:val="0"/>
          <w:sz w:val="21"/>
          <w:szCs w:val="21"/>
          <w:highlight w:val="none"/>
          <w:lang w:val="en-US" w:eastAsia="zh-CN" w:bidi="ar"/>
        </w:rPr>
        <w:t>.1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DED4631">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1</w:t>
      </w:r>
      <w:r>
        <w:rPr>
          <w:rFonts w:hint="eastAsia" w:ascii="宋体" w:hAnsi="宋体" w:eastAsia="宋体" w:cs="宋体"/>
          <w:color w:val="auto"/>
          <w:spacing w:val="0"/>
          <w:kern w:val="0"/>
          <w:sz w:val="21"/>
          <w:szCs w:val="21"/>
          <w:highlight w:val="none"/>
          <w:lang w:val="en-US" w:eastAsia="zh-CN" w:bidi="ar"/>
        </w:rPr>
        <w:t>.2 在政府采购活动中，供应商提供的服务符合下列情形的，享受中小企业扶持政策：</w:t>
      </w:r>
    </w:p>
    <w:p w14:paraId="5DC21875">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在服务采购项目中，服务由中小企业承接，即提供服务的人员为中小企业依照《中华人民共和国劳动合同法》订立劳动合同的从业人员。</w:t>
      </w:r>
    </w:p>
    <w:p w14:paraId="53C9DF02">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1</w:t>
      </w:r>
      <w:r>
        <w:rPr>
          <w:rFonts w:hint="eastAsia" w:ascii="宋体" w:hAnsi="宋体" w:eastAsia="宋体" w:cs="宋体"/>
          <w:color w:val="auto"/>
          <w:spacing w:val="0"/>
          <w:kern w:val="0"/>
          <w:sz w:val="21"/>
          <w:szCs w:val="21"/>
          <w:highlight w:val="none"/>
          <w:lang w:val="en-US" w:eastAsia="zh-CN" w:bidi="ar"/>
        </w:rPr>
        <w:t>.3 对于联合体中由中小企业承担的部分，或者分包给中小企业的部分，必须全部由中小企业承接。</w:t>
      </w:r>
    </w:p>
    <w:p w14:paraId="77066A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中小企业享受扶持政策获得政府采购合同的，小微企业不得将合同分包给大中型企业，中型企业不得将合同分包给大型企业。</w:t>
      </w:r>
    </w:p>
    <w:p w14:paraId="01EA767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1</w:t>
      </w:r>
      <w:r>
        <w:rPr>
          <w:rFonts w:hint="eastAsia" w:ascii="宋体" w:hAnsi="宋体" w:eastAsia="宋体" w:cs="宋体"/>
          <w:color w:val="auto"/>
          <w:spacing w:val="0"/>
          <w:kern w:val="0"/>
          <w:sz w:val="21"/>
          <w:szCs w:val="21"/>
          <w:highlight w:val="none"/>
          <w:lang w:val="en-US" w:eastAsia="zh-CN" w:bidi="ar"/>
        </w:rPr>
        <w:t>.4 以联合体形式参加政府采购活动，联合体各方均为中小企业的，联合体视同中小企业。其中，联合体各方均为小微企业的，联合体视同小微企业。</w:t>
      </w:r>
    </w:p>
    <w:p w14:paraId="5B6A794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1</w:t>
      </w:r>
      <w:r>
        <w:rPr>
          <w:rFonts w:hint="eastAsia" w:ascii="宋体" w:hAnsi="宋体" w:eastAsia="宋体" w:cs="宋体"/>
          <w:color w:val="auto"/>
          <w:spacing w:val="0"/>
          <w:kern w:val="0"/>
          <w:sz w:val="21"/>
          <w:szCs w:val="21"/>
          <w:highlight w:val="none"/>
          <w:lang w:val="en-US" w:eastAsia="zh-CN" w:bidi="ar"/>
        </w:rPr>
        <w:t>.5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2AEB28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组成联合体或者接受分包合同的中小企业与联合体内其他企业、分包企业之间不得存在直接控股、管理关系。</w:t>
      </w:r>
    </w:p>
    <w:p w14:paraId="49D9909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专门面向中小企业采购的项目或者采购包，不再执行价格评审优惠的扶持政策。</w:t>
      </w:r>
    </w:p>
    <w:p w14:paraId="1FA5DCA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1</w:t>
      </w:r>
      <w:r>
        <w:rPr>
          <w:rFonts w:hint="eastAsia" w:ascii="宋体" w:hAnsi="宋体" w:eastAsia="宋体" w:cs="宋体"/>
          <w:color w:val="auto"/>
          <w:spacing w:val="0"/>
          <w:kern w:val="0"/>
          <w:sz w:val="21"/>
          <w:szCs w:val="21"/>
          <w:highlight w:val="none"/>
          <w:lang w:val="en-US" w:eastAsia="zh-CN" w:bidi="ar"/>
        </w:rPr>
        <w:t>.6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1C7BE09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1</w:t>
      </w:r>
      <w:r>
        <w:rPr>
          <w:rFonts w:hint="eastAsia" w:ascii="宋体" w:hAnsi="宋体" w:eastAsia="宋体" w:cs="宋体"/>
          <w:color w:val="auto"/>
          <w:spacing w:val="0"/>
          <w:kern w:val="0"/>
          <w:sz w:val="21"/>
          <w:szCs w:val="21"/>
          <w:highlight w:val="none"/>
          <w:lang w:val="en-US" w:eastAsia="zh-CN" w:bidi="ar"/>
        </w:rPr>
        <w:t>.7 中小企业参加政府采购活动，应当出具本办法规定的《中小企业声明函》，否则不得享受相关中小企业扶持政策。</w:t>
      </w:r>
    </w:p>
    <w:p w14:paraId="3193DE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《中小企业声明函》由参加政府采购活动的供应商出具。以联合体形式参加政府采购活动或者合同分包的，《中小企业声明函》中需填写联合体中的中小企业或签订分包意向协议的中小企业相关信息。</w:t>
      </w:r>
    </w:p>
    <w:p w14:paraId="32C7810B">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lang w:val="en-US" w:eastAsia="zh-CN" w:bidi="ar"/>
        </w:rPr>
        <w:t>1</w:t>
      </w:r>
      <w:r>
        <w:rPr>
          <w:rFonts w:hint="eastAsia" w:ascii="宋体" w:hAnsi="宋体" w:eastAsia="宋体" w:cs="宋体"/>
          <w:color w:val="auto"/>
          <w:spacing w:val="0"/>
          <w:kern w:val="0"/>
          <w:sz w:val="21"/>
          <w:szCs w:val="21"/>
          <w:highlight w:val="none"/>
          <w:lang w:val="en-US" w:eastAsia="zh-CN" w:bidi="ar"/>
        </w:rPr>
        <w:t>.8 供应商提供《中小企业声明函》内容不实的，属于提供虚假材料谋取中标、成交，依照《中华人民共和国政府采购法》等国家有关规定追究相应责任。</w:t>
      </w:r>
    </w:p>
    <w:p w14:paraId="353ECEFB">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cs="宋体"/>
          <w:color w:val="auto"/>
          <w:spacing w:val="0"/>
          <w:kern w:val="0"/>
          <w:sz w:val="21"/>
          <w:szCs w:val="21"/>
          <w:highlight w:val="none"/>
          <w:u w:val="single"/>
          <w:lang w:val="en-US" w:eastAsia="zh-CN" w:bidi="ar"/>
        </w:rPr>
        <w:t>1</w:t>
      </w:r>
      <w:r>
        <w:rPr>
          <w:rFonts w:hint="eastAsia" w:ascii="宋体" w:hAnsi="宋体" w:eastAsia="宋体" w:cs="宋体"/>
          <w:color w:val="auto"/>
          <w:spacing w:val="0"/>
          <w:kern w:val="0"/>
          <w:sz w:val="21"/>
          <w:szCs w:val="21"/>
          <w:highlight w:val="none"/>
          <w:u w:val="single"/>
          <w:lang w:val="en-US" w:eastAsia="zh-CN" w:bidi="ar"/>
        </w:rPr>
        <w:t>.9 《中小企业声明函》填写要求与认定标准详见【第二章  采购需求】。</w:t>
      </w:r>
    </w:p>
    <w:p w14:paraId="7401DD81">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spacing w:val="0"/>
          <w:kern w:val="0"/>
          <w:sz w:val="21"/>
          <w:szCs w:val="21"/>
          <w:highlight w:val="none"/>
          <w:lang w:val="en-US" w:eastAsia="zh-CN" w:bidi="ar"/>
        </w:rPr>
        <w:t>2</w:t>
      </w:r>
      <w:r>
        <w:rPr>
          <w:rFonts w:hint="eastAsia" w:ascii="宋体" w:hAnsi="宋体" w:eastAsia="宋体" w:cs="宋体"/>
          <w:b/>
          <w:bCs/>
          <w:color w:val="auto"/>
          <w:spacing w:val="0"/>
          <w:kern w:val="0"/>
          <w:sz w:val="21"/>
          <w:szCs w:val="21"/>
          <w:highlight w:val="none"/>
          <w:lang w:val="en-US" w:eastAsia="zh-CN" w:bidi="ar"/>
        </w:rPr>
        <w:t>.支持监狱企业发展</w:t>
      </w:r>
    </w:p>
    <w:p w14:paraId="431B64D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31707F3B">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color w:val="auto"/>
          <w:spacing w:val="0"/>
          <w:kern w:val="0"/>
          <w:sz w:val="21"/>
          <w:szCs w:val="21"/>
          <w:highlight w:val="none"/>
          <w:lang w:val="en-US" w:eastAsia="zh-CN" w:bidi="ar"/>
        </w:rPr>
        <w:t>3</w:t>
      </w:r>
      <w:r>
        <w:rPr>
          <w:rFonts w:hint="eastAsia" w:ascii="宋体" w:hAnsi="宋体" w:eastAsia="宋体" w:cs="宋体"/>
          <w:b/>
          <w:bCs/>
          <w:color w:val="auto"/>
          <w:spacing w:val="0"/>
          <w:kern w:val="0"/>
          <w:sz w:val="21"/>
          <w:szCs w:val="21"/>
          <w:highlight w:val="none"/>
          <w:lang w:val="en-US" w:eastAsia="zh-CN" w:bidi="ar"/>
        </w:rPr>
        <w:t>.促进残疾人就业</w:t>
      </w:r>
    </w:p>
    <w:p w14:paraId="51B5263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符合《关于促进残疾人就业政府采购政策的通知》（财库[2017]141号）规定的条件并提供《残疾人福利性单位声明函》的残疾人福利性单位视同小型、微型企业。</w:t>
      </w:r>
    </w:p>
    <w:p w14:paraId="5F3EA6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6A3AF3AF">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二、电子交易活动</w:t>
      </w:r>
    </w:p>
    <w:p w14:paraId="3D51FA0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（一）</w:t>
      </w:r>
      <w:r>
        <w:rPr>
          <w:rFonts w:hint="eastAsia" w:ascii="宋体" w:hAnsi="宋体" w:eastAsia="宋体" w:cs="宋体"/>
          <w:b/>
          <w:bCs/>
          <w:i w:val="0"/>
          <w:iCs w:val="0"/>
          <w:color w:val="auto"/>
          <w:spacing w:val="0"/>
          <w:kern w:val="0"/>
          <w:sz w:val="21"/>
          <w:szCs w:val="21"/>
          <w:highlight w:val="none"/>
          <w:lang w:val="en-US" w:eastAsia="zh-CN" w:bidi="ar"/>
        </w:rPr>
        <w:t>采购邀请</w:t>
      </w:r>
    </w:p>
    <w:p w14:paraId="75527A5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本项目采用发布公告方式邀请供应商，同时上传磋商文件至电子交易平台，供社会公众查阅和潜在供应商获取。</w:t>
      </w:r>
    </w:p>
    <w:p w14:paraId="435819D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（二）</w:t>
      </w:r>
      <w:r>
        <w:rPr>
          <w:rFonts w:hint="eastAsia" w:ascii="宋体" w:hAnsi="宋体" w:eastAsia="宋体" w:cs="宋体"/>
          <w:b/>
          <w:bCs/>
          <w:i w:val="0"/>
          <w:iCs w:val="0"/>
          <w:color w:val="auto"/>
          <w:spacing w:val="0"/>
          <w:kern w:val="0"/>
          <w:sz w:val="21"/>
          <w:szCs w:val="21"/>
          <w:highlight w:val="none"/>
          <w:lang w:val="en-US" w:eastAsia="zh-CN" w:bidi="ar"/>
        </w:rPr>
        <w:t>澄清或修改</w:t>
      </w:r>
    </w:p>
    <w:p w14:paraId="5AA5ACA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采购组织机构对磋商文件进行澄清或修改的，以公告形式发布，并通过电子交易平台通知已获取磋商文件的潜在供应商，供应商应及时关注公告信息及电子交易平台发出的通知消息。</w:t>
      </w:r>
    </w:p>
    <w:p w14:paraId="33CA0427">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（三）</w:t>
      </w:r>
      <w:r>
        <w:rPr>
          <w:rFonts w:hint="eastAsia" w:ascii="宋体" w:hAnsi="宋体" w:eastAsia="宋体" w:cs="宋体"/>
          <w:b/>
          <w:bCs/>
          <w:i w:val="0"/>
          <w:iCs w:val="0"/>
          <w:color w:val="auto"/>
          <w:spacing w:val="0"/>
          <w:kern w:val="0"/>
          <w:sz w:val="21"/>
          <w:szCs w:val="21"/>
          <w:highlight w:val="none"/>
          <w:lang w:val="en-US" w:eastAsia="zh-CN" w:bidi="ar"/>
        </w:rPr>
        <w:t>供应商响应</w:t>
      </w:r>
    </w:p>
    <w:p w14:paraId="1B37DCD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潜在供应商获取磋商文件前应当在电子交易平台上注册账号并登录。注册及客户端操作详见电子交易平台相关介绍。</w:t>
      </w:r>
    </w:p>
    <w:p w14:paraId="0073CEC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供应商进行电子交易应安装客户端软件，并按照磋商文件和电子交易平台的要求编制并加密响应文件。供应商未按规定加密的响应文件，电子交易平台将拒收并提示。</w:t>
      </w:r>
    </w:p>
    <w:p w14:paraId="7880D28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应当在响应截止时间前完成响应文件的传输递交，并可以补充、修改或者撤回响应文件。补充或者修改响应文件的，应当先行撤回原文件，补充、修改后重新传输递交。响应截止时间前未完成传输的，视为撤回响应文件。响应截止时间后递交的响应文件，电子交易平台将拒收。</w:t>
      </w:r>
    </w:p>
    <w:p w14:paraId="108FC62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电子交易平台收到响应文件，向供应商发出确认回执通知。在响应截止时间前，除供应商补充、修改或者撤回响应文件外，任何单位和个人不得解密或提取响应文件。</w:t>
      </w:r>
    </w:p>
    <w:p w14:paraId="402BEA7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供应商在电子交易平台传输递交响应文件后，还可以在响应截止时间前提交以介质存储的数据电文形式的备份响应文件，采购组织机构不强制要求供应商提交备份响应文件。</w:t>
      </w:r>
    </w:p>
    <w:p w14:paraId="79C89C8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提交备份响应文件应按电子交易平台设定制作、下载。</w:t>
      </w:r>
    </w:p>
    <w:p w14:paraId="6F27A87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▲供应商仅提交备份响应文件但未按要求在电子交易平台传输递交响应文件的，响应将被拒绝。</w:t>
      </w:r>
    </w:p>
    <w:p w14:paraId="3E6BBCC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（四）</w:t>
      </w:r>
      <w:r>
        <w:rPr>
          <w:rFonts w:hint="eastAsia" w:ascii="宋体" w:hAnsi="宋体" w:eastAsia="宋体" w:cs="宋体"/>
          <w:b/>
          <w:bCs/>
          <w:i w:val="0"/>
          <w:iCs w:val="0"/>
          <w:color w:val="auto"/>
          <w:spacing w:val="0"/>
          <w:kern w:val="0"/>
          <w:sz w:val="21"/>
          <w:szCs w:val="21"/>
          <w:highlight w:val="none"/>
          <w:lang w:val="en-US" w:eastAsia="zh-CN" w:bidi="ar"/>
        </w:rPr>
        <w:t>线上开标</w:t>
      </w:r>
    </w:p>
    <w:p w14:paraId="0ED6FE7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按照磋商文件规定的时间通过电子交易平台组织开标、开启响应文件，所有供应商均应当准时在线参加。供应商未在线参加开标、开启响应文件的，视同认可开标、开启结果。供应商在评标结束前离线的，存在对评标过程中发出的澄清、说明或者补正未按时回复的风险。</w:t>
      </w:r>
    </w:p>
    <w:p w14:paraId="2B21344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开标、开启响应文件时，电子交易平台自动提取所有响应文件，提示采购组织机构和供应商按磋商文件规定的方式和时间在线解密。给予供应商在线解密的时间由磋商文件规定，但不少于30分钟。</w:t>
      </w:r>
    </w:p>
    <w:p w14:paraId="7D754E0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特别提示：响应文件未按时解密，供应商提供了备份响应文件的，以备份响应文件作为依据，否则视为响应文件撤回。响应文件已按时解密的，备份响应文件自动失效。</w:t>
      </w:r>
    </w:p>
    <w:p w14:paraId="27C5C61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采购组织机构对开标、开启响应文件和评审现场进行全程录音录像并存档。</w:t>
      </w:r>
    </w:p>
    <w:p w14:paraId="4BDE769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（五）</w:t>
      </w:r>
      <w:r>
        <w:rPr>
          <w:rFonts w:hint="eastAsia" w:ascii="宋体" w:hAnsi="宋体" w:eastAsia="宋体" w:cs="宋体"/>
          <w:b/>
          <w:bCs/>
          <w:i w:val="0"/>
          <w:iCs w:val="0"/>
          <w:color w:val="auto"/>
          <w:spacing w:val="0"/>
          <w:kern w:val="0"/>
          <w:sz w:val="21"/>
          <w:szCs w:val="21"/>
          <w:highlight w:val="none"/>
          <w:lang w:val="en-US" w:eastAsia="zh-CN" w:bidi="ar"/>
        </w:rPr>
        <w:t>评审与数据交换</w:t>
      </w:r>
    </w:p>
    <w:p w14:paraId="4FF9381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审中需要供应商对响应文件作出澄清、说明或者补正的，评标委员会和供应商应当通过电子交易平台交换数据电文。给予供应商提交澄清说明或补正的时间不少于30分钟，供应商已经明确表示澄清说明或补正完毕的除外。供应商未按规定时间回复澄清、说明或者补正的，视为拒绝澄清、说明或者补正。</w:t>
      </w:r>
    </w:p>
    <w:p w14:paraId="5F9F08B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评标委员会完成评审后，通过电子交易平台向采购组织机构提交评标报告。</w:t>
      </w:r>
    </w:p>
    <w:p w14:paraId="2DBDA86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采购人通过电子交易平台确认成交候选供应商。</w:t>
      </w:r>
    </w:p>
    <w:p w14:paraId="7ECA5ED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b/>
          <w:bCs/>
          <w:i w:val="0"/>
          <w:iCs w:val="0"/>
          <w:color w:val="auto"/>
          <w:spacing w:val="0"/>
          <w:kern w:val="0"/>
          <w:sz w:val="21"/>
          <w:szCs w:val="21"/>
          <w:highlight w:val="none"/>
          <w:lang w:val="en-US" w:eastAsia="zh-CN" w:bidi="ar"/>
        </w:rPr>
        <w:t>（六）</w:t>
      </w:r>
      <w:r>
        <w:rPr>
          <w:rFonts w:hint="eastAsia" w:ascii="宋体" w:hAnsi="宋体" w:eastAsia="宋体" w:cs="宋体"/>
          <w:b/>
          <w:bCs/>
          <w:i w:val="0"/>
          <w:iCs w:val="0"/>
          <w:color w:val="auto"/>
          <w:spacing w:val="0"/>
          <w:kern w:val="0"/>
          <w:sz w:val="21"/>
          <w:szCs w:val="21"/>
          <w:highlight w:val="none"/>
          <w:lang w:val="en-US" w:eastAsia="zh-CN" w:bidi="ar"/>
        </w:rPr>
        <w:t>交易中止</w:t>
      </w:r>
    </w:p>
    <w:p w14:paraId="10735A0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采购过程中出现以下情形，导致电子交易平台无法正常运行，或者无法保证电子交易的公平、公正和安全时，采购组织机构可中止电子交易活动：</w:t>
      </w:r>
    </w:p>
    <w:p w14:paraId="221BF8D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1.</w:t>
      </w:r>
      <w:r>
        <w:rPr>
          <w:rFonts w:hint="eastAsia" w:ascii="宋体" w:hAnsi="宋体" w:eastAsia="宋体" w:cs="宋体"/>
          <w:i w:val="0"/>
          <w:iCs w:val="0"/>
          <w:color w:val="auto"/>
          <w:spacing w:val="0"/>
          <w:kern w:val="0"/>
          <w:sz w:val="21"/>
          <w:szCs w:val="21"/>
          <w:highlight w:val="none"/>
          <w:lang w:val="en-US" w:eastAsia="zh-CN" w:bidi="ar"/>
        </w:rPr>
        <w:t>电子交易平台发生故障而无法登录访问的；</w:t>
      </w:r>
    </w:p>
    <w:p w14:paraId="2947AEA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2.</w:t>
      </w:r>
      <w:r>
        <w:rPr>
          <w:rFonts w:hint="eastAsia" w:ascii="宋体" w:hAnsi="宋体" w:eastAsia="宋体" w:cs="宋体"/>
          <w:i w:val="0"/>
          <w:iCs w:val="0"/>
          <w:color w:val="auto"/>
          <w:spacing w:val="0"/>
          <w:kern w:val="0"/>
          <w:sz w:val="21"/>
          <w:szCs w:val="21"/>
          <w:highlight w:val="none"/>
          <w:lang w:val="en-US" w:eastAsia="zh-CN" w:bidi="ar"/>
        </w:rPr>
        <w:t>电子交易平台应用或数据库出现错误，不能进行正常操作的；</w:t>
      </w:r>
    </w:p>
    <w:p w14:paraId="273A90A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3.</w:t>
      </w:r>
      <w:r>
        <w:rPr>
          <w:rFonts w:hint="eastAsia" w:ascii="宋体" w:hAnsi="宋体" w:eastAsia="宋体" w:cs="宋体"/>
          <w:i w:val="0"/>
          <w:iCs w:val="0"/>
          <w:color w:val="auto"/>
          <w:spacing w:val="0"/>
          <w:kern w:val="0"/>
          <w:sz w:val="21"/>
          <w:szCs w:val="21"/>
          <w:highlight w:val="none"/>
          <w:lang w:val="en-US" w:eastAsia="zh-CN" w:bidi="ar"/>
        </w:rPr>
        <w:t>电子交易平台发现严重安全漏洞，有潜在泄密危险的；</w:t>
      </w:r>
    </w:p>
    <w:p w14:paraId="1875A00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4.</w:t>
      </w:r>
      <w:r>
        <w:rPr>
          <w:rFonts w:hint="eastAsia" w:ascii="宋体" w:hAnsi="宋体" w:eastAsia="宋体" w:cs="宋体"/>
          <w:i w:val="0"/>
          <w:iCs w:val="0"/>
          <w:color w:val="auto"/>
          <w:spacing w:val="0"/>
          <w:kern w:val="0"/>
          <w:sz w:val="21"/>
          <w:szCs w:val="21"/>
          <w:highlight w:val="none"/>
          <w:lang w:val="en-US" w:eastAsia="zh-CN" w:bidi="ar"/>
        </w:rPr>
        <w:t>病毒发作导致不能进行正常操作的；</w:t>
      </w:r>
    </w:p>
    <w:p w14:paraId="5EFA6A8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cs="宋体"/>
          <w:i w:val="0"/>
          <w:iCs w:val="0"/>
          <w:color w:val="auto"/>
          <w:spacing w:val="0"/>
          <w:kern w:val="0"/>
          <w:sz w:val="21"/>
          <w:szCs w:val="21"/>
          <w:highlight w:val="none"/>
          <w:lang w:val="en-US" w:eastAsia="zh-CN" w:bidi="ar"/>
        </w:rPr>
        <w:t>5.</w:t>
      </w:r>
      <w:r>
        <w:rPr>
          <w:rFonts w:hint="eastAsia" w:ascii="宋体" w:hAnsi="宋体" w:eastAsia="宋体" w:cs="宋体"/>
          <w:i w:val="0"/>
          <w:iCs w:val="0"/>
          <w:color w:val="auto"/>
          <w:spacing w:val="0"/>
          <w:kern w:val="0"/>
          <w:sz w:val="21"/>
          <w:szCs w:val="21"/>
          <w:highlight w:val="none"/>
          <w:lang w:val="en-US" w:eastAsia="zh-CN" w:bidi="ar"/>
        </w:rPr>
        <w:t>其他无法保证电子交易的公平、公正和安全的情况。</w:t>
      </w:r>
    </w:p>
    <w:p w14:paraId="0864533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spacing w:val="0"/>
          <w:kern w:val="0"/>
          <w:sz w:val="21"/>
          <w:szCs w:val="21"/>
          <w:highlight w:val="none"/>
          <w:lang w:val="en-US" w:eastAsia="zh-CN" w:bidi="ar"/>
        </w:rPr>
        <w:t>出现前款规定情形，不影响采购公平、公正性的，采购组织机构可以待上述情形消除后继续组织电子交易活动，也可以决定某些环节以纸质形式进行；影响或可能影响采购公平、公正性的，应当重新采购。</w:t>
      </w:r>
    </w:p>
    <w:p w14:paraId="407C219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E88F23C">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三、磋商文件</w:t>
      </w:r>
    </w:p>
    <w:p w14:paraId="62A4B39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（一）磋商文件的构成</w:t>
      </w:r>
    </w:p>
    <w:p w14:paraId="7BE22FA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本磋商文件由以下部分组成：</w:t>
      </w:r>
    </w:p>
    <w:p w14:paraId="59B371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1.采购邀请</w:t>
      </w:r>
    </w:p>
    <w:p w14:paraId="038B959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2.采购需求</w:t>
      </w:r>
    </w:p>
    <w:p w14:paraId="22074E1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3.供应商须知</w:t>
      </w:r>
    </w:p>
    <w:p w14:paraId="665E56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4.评审方法和评审标准</w:t>
      </w:r>
    </w:p>
    <w:p w14:paraId="3158091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5.拟签订的合同文本</w:t>
      </w:r>
    </w:p>
    <w:p w14:paraId="16D858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6.响应文件格式</w:t>
      </w:r>
    </w:p>
    <w:p w14:paraId="4A9CFAA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7.本项目磋商文件的澄清、答复、修改、补充的内容</w:t>
      </w:r>
    </w:p>
    <w:p w14:paraId="1C33225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（二）供应商的风险</w:t>
      </w:r>
    </w:p>
    <w:p w14:paraId="59A3895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供应商没有按照磋商文件要求提供全部资料，或者供应商没有对磋商文件在各方面作出实质性响应是供应商的风险，并可能导致其响应被拒绝。</w:t>
      </w:r>
    </w:p>
    <w:p w14:paraId="73EE97F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（三）磋商文件的澄清与修改</w:t>
      </w:r>
    </w:p>
    <w:p w14:paraId="0F4CCDD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1.提交首次响应文件截止之日前，采购人、采购代理机构可以对已发出的磋商文件进行必要的澄清或者修改，澄清或者修改的内容作为磋商文件的组成部分。</w:t>
      </w:r>
    </w:p>
    <w:p w14:paraId="6A0F8E1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7AD7E7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211EA91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3.磋商文件澄清、答复、修改、补充的内容为磋商文件的组成部分。当磋商文件与磋商文件的答复、澄清、修改、补充通知就同一内容的表述不一致时，以最后发出的书面形式文件为准。</w:t>
      </w:r>
    </w:p>
    <w:p w14:paraId="1658FE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4.磋商文件的澄清、答复、修改或补充都应该通过本采购代理机构以法定形式发布，采购人非通过本机构，不得擅自澄清、答复、修改或补充磋商文件。</w:t>
      </w:r>
    </w:p>
    <w:p w14:paraId="66A63F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76D6347B">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四、响应文件的编制</w:t>
      </w:r>
    </w:p>
    <w:p w14:paraId="13772A44">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（一）响应文件的组成</w:t>
      </w:r>
    </w:p>
    <w:p w14:paraId="046D8B8F">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响应文件组成：详见【第六章  响应文件格式】。</w:t>
      </w:r>
    </w:p>
    <w:p w14:paraId="36692806">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（二）响应文件的编制</w:t>
      </w:r>
    </w:p>
    <w:p w14:paraId="3445D581">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供应商应按照磋商文件和电子交易平台的要求，根据响应文件的组成规定的内容及顺序通过电子交易客户端（投标客户端）编制加密响应文件，响应文件内容不完整、编排混乱导致响应文件被误读、漏读或者查找不到相关内容的，是供应商的责任。</w:t>
      </w:r>
    </w:p>
    <w:p w14:paraId="2433D74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2.响应文件须由供应商在规定位置加盖公章，供应商应写全称。</w:t>
      </w:r>
    </w:p>
    <w:p w14:paraId="3B94E468">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3.响应文件不得涂改，若有修改错漏处，须由供应商加盖公章，或者由供应商代表签名。响应文件因字迹潦草或表达不清所引起的后果由供应商承担。</w:t>
      </w:r>
    </w:p>
    <w:p w14:paraId="09B2F38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（三）响应文件提交</w:t>
      </w:r>
    </w:p>
    <w:p w14:paraId="33545F04">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1.供应商应当在磋商文件要求在响应文件提交截止时间前，将“电子加密响应文件”各部分</w:t>
      </w:r>
      <w:r>
        <w:rPr>
          <w:rFonts w:hint="eastAsia" w:ascii="宋体" w:hAnsi="宋体" w:eastAsia="宋体" w:cs="宋体"/>
          <w:b/>
          <w:bCs/>
          <w:color w:val="auto"/>
          <w:spacing w:val="0"/>
          <w:kern w:val="0"/>
          <w:sz w:val="21"/>
          <w:szCs w:val="21"/>
          <w:highlight w:val="none"/>
          <w:lang w:val="en-US" w:eastAsia="zh-CN" w:bidi="ar"/>
        </w:rPr>
        <w:t>分别上传</w:t>
      </w:r>
      <w:r>
        <w:rPr>
          <w:rFonts w:hint="eastAsia" w:ascii="宋体" w:hAnsi="宋体" w:eastAsia="宋体" w:cs="宋体"/>
          <w:color w:val="auto"/>
          <w:spacing w:val="0"/>
          <w:kern w:val="0"/>
          <w:sz w:val="21"/>
          <w:szCs w:val="21"/>
          <w:highlight w:val="none"/>
          <w:lang w:val="en-US" w:eastAsia="zh-CN" w:bidi="ar"/>
        </w:rPr>
        <w:t>至电子交易平台指定位置。</w:t>
      </w:r>
    </w:p>
    <w:p w14:paraId="6D5C56E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备份响应文件：</w:t>
      </w:r>
      <w:r>
        <w:rPr>
          <w:rFonts w:hint="eastAsia" w:ascii="宋体" w:hAnsi="宋体" w:eastAsia="宋体" w:cs="宋体"/>
          <w:i w:val="0"/>
          <w:iCs w:val="0"/>
          <w:caps w:val="0"/>
          <w:color w:val="auto"/>
          <w:spacing w:val="0"/>
          <w:kern w:val="0"/>
          <w:sz w:val="21"/>
          <w:szCs w:val="21"/>
          <w:highlight w:val="none"/>
          <w:lang w:val="en-US" w:eastAsia="zh-CN" w:bidi="ar"/>
        </w:rPr>
        <w:t>供应商可自行决定是否提交备份响应文件。提交备份响应文件的，应在响应文件提交截止时间前，密封提交给本项目采购组织机构。存储方式：移动存储介质（如：U盘等）。密封包装应标明：</w:t>
      </w:r>
      <w:r>
        <w:rPr>
          <w:rFonts w:hint="eastAsia" w:ascii="宋体" w:hAnsi="宋体" w:eastAsia="宋体" w:cs="宋体"/>
          <w:b w:val="0"/>
          <w:bCs w:val="0"/>
          <w:i w:val="0"/>
          <w:iCs w:val="0"/>
          <w:caps w:val="0"/>
          <w:color w:val="auto"/>
          <w:spacing w:val="0"/>
          <w:kern w:val="0"/>
          <w:sz w:val="21"/>
          <w:szCs w:val="21"/>
          <w:highlight w:val="none"/>
          <w:lang w:val="en-US" w:eastAsia="zh-CN" w:bidi="ar"/>
        </w:rPr>
        <w:t>项目名称、项目编号、标项、供应商名称</w:t>
      </w:r>
      <w:r>
        <w:rPr>
          <w:rFonts w:hint="eastAsia" w:ascii="宋体" w:hAnsi="宋体" w:eastAsia="宋体" w:cs="宋体"/>
          <w:color w:val="auto"/>
          <w:spacing w:val="0"/>
          <w:kern w:val="0"/>
          <w:sz w:val="21"/>
          <w:szCs w:val="21"/>
          <w:highlight w:val="none"/>
          <w:lang w:val="en-US" w:eastAsia="zh-CN" w:bidi="ar"/>
        </w:rPr>
        <w:t>并加盖公章。</w:t>
      </w:r>
    </w:p>
    <w:p w14:paraId="2ED6A5E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2.</w:t>
      </w:r>
      <w:r>
        <w:rPr>
          <w:rFonts w:hint="eastAsia" w:ascii="宋体" w:hAnsi="宋体" w:eastAsia="宋体" w:cs="宋体"/>
          <w:color w:val="auto"/>
          <w:spacing w:val="0"/>
          <w:kern w:val="0"/>
          <w:sz w:val="21"/>
          <w:szCs w:val="21"/>
          <w:highlight w:val="none"/>
          <w:u w:val="single"/>
          <w:lang w:val="en-US" w:eastAsia="zh-CN" w:bidi="ar"/>
        </w:rPr>
        <w:t>供应商</w:t>
      </w:r>
      <w:r>
        <w:rPr>
          <w:rFonts w:hint="eastAsia" w:ascii="宋体" w:hAnsi="宋体" w:eastAsia="宋体" w:cs="宋体"/>
          <w:b/>
          <w:bCs/>
          <w:color w:val="auto"/>
          <w:spacing w:val="0"/>
          <w:kern w:val="0"/>
          <w:sz w:val="21"/>
          <w:szCs w:val="21"/>
          <w:highlight w:val="none"/>
          <w:u w:val="single"/>
          <w:lang w:val="en-US" w:eastAsia="zh-CN" w:bidi="ar"/>
        </w:rPr>
        <w:t>可以</w:t>
      </w:r>
      <w:r>
        <w:rPr>
          <w:rFonts w:hint="eastAsia" w:ascii="宋体" w:hAnsi="宋体" w:eastAsia="宋体" w:cs="宋体"/>
          <w:color w:val="auto"/>
          <w:spacing w:val="0"/>
          <w:kern w:val="0"/>
          <w:sz w:val="21"/>
          <w:szCs w:val="21"/>
          <w:highlight w:val="none"/>
          <w:u w:val="single"/>
          <w:lang w:val="en-US" w:eastAsia="zh-CN" w:bidi="ar"/>
        </w:rPr>
        <w:t>通过邮寄的方式提交备份响应文件</w:t>
      </w:r>
      <w:r>
        <w:rPr>
          <w:rFonts w:hint="eastAsia" w:ascii="宋体" w:hAnsi="宋体" w:eastAsia="宋体" w:cs="宋体"/>
          <w:color w:val="auto"/>
          <w:spacing w:val="0"/>
          <w:kern w:val="0"/>
          <w:sz w:val="21"/>
          <w:szCs w:val="21"/>
          <w:highlight w:val="none"/>
          <w:lang w:val="en-US" w:eastAsia="zh-CN" w:bidi="ar"/>
        </w:rPr>
        <w:t>。供应商应考虑物流等相关因素，合理计划邮寄时间，尽量在开标截止时间前一个工作日前送到指定地点。在响应文件提交截止时间后送达的，将被视为“逾期送达”，采购组织机构将予以拒收。</w:t>
      </w:r>
    </w:p>
    <w:p w14:paraId="1BCFC68A">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3.备份响应文件邮寄信息：详见【第三章  供应商须知  前附表】。</w:t>
      </w:r>
    </w:p>
    <w:p w14:paraId="7051ADDB">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4.备份响应文件未按要求密封或标记导致被误投或提前泄露，</w:t>
      </w:r>
      <w:r>
        <w:rPr>
          <w:rFonts w:hint="eastAsia" w:ascii="宋体" w:hAnsi="宋体" w:eastAsia="宋体" w:cs="宋体"/>
          <w:b w:val="0"/>
          <w:bCs w:val="0"/>
          <w:color w:val="auto"/>
          <w:spacing w:val="0"/>
          <w:kern w:val="0"/>
          <w:sz w:val="21"/>
          <w:szCs w:val="21"/>
          <w:highlight w:val="none"/>
          <w:lang w:val="en-US" w:eastAsia="zh-CN" w:bidi="ar"/>
        </w:rPr>
        <w:t>供应商自行承担相关责任。</w:t>
      </w:r>
    </w:p>
    <w:p w14:paraId="7CBB514C">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（四）响应文件的修改和撤回</w:t>
      </w:r>
    </w:p>
    <w:p w14:paraId="5181DA49">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kern w:val="0"/>
          <w:sz w:val="21"/>
          <w:szCs w:val="21"/>
          <w:highlight w:val="none"/>
          <w:lang w:val="en-US" w:eastAsia="zh-CN" w:bidi="ar"/>
        </w:rPr>
        <w:t>响应文件的修改和撤回详见</w:t>
      </w:r>
      <w:r>
        <w:rPr>
          <w:rFonts w:hint="eastAsia" w:ascii="宋体" w:hAnsi="宋体" w:eastAsia="宋体" w:cs="宋体"/>
          <w:color w:val="auto"/>
          <w:spacing w:val="0"/>
          <w:kern w:val="0"/>
          <w:sz w:val="21"/>
          <w:szCs w:val="21"/>
          <w:highlight w:val="none"/>
          <w:lang w:val="en-US" w:eastAsia="zh-CN" w:bidi="ar"/>
        </w:rPr>
        <w:t xml:space="preserve">【第三章  供应商须知  </w:t>
      </w:r>
      <w:r>
        <w:rPr>
          <w:rFonts w:hint="eastAsia" w:ascii="宋体" w:hAnsi="宋体" w:eastAsia="宋体" w:cs="宋体"/>
          <w:b w:val="0"/>
          <w:bCs w:val="0"/>
          <w:color w:val="auto"/>
          <w:spacing w:val="0"/>
          <w:kern w:val="0"/>
          <w:sz w:val="21"/>
          <w:szCs w:val="21"/>
          <w:highlight w:val="none"/>
          <w:lang w:val="en-US" w:eastAsia="zh-CN" w:bidi="ar"/>
        </w:rPr>
        <w:t>二、电子交易活动</w:t>
      </w:r>
      <w:r>
        <w:rPr>
          <w:rFonts w:hint="eastAsia" w:ascii="宋体" w:hAnsi="宋体" w:eastAsia="宋体" w:cs="宋体"/>
          <w:color w:val="auto"/>
          <w:spacing w:val="0"/>
          <w:kern w:val="0"/>
          <w:sz w:val="21"/>
          <w:szCs w:val="21"/>
          <w:highlight w:val="none"/>
          <w:lang w:val="en-US" w:eastAsia="zh-CN" w:bidi="ar"/>
        </w:rPr>
        <w:t>】。</w:t>
      </w:r>
    </w:p>
    <w:p w14:paraId="5ADE45E8">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（五）响应文件的语言及计量</w:t>
      </w:r>
    </w:p>
    <w:p w14:paraId="4B146F2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响应文件以及供应商与采购人或采购代理机构就有关磋商事宜的所有来往函电，均应以中文汉语书写。除签名、盖章、专用名称等特殊情形外，以中文汉语以外的文字表述的响应文件视同未提供（有中文汉语说明的除外）。</w:t>
      </w:r>
    </w:p>
    <w:p w14:paraId="579B4937">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（六）响应报价</w:t>
      </w:r>
    </w:p>
    <w:p w14:paraId="2A29D6D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0DB7B732">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kern w:val="0"/>
          <w:sz w:val="21"/>
          <w:szCs w:val="21"/>
          <w:highlight w:val="none"/>
          <w:lang w:val="en-US" w:eastAsia="zh-CN" w:bidi="ar"/>
        </w:rPr>
        <w:t>（七）响应有效期</w:t>
      </w:r>
    </w:p>
    <w:p w14:paraId="6FDDFC5D">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7D15035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0F5632C1">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五、响应无效的情形</w:t>
      </w:r>
    </w:p>
    <w:p w14:paraId="5AF27DC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u w:val="single"/>
          <w:lang w:val="en-US" w:eastAsia="zh-CN" w:bidi="ar"/>
        </w:rPr>
        <w:t>详见【第四章  评审方法和评审标准】。</w:t>
      </w:r>
    </w:p>
    <w:p w14:paraId="24583E0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77629274">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六、响应文件开启</w:t>
      </w:r>
    </w:p>
    <w:p w14:paraId="58D269F6">
      <w:pPr>
        <w:keepNext w:val="0"/>
        <w:keepLines w:val="0"/>
        <w:widowControl/>
        <w:suppressLineNumbers w:val="0"/>
        <w:autoSpaceDE w:val="0"/>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采购代理机构按照磋商文件规定的时间通过电子交易平台组织开启，所有供应商均应当准时在线参加。供应商不足3家的，不得开启。</w:t>
      </w:r>
    </w:p>
    <w:p w14:paraId="13263DE5">
      <w:pPr>
        <w:keepNext w:val="0"/>
        <w:keepLines w:val="0"/>
        <w:widowControl/>
        <w:suppressLineNumbers w:val="0"/>
        <w:autoSpaceDE w:val="0"/>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开启时，电子交易平台按开启时间自动提取所有响应文件。采购人或代理机构依托电子交易平台发起开始解密指令，供应商按照平台提示和磋商文件的规定在半小时内完成在线解密。</w:t>
      </w:r>
    </w:p>
    <w:p w14:paraId="7AF492B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响应文件未按时解密，供应商提供了备份响应文件的，以备份响应文件作为依据，否则视为响应文件撤回。响应文件已按时解密的，备份响应文件自动失效。</w:t>
      </w:r>
    </w:p>
    <w:p w14:paraId="5909030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488656C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特别说明：如遇电子交易平台电子化开启或评审程序调整的，按调整后程序执行。</w:t>
      </w:r>
    </w:p>
    <w:p w14:paraId="4C82130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162CBF94">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七、评审程序</w:t>
      </w:r>
    </w:p>
    <w:p w14:paraId="732721D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9F20C5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磋商文件内容违反国家有关强制性规定的，磋商小组应当停止评审并向采购人或者采购代理机构说明情况。</w:t>
      </w:r>
    </w:p>
    <w:p w14:paraId="5AB6684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（一）资格审查</w:t>
      </w:r>
    </w:p>
    <w:p w14:paraId="2984E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开启后，磋商小组依据法律法规和磋商文件的规定，对供应商的资格条件进行审查。</w:t>
      </w:r>
    </w:p>
    <w:p w14:paraId="2A6D506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对未通过资格审查的供应商，磋商小组告知其未通过的原因。</w:t>
      </w:r>
    </w:p>
    <w:p w14:paraId="17D60BA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通过资格审查的供应商不足3家的，不再评审。</w:t>
      </w:r>
    </w:p>
    <w:p w14:paraId="5A60E9A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（二）信用信息查询</w:t>
      </w:r>
    </w:p>
    <w:p w14:paraId="48E2FDB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详见【第三章  供应商须知  前附表】。</w:t>
      </w:r>
    </w:p>
    <w:p w14:paraId="140A476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（三）符合性审查</w:t>
      </w:r>
    </w:p>
    <w:p w14:paraId="31E13F8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磋商小组对符合资格的供应商的响应文件进行符合性审查，以确定其是否满足磋商文件的实质性要求。</w:t>
      </w:r>
    </w:p>
    <w:p w14:paraId="027F078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（四）磋商</w:t>
      </w:r>
    </w:p>
    <w:p w14:paraId="14AC25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磋商小组所有成员应当集中与单一供应商分别进行磋商，并给予所有参加磋商的供应商平等的磋商机会。</w:t>
      </w:r>
    </w:p>
    <w:p w14:paraId="58908EB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在磋商过程中，磋商小组可以根据磋商文件和磋商情况实质性变动采购需求中的技术、服务要求以及合同草案条款，但不得变动磋商文件中的其他内容。实质性变动的内容，须经采购人代表确认。</w:t>
      </w:r>
    </w:p>
    <w:p w14:paraId="18C55A0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对磋商文件作出的实质性变动是磋商文件的有效组成部分，磋商小组通过电子交易平台以书面形式同时通知所有参加磋商的供应商。</w:t>
      </w:r>
    </w:p>
    <w:p w14:paraId="05F7198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供应商应当按照磋商文件的变动情况和磋商小组的要求通过电子交易平台提交磋商记录，并由供应商代表签名或者加盖公章。</w:t>
      </w:r>
    </w:p>
    <w:p w14:paraId="76E2FA4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磋商说明：详见【第三章  供应商须知  前附表】。</w:t>
      </w:r>
    </w:p>
    <w:p w14:paraId="234D3C5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（五）最后报价</w:t>
      </w:r>
    </w:p>
    <w:p w14:paraId="7538D80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磋商文件能够详细列明采购标的的技术、服务要求的，磋商结束后，磋商小组应当要求所有实质性响应的供应商在规定时间内提交最后报价，提交最后报价的供应商不得少于3家。</w:t>
      </w:r>
    </w:p>
    <w:p w14:paraId="1DD0B76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5E548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最后报价是供应商响应文件的有效组成部分。符合《政府采购竞争性磋商采购方式管理暂行办法》（财库〔2014〕214号）第三条第四项情形的，提交最后报价的供应商可以为2家。</w:t>
      </w:r>
    </w:p>
    <w:p w14:paraId="4F8D740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最后报价出现前后不一致的，按照下列规定修正：</w:t>
      </w:r>
    </w:p>
    <w:p w14:paraId="65FF57A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（1）最后报价内容与响应文件中相应内容不一致的，以最后报价为准；</w:t>
      </w:r>
    </w:p>
    <w:p w14:paraId="3C955D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（2）大写金额和小写金额不一致的，以大写金额为准；</w:t>
      </w:r>
    </w:p>
    <w:p w14:paraId="6AEAD5E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（3）单价金额小数点或者百分比有明显错位的，以最后报价的总价为准，并修改单价；</w:t>
      </w:r>
    </w:p>
    <w:p w14:paraId="7F8D1C1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（4）总价金额与按单价汇总金额不一致的，以单价金额计算结果为准。</w:t>
      </w:r>
    </w:p>
    <w:p w14:paraId="310F548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同时出现两种以上不一致的，按照前款规定的顺序修正。修正后的报价经供应商电子签名（加盖公章）、法定代表人或授权代表签字确认后产生约束力，供应商不确认的，其响应无效。</w:t>
      </w:r>
    </w:p>
    <w:p w14:paraId="4572B14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2"/>
        <w:jc w:val="both"/>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评审中出现下列情形之一的，磋商应当启动异常低价响应审查程序：</w:t>
      </w:r>
    </w:p>
    <w:p w14:paraId="401C04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（1）最后报价低于全部通过符合性审查供应商最后报价平均值50%的，即最后报价&lt;全部通过符合性审查供应商最后报价平均值×50%；</w:t>
      </w:r>
    </w:p>
    <w:p w14:paraId="7A9DD50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（2）最后报价低于通过符合性审查的次低报价供应商最后报价50%的，即最后报价&lt;通过符合性审查的次低报价供应商最后报价×50%；</w:t>
      </w:r>
    </w:p>
    <w:p w14:paraId="54F82BC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（3）最后报价低于采购项目最高限价45%的，即最后报价&lt;采购项目最高限价×45%；</w:t>
      </w:r>
    </w:p>
    <w:p w14:paraId="192416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（4）磋商小组基于专业判断，认为供应商报价过低，有可能影响产品质量或者不能诚信履约的其他情形。</w:t>
      </w:r>
    </w:p>
    <w:p w14:paraId="467254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1DB5C4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磋商小组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磋商小组应当将其作为无效投标处理。</w:t>
      </w:r>
    </w:p>
    <w:p w14:paraId="15BDA15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5C45B3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288" w:lineRule="auto"/>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异常低价投标审查的启动原因、审查意见和审查结果应当在评审报告中记录，并随供应商提供的相关书面说明及证明材料，以及磋商小组有关互联网浏览、查询历史一并归档。</w:t>
      </w:r>
    </w:p>
    <w:p w14:paraId="6678443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（六）综合评分</w:t>
      </w:r>
    </w:p>
    <w:p w14:paraId="671A94B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经磋商确定最终采购需求和提交最后报价的供应商后，由磋商小组采用</w:t>
      </w:r>
      <w:r>
        <w:rPr>
          <w:rFonts w:hint="eastAsia" w:ascii="宋体" w:hAnsi="宋体" w:eastAsia="宋体" w:cs="宋体"/>
          <w:b/>
          <w:bCs/>
          <w:color w:val="auto"/>
          <w:spacing w:val="0"/>
          <w:kern w:val="0"/>
          <w:sz w:val="21"/>
          <w:szCs w:val="21"/>
          <w:highlight w:val="none"/>
          <w:lang w:val="en-US" w:eastAsia="zh-CN" w:bidi="ar"/>
        </w:rPr>
        <w:t>综合评分法</w:t>
      </w:r>
      <w:r>
        <w:rPr>
          <w:rFonts w:hint="eastAsia" w:ascii="宋体" w:hAnsi="宋体" w:eastAsia="宋体" w:cs="宋体"/>
          <w:color w:val="auto"/>
          <w:spacing w:val="0"/>
          <w:kern w:val="0"/>
          <w:sz w:val="21"/>
          <w:szCs w:val="21"/>
          <w:highlight w:val="none"/>
          <w:lang w:val="en-US" w:eastAsia="zh-CN" w:bidi="ar"/>
        </w:rPr>
        <w:t>对提交最后报价的供应商的响应文件和最后报价进行综合评分。</w:t>
      </w:r>
    </w:p>
    <w:p w14:paraId="2CF2FAF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综合评分法，是指响应文件满足磋商文件全部实质性要求且按评审因素的量化指标评审得分最高的供应商为成交候选供应商的评审方法。</w:t>
      </w:r>
    </w:p>
    <w:p w14:paraId="3F3DACD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（七）汇总商务技术得分</w:t>
      </w:r>
    </w:p>
    <w:p w14:paraId="5FD4ED1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磋商小组各成员独立对进入最后报价的供应商的商务和技术文件进行评价，并汇总商务技术得分情况。</w:t>
      </w:r>
    </w:p>
    <w:p w14:paraId="2D8F0BA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69B20D7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（八）排序与推荐</w:t>
      </w:r>
    </w:p>
    <w:p w14:paraId="6F29D6D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w:t>
      </w:r>
    </w:p>
    <w:p w14:paraId="0B842B8F">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（九）编写评审报告</w:t>
      </w:r>
    </w:p>
    <w:p w14:paraId="406E1DE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58B03C5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（十）补充说明</w:t>
      </w:r>
    </w:p>
    <w:p w14:paraId="7DE7DD8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采用竞争性磋商采购方式采购的政府购买服务项目（含政府和社会资本合作项目），在采购过程中符合要求的供应商（社会资本）只有2家的，竞争性磋商采购活动可以继续进行。</w:t>
      </w:r>
    </w:p>
    <w:p w14:paraId="4B7161DC">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八、成交与合同</w:t>
      </w:r>
    </w:p>
    <w:p w14:paraId="54A8E80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（一）成交</w:t>
      </w:r>
    </w:p>
    <w:p w14:paraId="792F287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2FE1405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2.采购代理机构在成交供应商确定后2个工作日内公告成交结果，同时向成交供应商发出成交通知书，并将磋商文件随成交结果同时公告。</w:t>
      </w:r>
    </w:p>
    <w:p w14:paraId="2FE791C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3.评审结果公示媒体：详见【第三章  供应商须知  前附表】。</w:t>
      </w:r>
    </w:p>
    <w:p w14:paraId="28CEA9F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（二）合同授予</w:t>
      </w:r>
    </w:p>
    <w:p w14:paraId="07B05E6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6393157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061E1D7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15C0E850">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九、验  收</w:t>
      </w:r>
    </w:p>
    <w:p w14:paraId="7046A7FC">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061281DA">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采购人可以邀请参加本项目的其他供应商或者第三方机构参与验收。参与验收的供应商或者第三方机构的意见作为验收书的参考资料一并存档。</w:t>
      </w:r>
    </w:p>
    <w:p w14:paraId="34A91419">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4C23972">
      <w:pPr>
        <w:keepNext w:val="0"/>
        <w:keepLines w:val="0"/>
        <w:widowControl/>
        <w:suppressLineNumbers w:val="0"/>
        <w:tabs>
          <w:tab w:val="left" w:pos="0"/>
        </w:tabs>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7E9104C">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第四章 评审方法和评审标准</w:t>
      </w:r>
    </w:p>
    <w:p w14:paraId="412C116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一、评审方法</w:t>
      </w:r>
    </w:p>
    <w:p w14:paraId="1162417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本次评审采用综合评分法，总分为100分。评分过程中采用四舍五入法，并保留小数2位。</w:t>
      </w:r>
    </w:p>
    <w:p w14:paraId="04D8CC2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供应商评审综合得分=商务分+技术分+价格分</w:t>
      </w:r>
    </w:p>
    <w:p w14:paraId="0A683E1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3AB09280">
      <w:pPr>
        <w:keepNext w:val="0"/>
        <w:keepLines w:val="0"/>
        <w:widowControl/>
        <w:suppressLineNumbers w:val="0"/>
        <w:spacing w:line="288" w:lineRule="auto"/>
        <w:ind w:left="0" w:firstLine="420"/>
        <w:jc w:val="left"/>
        <w:rPr>
          <w:rFonts w:hint="eastAsia" w:ascii="宋体" w:hAnsi="宋体" w:eastAsia="宋体" w:cs="宋体"/>
          <w:color w:val="auto"/>
          <w:spacing w:val="0"/>
          <w:kern w:val="0"/>
          <w:sz w:val="21"/>
          <w:szCs w:val="21"/>
          <w:highlight w:val="none"/>
          <w:lang w:val="en-US" w:eastAsia="zh-CN" w:bidi="ar"/>
        </w:rPr>
      </w:pPr>
      <w:r>
        <w:rPr>
          <w:rFonts w:hint="eastAsia" w:ascii="宋体" w:hAnsi="宋体" w:eastAsia="宋体" w:cs="宋体"/>
          <w:color w:val="auto"/>
          <w:spacing w:val="0"/>
          <w:kern w:val="0"/>
          <w:sz w:val="21"/>
          <w:szCs w:val="21"/>
          <w:highlight w:val="none"/>
          <w:lang w:val="en-US" w:eastAsia="zh-CN" w:bidi="ar"/>
        </w:rPr>
        <w:t>小微企业价格扣除优惠：本项目对符合规定的小微企业报价给予【</w:t>
      </w:r>
      <w:r>
        <w:rPr>
          <w:rFonts w:hint="eastAsia" w:ascii="宋体" w:hAnsi="宋体" w:cs="宋体"/>
          <w:color w:val="auto"/>
          <w:spacing w:val="0"/>
          <w:kern w:val="0"/>
          <w:sz w:val="21"/>
          <w:szCs w:val="21"/>
          <w:highlight w:val="none"/>
          <w:lang w:val="en-US" w:eastAsia="zh-CN" w:bidi="ar"/>
        </w:rPr>
        <w:t>1</w:t>
      </w:r>
      <w:r>
        <w:rPr>
          <w:rFonts w:hint="eastAsia" w:ascii="宋体" w:hAnsi="宋体" w:eastAsia="宋体" w:cs="宋体"/>
          <w:color w:val="auto"/>
          <w:spacing w:val="0"/>
          <w:kern w:val="0"/>
          <w:sz w:val="21"/>
          <w:szCs w:val="21"/>
          <w:highlight w:val="none"/>
          <w:lang w:val="en-US" w:eastAsia="zh-CN" w:bidi="ar"/>
        </w:rPr>
        <w:t>0】%的扣除后计算价格得分。对于联合协议或者分包意向协议约定小微企业的合同份额占到合同总金额30%以上的，对联合体或者大中型企业的报价给予【4】%的扣除，用扣除后的价格参加评审。</w:t>
      </w:r>
    </w:p>
    <w:p w14:paraId="5E59AED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5EEEC5D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二、评审标准</w:t>
      </w:r>
    </w:p>
    <w:tbl>
      <w:tblPr>
        <w:tblStyle w:val="13"/>
        <w:tblW w:w="4991"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1816"/>
        <w:gridCol w:w="702"/>
        <w:gridCol w:w="7426"/>
      </w:tblGrid>
      <w:tr w14:paraId="344B93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3" w:type="pct"/>
            <w:tcBorders>
              <w:tl2br w:val="nil"/>
              <w:tr2bl w:val="nil"/>
            </w:tcBorders>
            <w:vAlign w:val="center"/>
          </w:tcPr>
          <w:p w14:paraId="7DB3D5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评审因素</w:t>
            </w:r>
          </w:p>
        </w:tc>
        <w:tc>
          <w:tcPr>
            <w:tcW w:w="353" w:type="pct"/>
            <w:tcBorders>
              <w:tl2br w:val="nil"/>
              <w:tr2bl w:val="nil"/>
            </w:tcBorders>
            <w:vAlign w:val="center"/>
          </w:tcPr>
          <w:p w14:paraId="36BEFFA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分值</w:t>
            </w:r>
          </w:p>
        </w:tc>
        <w:tc>
          <w:tcPr>
            <w:tcW w:w="3732" w:type="pct"/>
            <w:tcBorders>
              <w:tl2br w:val="nil"/>
              <w:tr2bl w:val="nil"/>
            </w:tcBorders>
            <w:vAlign w:val="center"/>
          </w:tcPr>
          <w:p w14:paraId="719D25D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评分标准</w:t>
            </w:r>
          </w:p>
        </w:tc>
      </w:tr>
      <w:tr w14:paraId="08AD2E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1C84C83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价格分（10）</w:t>
            </w:r>
          </w:p>
        </w:tc>
      </w:tr>
      <w:tr w14:paraId="3F1FE0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3" w:type="pct"/>
            <w:tcBorders>
              <w:tl2br w:val="nil"/>
              <w:tr2bl w:val="nil"/>
            </w:tcBorders>
            <w:vAlign w:val="center"/>
          </w:tcPr>
          <w:p w14:paraId="179194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最后磋商报价</w:t>
            </w:r>
          </w:p>
        </w:tc>
        <w:tc>
          <w:tcPr>
            <w:tcW w:w="353" w:type="pct"/>
            <w:tcBorders>
              <w:tl2br w:val="nil"/>
              <w:tr2bl w:val="nil"/>
            </w:tcBorders>
            <w:vAlign w:val="center"/>
          </w:tcPr>
          <w:p w14:paraId="5F7FDB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10</w:t>
            </w:r>
          </w:p>
        </w:tc>
        <w:tc>
          <w:tcPr>
            <w:tcW w:w="3732" w:type="pct"/>
            <w:tcBorders>
              <w:tl2br w:val="nil"/>
              <w:tr2bl w:val="nil"/>
            </w:tcBorders>
            <w:vAlign w:val="center"/>
          </w:tcPr>
          <w:p w14:paraId="3BED3E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价格分统一采用低价优先法计算，即满足磋商文件要求且最后报价最低的供应商的价格为磋商基准价，其价格分为满分。其他供应商的价格分统一按照下列公式计算：</w:t>
            </w:r>
          </w:p>
          <w:p w14:paraId="7A836EA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磋商报价得分</w:t>
            </w:r>
            <w:r>
              <w:rPr>
                <w:rFonts w:hint="default" w:ascii="宋体" w:hAnsi="宋体" w:eastAsia="宋体" w:cs="宋体"/>
                <w:color w:val="auto"/>
                <w:kern w:val="0"/>
                <w:sz w:val="21"/>
                <w:szCs w:val="21"/>
                <w:highlight w:val="none"/>
                <w:lang w:val="en-US" w:eastAsia="zh-CN" w:bidi="ar-SA"/>
              </w:rPr>
              <w:t>=（磋商基准价/最后磋商报价）×</w:t>
            </w:r>
            <w:r>
              <w:rPr>
                <w:rFonts w:hint="eastAsia" w:ascii="宋体" w:hAnsi="宋体" w:eastAsia="宋体" w:cs="宋体"/>
                <w:color w:val="auto"/>
                <w:kern w:val="0"/>
                <w:sz w:val="21"/>
                <w:szCs w:val="21"/>
                <w:highlight w:val="none"/>
                <w:lang w:val="en-US" w:eastAsia="zh-CN" w:bidi="ar-SA"/>
              </w:rPr>
              <w:t>1</w:t>
            </w:r>
            <w:r>
              <w:rPr>
                <w:rFonts w:hint="default" w:ascii="宋体" w:hAnsi="宋体" w:eastAsia="宋体" w:cs="宋体"/>
                <w:color w:val="auto"/>
                <w:kern w:val="0"/>
                <w:sz w:val="21"/>
                <w:szCs w:val="21"/>
                <w:highlight w:val="none"/>
                <w:lang w:val="en-US" w:eastAsia="zh-CN" w:bidi="ar-SA"/>
              </w:rPr>
              <w:t>0</w:t>
            </w:r>
            <w:r>
              <w:rPr>
                <w:rFonts w:hint="eastAsia" w:ascii="宋体" w:hAnsi="宋体" w:eastAsia="宋体" w:cs="宋体"/>
                <w:color w:val="auto"/>
                <w:kern w:val="0"/>
                <w:sz w:val="21"/>
                <w:szCs w:val="21"/>
                <w:highlight w:val="none"/>
                <w:lang w:val="en-US" w:eastAsia="zh-CN" w:bidi="ar-SA"/>
              </w:rPr>
              <w:t>%</w:t>
            </w:r>
            <w:r>
              <w:rPr>
                <w:rFonts w:hint="default" w:ascii="宋体" w:hAnsi="宋体" w:eastAsia="宋体" w:cs="宋体"/>
                <w:color w:val="auto"/>
                <w:kern w:val="0"/>
                <w:sz w:val="21"/>
                <w:szCs w:val="21"/>
                <w:highlight w:val="none"/>
                <w:lang w:val="en-US" w:eastAsia="zh-CN" w:bidi="ar-SA"/>
              </w:rPr>
              <w:t>×100</w:t>
            </w:r>
          </w:p>
        </w:tc>
      </w:tr>
      <w:tr w14:paraId="08EFFD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3385865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商务分（1）</w:t>
            </w:r>
          </w:p>
        </w:tc>
      </w:tr>
      <w:tr w14:paraId="0059FA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3" w:type="pct"/>
            <w:tcBorders>
              <w:tl2br w:val="nil"/>
              <w:tr2bl w:val="nil"/>
            </w:tcBorders>
            <w:vAlign w:val="center"/>
          </w:tcPr>
          <w:p w14:paraId="12B661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业绩</w:t>
            </w:r>
          </w:p>
        </w:tc>
        <w:tc>
          <w:tcPr>
            <w:tcW w:w="353" w:type="pct"/>
            <w:tcBorders>
              <w:tl2br w:val="nil"/>
              <w:tr2bl w:val="nil"/>
            </w:tcBorders>
            <w:vAlign w:val="center"/>
          </w:tcPr>
          <w:p w14:paraId="4C57AE3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w:t>
            </w:r>
          </w:p>
        </w:tc>
        <w:tc>
          <w:tcPr>
            <w:tcW w:w="3732" w:type="pct"/>
            <w:tcBorders>
              <w:tl2br w:val="nil"/>
              <w:tr2bl w:val="nil"/>
            </w:tcBorders>
            <w:vAlign w:val="center"/>
          </w:tcPr>
          <w:p w14:paraId="4B6AABD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54DBF55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供应商自2023年1月1日以来（以合同签订时间为准）同类合同业绩（以提供的合同扫描件为准）：每提供1份合同业绩得0.5分，最高得1分。</w:t>
            </w:r>
          </w:p>
        </w:tc>
      </w:tr>
      <w:tr w14:paraId="5B62D9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5000" w:type="pct"/>
            <w:gridSpan w:val="3"/>
            <w:tcBorders>
              <w:tl2br w:val="nil"/>
              <w:tr2bl w:val="nil"/>
            </w:tcBorders>
            <w:vAlign w:val="center"/>
          </w:tcPr>
          <w:p w14:paraId="316178D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技术分（89）</w:t>
            </w:r>
          </w:p>
        </w:tc>
      </w:tr>
      <w:tr w14:paraId="3F1D29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3" w:type="pct"/>
            <w:tcBorders>
              <w:tl2br w:val="nil"/>
              <w:tr2bl w:val="nil"/>
            </w:tcBorders>
            <w:vAlign w:val="center"/>
          </w:tcPr>
          <w:p w14:paraId="2DDC1F6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响应程度</w:t>
            </w:r>
          </w:p>
        </w:tc>
        <w:tc>
          <w:tcPr>
            <w:tcW w:w="353" w:type="pct"/>
            <w:tcBorders>
              <w:tl2br w:val="nil"/>
              <w:tr2bl w:val="nil"/>
            </w:tcBorders>
            <w:vAlign w:val="center"/>
          </w:tcPr>
          <w:p w14:paraId="5D620FB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55</w:t>
            </w:r>
          </w:p>
        </w:tc>
        <w:tc>
          <w:tcPr>
            <w:tcW w:w="3732" w:type="pct"/>
            <w:tcBorders>
              <w:tl2br w:val="nil"/>
              <w:tr2bl w:val="nil"/>
            </w:tcBorders>
            <w:vAlign w:val="center"/>
          </w:tcPr>
          <w:p w14:paraId="6F02825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w:t>
            </w:r>
          </w:p>
          <w:p w14:paraId="56F8B4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不符合（负偏离）技术要求中标注“▲”条款（不可偏离）的响应文件无效，满足或明显优于磋商文件明确的全部技术条款要求的该项得满分；</w:t>
            </w:r>
          </w:p>
          <w:p w14:paraId="207AD92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响应条款低于技术要求（负偏离）的每项扣5分；</w:t>
            </w:r>
          </w:p>
          <w:p w14:paraId="1FBEFB4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负偏离11</w:t>
            </w:r>
            <w:r>
              <w:rPr>
                <w:rFonts w:hint="default" w:ascii="宋体" w:hAnsi="宋体" w:eastAsia="宋体" w:cs="宋体"/>
                <w:color w:val="auto"/>
                <w:kern w:val="0"/>
                <w:sz w:val="21"/>
                <w:szCs w:val="21"/>
                <w:highlight w:val="none"/>
                <w:lang w:val="en-US" w:eastAsia="zh-CN" w:bidi="ar-SA"/>
              </w:rPr>
              <w:t>项及以上的，视为采购人不能接受的附加条件。</w:t>
            </w:r>
          </w:p>
        </w:tc>
      </w:tr>
      <w:tr w14:paraId="7FE3D8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3" w:type="pct"/>
            <w:tcBorders>
              <w:tl2br w:val="nil"/>
              <w:tr2bl w:val="nil"/>
            </w:tcBorders>
            <w:vAlign w:val="center"/>
          </w:tcPr>
          <w:p w14:paraId="0205F85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仿宋_GB2312"/>
                <w:b/>
                <w:bCs/>
                <w:color w:val="auto"/>
                <w:kern w:val="0"/>
                <w:sz w:val="21"/>
                <w:szCs w:val="21"/>
                <w:highlight w:val="none"/>
                <w:lang w:val="en-US" w:eastAsia="zh-CN" w:bidi="ar-SA"/>
              </w:rPr>
            </w:pPr>
            <w:r>
              <w:rPr>
                <w:rFonts w:hint="eastAsia" w:ascii="宋体" w:hAnsi="宋体" w:eastAsia="宋体" w:cs="仿宋_GB2312"/>
                <w:b/>
                <w:bCs/>
                <w:color w:val="auto"/>
                <w:kern w:val="0"/>
                <w:sz w:val="21"/>
                <w:szCs w:val="21"/>
                <w:highlight w:val="none"/>
                <w:lang w:val="en-US" w:eastAsia="zh-CN" w:bidi="ar-SA"/>
              </w:rPr>
              <w:t>软件著作权</w:t>
            </w:r>
          </w:p>
        </w:tc>
        <w:tc>
          <w:tcPr>
            <w:tcW w:w="353" w:type="pct"/>
            <w:tcBorders>
              <w:tl2br w:val="nil"/>
              <w:tr2bl w:val="nil"/>
            </w:tcBorders>
            <w:vAlign w:val="center"/>
          </w:tcPr>
          <w:p w14:paraId="7256C9D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4</w:t>
            </w:r>
          </w:p>
        </w:tc>
        <w:tc>
          <w:tcPr>
            <w:tcW w:w="3732" w:type="pct"/>
            <w:tcBorders>
              <w:tl2br w:val="nil"/>
              <w:tr2bl w:val="nil"/>
            </w:tcBorders>
            <w:vAlign w:val="center"/>
          </w:tcPr>
          <w:p w14:paraId="7DDF450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客观分】供应商具有与本项目内容相关的软件著作权证书的（如教学资源库运维信息化系统、智慧课堂软件类著作权证书、网络教学课程互动信息平台、电子期刊数据库服务系统等），每有1份得1分，最高得4分（提供软件著作权证书扫描件，不提供不得分）。</w:t>
            </w:r>
          </w:p>
        </w:tc>
      </w:tr>
      <w:tr w14:paraId="4C4D26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3" w:type="pct"/>
            <w:vMerge w:val="restart"/>
            <w:tcBorders>
              <w:tl2br w:val="nil"/>
              <w:tr2bl w:val="nil"/>
            </w:tcBorders>
            <w:vAlign w:val="center"/>
          </w:tcPr>
          <w:p w14:paraId="1102219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仿宋_GB2312"/>
                <w:b/>
                <w:bCs/>
                <w:color w:val="auto"/>
                <w:kern w:val="0"/>
                <w:sz w:val="21"/>
                <w:szCs w:val="21"/>
                <w:highlight w:val="none"/>
                <w:lang w:val="en-US" w:eastAsia="zh-CN" w:bidi="ar-SA"/>
              </w:rPr>
            </w:pPr>
            <w:r>
              <w:rPr>
                <w:rFonts w:hint="eastAsia" w:ascii="宋体" w:hAnsi="宋体" w:eastAsia="宋体" w:cs="仿宋_GB2312"/>
                <w:b/>
                <w:bCs/>
                <w:color w:val="auto"/>
                <w:kern w:val="0"/>
                <w:sz w:val="21"/>
                <w:szCs w:val="21"/>
                <w:highlight w:val="none"/>
                <w:lang w:val="en-US" w:eastAsia="zh-CN" w:bidi="ar-SA"/>
              </w:rPr>
              <w:t>技术服务方案</w:t>
            </w:r>
          </w:p>
        </w:tc>
        <w:tc>
          <w:tcPr>
            <w:tcW w:w="353" w:type="pct"/>
            <w:tcBorders>
              <w:tl2br w:val="nil"/>
              <w:tr2bl w:val="nil"/>
            </w:tcBorders>
            <w:vAlign w:val="center"/>
          </w:tcPr>
          <w:p w14:paraId="3AE2CB0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仿宋_GB2312"/>
                <w:b/>
                <w:bCs/>
                <w:color w:val="auto"/>
                <w:kern w:val="0"/>
                <w:sz w:val="21"/>
                <w:szCs w:val="21"/>
                <w:highlight w:val="none"/>
                <w:lang w:val="en-US" w:eastAsia="zh-CN" w:bidi="ar-SA"/>
              </w:rPr>
            </w:pPr>
            <w:r>
              <w:rPr>
                <w:rFonts w:hint="eastAsia" w:ascii="宋体" w:hAnsi="宋体" w:eastAsia="宋体" w:cs="仿宋_GB2312"/>
                <w:b/>
                <w:bCs/>
                <w:color w:val="auto"/>
                <w:kern w:val="0"/>
                <w:sz w:val="21"/>
                <w:szCs w:val="21"/>
                <w:highlight w:val="none"/>
                <w:lang w:val="en-US" w:eastAsia="zh-CN" w:bidi="ar-SA"/>
              </w:rPr>
              <w:t>2</w:t>
            </w:r>
          </w:p>
        </w:tc>
        <w:tc>
          <w:tcPr>
            <w:tcW w:w="3732" w:type="pct"/>
            <w:tcBorders>
              <w:tl2br w:val="nil"/>
              <w:tr2bl w:val="nil"/>
            </w:tcBorders>
            <w:vAlign w:val="center"/>
          </w:tcPr>
          <w:p w14:paraId="227652D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【主观分】供应商对项目内容的理解程度，内容是否明确、有针对性，重点难点分析及措施情况（评分范围：2,1,0.5,0）。</w:t>
            </w:r>
          </w:p>
        </w:tc>
      </w:tr>
      <w:tr w14:paraId="1F7AA7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3" w:type="pct"/>
            <w:vMerge w:val="continue"/>
            <w:tcBorders>
              <w:tl2br w:val="nil"/>
              <w:tr2bl w:val="nil"/>
            </w:tcBorders>
            <w:vAlign w:val="center"/>
          </w:tcPr>
          <w:p w14:paraId="748860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3" w:type="pct"/>
            <w:tcBorders>
              <w:tl2br w:val="nil"/>
              <w:tr2bl w:val="nil"/>
            </w:tcBorders>
            <w:vAlign w:val="center"/>
          </w:tcPr>
          <w:p w14:paraId="683336D2">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
              </w:rPr>
              <w:t>3</w:t>
            </w:r>
          </w:p>
        </w:tc>
        <w:tc>
          <w:tcPr>
            <w:tcW w:w="3732" w:type="pct"/>
            <w:tcBorders>
              <w:tl2br w:val="nil"/>
              <w:tr2bl w:val="nil"/>
            </w:tcBorders>
            <w:vAlign w:val="center"/>
          </w:tcPr>
          <w:p w14:paraId="2EC5EC1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【主观分】供应商针对本项目提供的技术方案是否完整详细，包括产品建设方案、质量保证方案、进度措施方案、人员安排方案等（评分范围：3,2,1,0）。</w:t>
            </w:r>
          </w:p>
        </w:tc>
      </w:tr>
      <w:tr w14:paraId="2BD448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3" w:type="pct"/>
            <w:vMerge w:val="continue"/>
            <w:tcBorders>
              <w:tl2br w:val="nil"/>
              <w:tr2bl w:val="nil"/>
            </w:tcBorders>
            <w:vAlign w:val="center"/>
          </w:tcPr>
          <w:p w14:paraId="739FC8C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 w:val="21"/>
                <w:szCs w:val="21"/>
                <w:highlight w:val="none"/>
                <w:lang w:val="en-US" w:eastAsia="zh-CN" w:bidi="ar-SA"/>
              </w:rPr>
            </w:pPr>
          </w:p>
        </w:tc>
        <w:tc>
          <w:tcPr>
            <w:tcW w:w="353" w:type="pct"/>
            <w:tcBorders>
              <w:tl2br w:val="nil"/>
              <w:tr2bl w:val="nil"/>
            </w:tcBorders>
            <w:vAlign w:val="center"/>
          </w:tcPr>
          <w:p w14:paraId="3C3C186B">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
              </w:rPr>
              <w:t>3</w:t>
            </w:r>
          </w:p>
        </w:tc>
        <w:tc>
          <w:tcPr>
            <w:tcW w:w="3732" w:type="pct"/>
            <w:tcBorders>
              <w:tl2br w:val="nil"/>
              <w:tr2bl w:val="nil"/>
            </w:tcBorders>
            <w:vAlign w:val="center"/>
          </w:tcPr>
          <w:p w14:paraId="63D00E4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【主观分】供应商针对紧急任务的应急处理方案的合理可行性，是否能保证按时完成等（评分范围：3,2,1,0）。</w:t>
            </w:r>
          </w:p>
        </w:tc>
      </w:tr>
      <w:tr w14:paraId="693066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1816" w:type="dxa"/>
            <w:tcBorders>
              <w:tl2br w:val="nil"/>
              <w:tr2bl w:val="nil"/>
            </w:tcBorders>
            <w:vAlign w:val="center"/>
          </w:tcPr>
          <w:p w14:paraId="28F53876">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
              </w:rPr>
              <w:t>项目团队</w:t>
            </w:r>
          </w:p>
        </w:tc>
        <w:tc>
          <w:tcPr>
            <w:tcW w:w="702" w:type="dxa"/>
            <w:tcBorders>
              <w:tl2br w:val="nil"/>
              <w:tr2bl w:val="nil"/>
            </w:tcBorders>
            <w:vAlign w:val="center"/>
          </w:tcPr>
          <w:p w14:paraId="04D42DA1">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
              </w:rPr>
              <w:t>3</w:t>
            </w:r>
          </w:p>
        </w:tc>
        <w:tc>
          <w:tcPr>
            <w:tcW w:w="7426" w:type="dxa"/>
            <w:tcBorders>
              <w:tl2br w:val="nil"/>
              <w:tr2bl w:val="nil"/>
            </w:tcBorders>
            <w:vAlign w:val="center"/>
          </w:tcPr>
          <w:p w14:paraId="2CC96A0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【主观分】供应商拟派团队人员组织结构的合理性、专业性，对团队人员的分工的明确、合理性（评分范围：3,2,1,0）。</w:t>
            </w:r>
          </w:p>
        </w:tc>
      </w:tr>
      <w:tr w14:paraId="64CF13D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1816" w:type="dxa"/>
            <w:tcBorders>
              <w:tl2br w:val="nil"/>
              <w:tr2bl w:val="nil"/>
            </w:tcBorders>
            <w:vAlign w:val="center"/>
          </w:tcPr>
          <w:p w14:paraId="49D15485">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
              </w:rPr>
              <w:t>知识产权</w:t>
            </w:r>
          </w:p>
        </w:tc>
        <w:tc>
          <w:tcPr>
            <w:tcW w:w="702" w:type="dxa"/>
            <w:tcBorders>
              <w:tl2br w:val="nil"/>
              <w:tr2bl w:val="nil"/>
            </w:tcBorders>
            <w:vAlign w:val="center"/>
          </w:tcPr>
          <w:p w14:paraId="136B3406">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
              </w:rPr>
              <w:t>3</w:t>
            </w:r>
          </w:p>
        </w:tc>
        <w:tc>
          <w:tcPr>
            <w:tcW w:w="7426" w:type="dxa"/>
            <w:tcBorders>
              <w:tl2br w:val="nil"/>
              <w:tr2bl w:val="nil"/>
            </w:tcBorders>
            <w:vAlign w:val="center"/>
          </w:tcPr>
          <w:p w14:paraId="24DEAE6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【主观分】供应商教参图书、学术期刊资源、教育视频资源版权情况，资源是否丰富，授权是否充足（提供授权协议复印件，不提供不得分）（评分范围：3,2,1,0）。</w:t>
            </w:r>
          </w:p>
        </w:tc>
      </w:tr>
      <w:tr w14:paraId="40B240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1816" w:type="dxa"/>
            <w:tcBorders>
              <w:tl2br w:val="nil"/>
              <w:tr2bl w:val="nil"/>
            </w:tcBorders>
            <w:vAlign w:val="center"/>
          </w:tcPr>
          <w:p w14:paraId="06A037CE">
            <w:pPr>
              <w:keepNext w:val="0"/>
              <w:keepLines w:val="0"/>
              <w:widowControl w:val="0"/>
              <w:suppressLineNumbers w:val="0"/>
              <w:autoSpaceDE w:val="0"/>
              <w:autoSpaceDN w:val="0"/>
              <w:adjustRightInd w:val="0"/>
              <w:snapToGrid w:val="0"/>
              <w:spacing w:before="0" w:beforeAutospacing="0" w:after="0" w:afterAutospacing="0" w:line="288" w:lineRule="auto"/>
              <w:ind w:left="0" w:leftChars="0" w:right="0" w:rightChars="0" w:firstLine="0" w:firstLineChars="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
              </w:rPr>
              <w:t>售后服务</w:t>
            </w:r>
          </w:p>
        </w:tc>
        <w:tc>
          <w:tcPr>
            <w:tcW w:w="702" w:type="dxa"/>
            <w:tcBorders>
              <w:tl2br w:val="nil"/>
              <w:tr2bl w:val="nil"/>
            </w:tcBorders>
            <w:vAlign w:val="center"/>
          </w:tcPr>
          <w:p w14:paraId="2C3C7BA8">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3</w:t>
            </w:r>
          </w:p>
        </w:tc>
        <w:tc>
          <w:tcPr>
            <w:tcW w:w="7426" w:type="dxa"/>
            <w:tcBorders>
              <w:tl2br w:val="nil"/>
              <w:tr2bl w:val="nil"/>
            </w:tcBorders>
            <w:vAlign w:val="center"/>
          </w:tcPr>
          <w:p w14:paraId="6CC5CA4E">
            <w:pPr>
              <w:pStyle w:val="11"/>
              <w:keepNext w:val="0"/>
              <w:keepLines w:val="0"/>
              <w:widowControl w:val="0"/>
              <w:suppressLineNumbers w:val="0"/>
              <w:spacing w:before="0" w:beforeAutospacing="0" w:after="0" w:afterAutospacing="0" w:line="288" w:lineRule="auto"/>
              <w:ind w:left="0" w:leftChars="0" w:right="0" w:rightChars="0" w:firstLine="0" w:firstLineChars="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【主观分】投标人售后服务方案（服务流程、故障维修等）、售后服务承诺的可行性及服务承诺落实的保障措施，后续技术支持和维护能力情况（评分范围：3,2,1,0）。</w:t>
            </w:r>
          </w:p>
        </w:tc>
      </w:tr>
      <w:tr w14:paraId="0A0B25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1816" w:type="dxa"/>
            <w:tcBorders>
              <w:tl2br w:val="nil"/>
              <w:tr2bl w:val="nil"/>
            </w:tcBorders>
            <w:vAlign w:val="center"/>
          </w:tcPr>
          <w:p w14:paraId="135D9B73">
            <w:pPr>
              <w:keepNext w:val="0"/>
              <w:keepLines w:val="0"/>
              <w:widowControl w:val="0"/>
              <w:suppressLineNumbers w:val="0"/>
              <w:autoSpaceDE w:val="0"/>
              <w:autoSpaceDN w:val="0"/>
              <w:adjustRightInd w:val="0"/>
              <w:snapToGrid w:val="0"/>
              <w:spacing w:before="0" w:beforeAutospacing="0" w:after="0" w:afterAutospacing="0" w:line="288" w:lineRule="auto"/>
              <w:ind w:left="0" w:leftChars="0" w:right="0" w:rightChars="0" w:firstLine="0" w:firstLineChars="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
              </w:rPr>
              <w:t>技术服务、培训</w:t>
            </w:r>
          </w:p>
        </w:tc>
        <w:tc>
          <w:tcPr>
            <w:tcW w:w="702" w:type="dxa"/>
            <w:tcBorders>
              <w:tl2br w:val="nil"/>
              <w:tr2bl w:val="nil"/>
            </w:tcBorders>
            <w:vAlign w:val="center"/>
          </w:tcPr>
          <w:p w14:paraId="608F5C03">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3</w:t>
            </w:r>
          </w:p>
        </w:tc>
        <w:tc>
          <w:tcPr>
            <w:tcW w:w="7426" w:type="dxa"/>
            <w:tcBorders>
              <w:tl2br w:val="nil"/>
              <w:tr2bl w:val="nil"/>
            </w:tcBorders>
            <w:vAlign w:val="center"/>
          </w:tcPr>
          <w:p w14:paraId="1F92E51A">
            <w:pPr>
              <w:pStyle w:val="11"/>
              <w:keepNext w:val="0"/>
              <w:keepLines w:val="0"/>
              <w:widowControl w:val="0"/>
              <w:suppressLineNumbers w:val="0"/>
              <w:spacing w:before="0" w:beforeAutospacing="0" w:after="0" w:afterAutospacing="0" w:line="288" w:lineRule="auto"/>
              <w:ind w:left="0" w:leftChars="0" w:right="0" w:rightChars="0" w:firstLine="0" w:firstLineChars="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【主观分】服务力量和服务保障、技术支持，培训计划内容、培训范围，实施及针对性（评分范围：3,2,1,0）。</w:t>
            </w:r>
          </w:p>
        </w:tc>
      </w:tr>
      <w:tr w14:paraId="5ED11E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4" w:hRule="atLeast"/>
        </w:trPr>
        <w:tc>
          <w:tcPr>
            <w:tcW w:w="913" w:type="pct"/>
            <w:tcBorders>
              <w:tl2br w:val="nil"/>
              <w:tr2bl w:val="nil"/>
            </w:tcBorders>
            <w:vAlign w:val="center"/>
          </w:tcPr>
          <w:p w14:paraId="5741769B">
            <w:pPr>
              <w:keepNext w:val="0"/>
              <w:keepLines w:val="0"/>
              <w:widowControl w:val="0"/>
              <w:suppressLineNumbers w:val="0"/>
              <w:autoSpaceDE w:val="0"/>
              <w:autoSpaceDN w:val="0"/>
              <w:adjustRightInd w:val="0"/>
              <w:snapToGrid w:val="0"/>
              <w:spacing w:before="0" w:beforeAutospacing="0" w:after="0" w:afterAutospacing="0" w:line="288" w:lineRule="auto"/>
              <w:ind w:left="0" w:leftChars="0" w:right="0" w:rightChars="0" w:firstLine="0" w:firstLineChars="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
              </w:rPr>
              <w:t>演示</w:t>
            </w:r>
          </w:p>
        </w:tc>
        <w:tc>
          <w:tcPr>
            <w:tcW w:w="353" w:type="pct"/>
            <w:tcBorders>
              <w:tl2br w:val="nil"/>
              <w:tr2bl w:val="nil"/>
            </w:tcBorders>
            <w:vAlign w:val="center"/>
          </w:tcPr>
          <w:p w14:paraId="3C8B08CC">
            <w:pPr>
              <w:keepNext w:val="0"/>
              <w:keepLines w:val="0"/>
              <w:widowControl w:val="0"/>
              <w:suppressLineNumbers w:val="0"/>
              <w:adjustRightInd w:val="0"/>
              <w:snapToGrid w:val="0"/>
              <w:spacing w:before="0" w:beforeAutospacing="0" w:after="0" w:afterAutospacing="0" w:line="288" w:lineRule="auto"/>
              <w:ind w:left="0" w:leftChars="0" w:right="0" w:rightChars="0" w:firstLine="0" w:firstLineChars="0"/>
              <w:jc w:val="center"/>
              <w:rPr>
                <w:rFonts w:hint="default"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
              </w:rPr>
              <w:t>10</w:t>
            </w:r>
          </w:p>
        </w:tc>
        <w:tc>
          <w:tcPr>
            <w:tcW w:w="3732" w:type="pct"/>
            <w:tcBorders>
              <w:tl2br w:val="nil"/>
              <w:tr2bl w:val="nil"/>
            </w:tcBorders>
            <w:vAlign w:val="center"/>
          </w:tcPr>
          <w:p w14:paraId="767874A4">
            <w:pPr>
              <w:keepNext w:val="0"/>
              <w:keepLines w:val="0"/>
              <w:widowControl w:val="0"/>
              <w:suppressLineNumbers w:val="0"/>
              <w:spacing w:before="0" w:beforeAutospacing="0" w:after="0" w:afterAutospacing="0" w:line="288" w:lineRule="auto"/>
              <w:ind w:left="0" w:leftChars="0" w:right="0" w:rightChars="0" w:firstLine="0" w:firstLineChars="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【主观分】供应商根据第二章 采购需求“五、演示”的要求提供演示，根据演示内容和演示要求的契合程度（每项演示评分范围：1</w:t>
            </w:r>
            <w:r>
              <w:rPr>
                <w:rFonts w:hint="eastAsia" w:ascii="宋体" w:hAnsi="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0</w:t>
            </w:r>
            <w:r>
              <w:rPr>
                <w:rFonts w:hint="eastAsia" w:ascii="宋体" w:hAnsi="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5,0）。</w:t>
            </w:r>
          </w:p>
        </w:tc>
      </w:tr>
    </w:tbl>
    <w:p w14:paraId="02C9E0C2">
      <w:pPr>
        <w:keepNext w:val="0"/>
        <w:keepLines w:val="0"/>
        <w:widowControl/>
        <w:suppressLineNumbers w:val="0"/>
        <w:spacing w:line="288" w:lineRule="auto"/>
        <w:ind w:left="0" w:firstLine="422"/>
        <w:jc w:val="left"/>
        <w:rPr>
          <w:rFonts w:hint="eastAsia" w:ascii="宋体" w:hAnsi="宋体" w:eastAsia="宋体" w:cs="宋体"/>
          <w:b/>
          <w:bCs/>
          <w:color w:val="auto"/>
          <w:spacing w:val="0"/>
          <w:kern w:val="0"/>
          <w:sz w:val="21"/>
          <w:szCs w:val="21"/>
          <w:highlight w:val="none"/>
          <w:lang w:val="en-US" w:eastAsia="zh-CN" w:bidi="ar"/>
        </w:rPr>
      </w:pPr>
    </w:p>
    <w:p w14:paraId="7FB9779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三、响应无效的情形</w:t>
      </w:r>
    </w:p>
    <w:p w14:paraId="32D5BAD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未响应磋商文件“▲”标记条款要求的，响应无效。</w:t>
      </w:r>
    </w:p>
    <w:p w14:paraId="19CB37B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1.在资格审查时，有下列情形之一的，资格审查不通过，响应无效：</w:t>
      </w:r>
    </w:p>
    <w:p w14:paraId="4BA8FD6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（1）资格证明材料不全的，或者不符合磋商文件要求；</w:t>
      </w:r>
    </w:p>
    <w:p w14:paraId="03D17B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（2）供应商不具备磋商文件中规定的资格要求；</w:t>
      </w:r>
    </w:p>
    <w:p w14:paraId="348F522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（3）资格文件未按要求签署、盖章。</w:t>
      </w:r>
    </w:p>
    <w:p w14:paraId="0BB0E356">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2.在符合性审查时，有下列情形之一的，响应无效：</w:t>
      </w:r>
    </w:p>
    <w:p w14:paraId="53A4A32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（1）商务和技术文件未按要求签署、盖章；</w:t>
      </w:r>
    </w:p>
    <w:p w14:paraId="3899F3C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（2）未提供或未按要求提供响应函、授权委托书；</w:t>
      </w:r>
    </w:p>
    <w:p w14:paraId="62A566C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（3）委托授权代表参加采购活动但未提供符合要求的授权代表社保缴纳证明；</w:t>
      </w:r>
    </w:p>
    <w:p w14:paraId="3BE0B19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（4）未提供或未如实提供响应偏离表；</w:t>
      </w:r>
    </w:p>
    <w:p w14:paraId="49D7D0E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（5）明显不符合磋商文件要求，或负偏离达到规定数目的，视为采购人不能接受的附加条件；</w:t>
      </w:r>
    </w:p>
    <w:p w14:paraId="2319592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（6）响应技术方案不明确，存在一个或一个以上备选（替代）响应方案</w:t>
      </w:r>
      <w:r>
        <w:rPr>
          <w:rFonts w:hint="eastAsia" w:ascii="宋体" w:hAnsi="宋体" w:eastAsia="宋体" w:cs="宋体"/>
          <w:color w:val="auto"/>
          <w:spacing w:val="-6"/>
          <w:kern w:val="0"/>
          <w:sz w:val="21"/>
          <w:szCs w:val="21"/>
          <w:highlight w:val="none"/>
          <w:lang w:val="en-US" w:eastAsia="zh-CN" w:bidi="ar"/>
        </w:rPr>
        <w:t>，但磋商文件要求提交备选的除外；</w:t>
      </w:r>
    </w:p>
    <w:p w14:paraId="15C8F1F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（7）响应文件含有采购人不能接受的附加条件；</w:t>
      </w:r>
    </w:p>
    <w:p w14:paraId="5DFF662E">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（8）最后报价超过磋商文件中规定的预算金额或最高限价；</w:t>
      </w:r>
    </w:p>
    <w:p w14:paraId="7A1E99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（9）最后报价具有选择性。</w:t>
      </w:r>
    </w:p>
    <w:p w14:paraId="67DB44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（10）未按规定提交磋商记录或最后报价的，视为退出磋商，响应无效。</w:t>
      </w:r>
    </w:p>
    <w:p w14:paraId="18D39ECB">
      <w:pPr>
        <w:keepNext w:val="0"/>
        <w:keepLines w:val="0"/>
        <w:widowControl/>
        <w:suppressLineNumbers w:val="0"/>
        <w:spacing w:line="288" w:lineRule="auto"/>
        <w:ind w:left="0" w:firstLine="420"/>
        <w:jc w:val="lef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kern w:val="0"/>
          <w:sz w:val="21"/>
          <w:szCs w:val="21"/>
          <w:highlight w:val="none"/>
          <w:lang w:val="en-US" w:eastAsia="zh-CN" w:bidi="ar"/>
        </w:rPr>
        <w:t>（11）法律、法规和磋商文件规定的其他无效情形。</w:t>
      </w:r>
    </w:p>
    <w:p w14:paraId="4DAC1A9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336D1BA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3.有下列情形之一的，视为供应商串通，其响应无效：</w:t>
      </w:r>
    </w:p>
    <w:p w14:paraId="0701232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（1）不同供应商的响应文件由同一单位或者个人编制；</w:t>
      </w:r>
    </w:p>
    <w:p w14:paraId="33341E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（2）不同供应商委托同一单位或者个人办理磋商事宜；</w:t>
      </w:r>
    </w:p>
    <w:p w14:paraId="73B9E32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（3）不同供应商的响应文件载明的项目管理成员或者联系人员为同一人；</w:t>
      </w:r>
    </w:p>
    <w:p w14:paraId="1F740BA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（4）不同供应商的响应文件异常一致或者最后报价呈规律性差异；</w:t>
      </w:r>
    </w:p>
    <w:p w14:paraId="7EF5A9F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（5）不同供应商的响应文件相互混装。</w:t>
      </w:r>
    </w:p>
    <w:p w14:paraId="28C8268F">
      <w:pPr>
        <w:keepNext w:val="0"/>
        <w:keepLines w:val="0"/>
        <w:widowControl/>
        <w:suppressLineNumbers w:val="0"/>
        <w:autoSpaceDE/>
        <w:autoSpaceDN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0"/>
          <w:kern w:val="0"/>
          <w:sz w:val="21"/>
          <w:szCs w:val="21"/>
          <w:highlight w:val="none"/>
          <w:lang w:val="en-US" w:eastAsia="zh-CN" w:bidi="ar"/>
        </w:rPr>
        <w:t>4.参与同一个采购包（标项）的供应商存在下列情形之一且无法合理解释的，其响应文件无效：</w:t>
      </w:r>
    </w:p>
    <w:p w14:paraId="242B6F12">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（1）不同供应商的电子响应文件上传计算机的网卡MAC地址或硬盘序列号等硬件信息相同的；</w:t>
      </w:r>
    </w:p>
    <w:p w14:paraId="5C95BC33">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（2）上传的电子响应文件若出现使用本项目其他响应供应商的数字证书加密的，或者加盖本项目其他响应供应商的电子印章的；</w:t>
      </w:r>
    </w:p>
    <w:p w14:paraId="6B859B27">
      <w:pPr>
        <w:keepNext w:val="0"/>
        <w:keepLines w:val="0"/>
        <w:widowControl/>
        <w:suppressLineNumbers w:val="0"/>
        <w:autoSpaceDE/>
        <w:autoSpaceDN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（3）不同供应商的响应文件的内容存在3处（含）以上错误一致的；</w:t>
      </w:r>
    </w:p>
    <w:p w14:paraId="2B0C9BB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spacing w:val="0"/>
          <w:kern w:val="0"/>
          <w:sz w:val="21"/>
          <w:szCs w:val="21"/>
          <w:highlight w:val="none"/>
          <w:lang w:val="en-US" w:eastAsia="zh-CN" w:bidi="ar"/>
        </w:rPr>
        <w:t>（4）不同供应商联系人为同一人或不同联系人的联系电话一致的。</w:t>
      </w:r>
    </w:p>
    <w:p w14:paraId="2E52662A">
      <w:pPr>
        <w:pStyle w:val="4"/>
        <w:keepNext w:val="0"/>
        <w:keepLines w:val="0"/>
        <w:pageBreakBefore w:val="0"/>
        <w:widowControl/>
        <w:suppressLineNumbers w:val="0"/>
        <w:kinsoku/>
        <w:wordWrap/>
        <w:overflowPunct/>
        <w:topLinePunct w:val="0"/>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pacing w:val="0"/>
          <w:sz w:val="21"/>
          <w:szCs w:val="21"/>
          <w:highlight w:val="none"/>
        </w:rPr>
        <w:br w:type="page"/>
      </w:r>
      <w:r>
        <w:rPr>
          <w:rFonts w:hint="eastAsia" w:ascii="宋体" w:hAnsi="宋体" w:eastAsia="宋体" w:cs="宋体"/>
          <w:b/>
          <w:bCs/>
          <w:color w:val="auto"/>
          <w:sz w:val="28"/>
          <w:szCs w:val="28"/>
          <w:highlight w:val="none"/>
        </w:rPr>
        <w:t>第五章 拟签订的合同文本</w:t>
      </w:r>
    </w:p>
    <w:p w14:paraId="4AEB1728">
      <w:pPr>
        <w:pageBreakBefore w:val="0"/>
        <w:widowControl w:val="0"/>
        <w:kinsoku/>
        <w:wordWrap/>
        <w:overflowPunct/>
        <w:topLinePunct w:val="0"/>
        <w:bidi w:val="0"/>
        <w:spacing w:line="288" w:lineRule="auto"/>
        <w:ind w:firstLine="562" w:firstLineChars="20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b/>
          <w:bCs/>
          <w:color w:val="auto"/>
          <w:kern w:val="0"/>
          <w:sz w:val="28"/>
          <w:szCs w:val="28"/>
          <w:highlight w:val="none"/>
          <w:lang w:val="en-US" w:eastAsia="zh-CN" w:bidi="ar-SA"/>
        </w:rPr>
        <w:t>杭州电子科技大学采购合同（服务类）</w:t>
      </w:r>
    </w:p>
    <w:p w14:paraId="0AA6B5B3">
      <w:pPr>
        <w:pageBreakBefore w:val="0"/>
        <w:widowControl w:val="0"/>
        <w:kinsoku/>
        <w:wordWrap/>
        <w:overflowPunct/>
        <w:topLinePunct w:val="0"/>
        <w:bidi w:val="0"/>
        <w:spacing w:line="288" w:lineRule="auto"/>
        <w:ind w:firstLine="420" w:firstLineChars="200"/>
        <w:jc w:val="right"/>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合同编号_________________</w:t>
      </w:r>
    </w:p>
    <w:p w14:paraId="0CDDBC2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确认书号：</w:t>
      </w:r>
    </w:p>
    <w:p w14:paraId="19857DC4">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项目编号：</w:t>
      </w:r>
    </w:p>
    <w:p w14:paraId="21A36DE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甲方（采购人）：杭州电子科技大学</w:t>
      </w:r>
    </w:p>
    <w:p w14:paraId="4A0AEB2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乙方（供应商）：</w:t>
      </w:r>
    </w:p>
    <w:p w14:paraId="0BFA7F5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采购代理机构（鉴证方）：</w:t>
      </w:r>
    </w:p>
    <w:p w14:paraId="6094224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为了保护甲乙双方合法权益，根据项目</w:t>
      </w:r>
      <w:r>
        <w:rPr>
          <w:rFonts w:hint="eastAsia" w:ascii="宋体" w:hAnsi="宋体" w:eastAsia="宋体" w:cs="宋体"/>
          <w:color w:val="auto"/>
          <w:kern w:val="0"/>
          <w:sz w:val="21"/>
          <w:szCs w:val="20"/>
          <w:highlight w:val="none"/>
          <w:u w:val="single"/>
          <w:lang w:val="en-US" w:eastAsia="zh-CN" w:bidi="ar-SA"/>
        </w:rPr>
        <w:t xml:space="preserve">   (填项目名称)      </w:t>
      </w: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u w:val="single"/>
          <w:lang w:val="en-US" w:eastAsia="zh-CN" w:bidi="ar-SA"/>
        </w:rPr>
        <w:t xml:space="preserve"> （填采购方式）   </w:t>
      </w:r>
      <w:r>
        <w:rPr>
          <w:rFonts w:hint="eastAsia" w:ascii="宋体" w:hAnsi="宋体" w:eastAsia="宋体" w:cs="宋体"/>
          <w:color w:val="auto"/>
          <w:kern w:val="0"/>
          <w:sz w:val="21"/>
          <w:szCs w:val="20"/>
          <w:highlight w:val="none"/>
          <w:lang w:val="en-US" w:eastAsia="zh-CN" w:bidi="ar-SA"/>
        </w:rPr>
        <w:t>的中标（成交）结果，签署本合同，以资共同遵守。</w:t>
      </w:r>
    </w:p>
    <w:p w14:paraId="4A55359F">
      <w:pPr>
        <w:pageBreakBefore w:val="0"/>
        <w:widowControl w:val="0"/>
        <w:numPr>
          <w:ilvl w:val="0"/>
          <w:numId w:val="0"/>
        </w:numPr>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一、采购服务内容及合同价格</w:t>
      </w:r>
    </w:p>
    <w:tbl>
      <w:tblPr>
        <w:tblStyle w:val="1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269"/>
        <w:gridCol w:w="3542"/>
        <w:gridCol w:w="4030"/>
      </w:tblGrid>
      <w:tr w14:paraId="1FB6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shd w:val="clear" w:color="auto" w:fill="auto"/>
            <w:vAlign w:val="center"/>
          </w:tcPr>
          <w:p w14:paraId="39AF7F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leftChars="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序号</w:t>
            </w:r>
          </w:p>
        </w:tc>
        <w:tc>
          <w:tcPr>
            <w:tcW w:w="637" w:type="pct"/>
            <w:shd w:val="clear" w:color="auto" w:fill="auto"/>
            <w:vAlign w:val="center"/>
          </w:tcPr>
          <w:p w14:paraId="707EFB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名称</w:t>
            </w:r>
          </w:p>
        </w:tc>
        <w:tc>
          <w:tcPr>
            <w:tcW w:w="1778" w:type="pct"/>
            <w:shd w:val="clear" w:color="auto" w:fill="auto"/>
            <w:vAlign w:val="center"/>
          </w:tcPr>
          <w:p w14:paraId="53B1C4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主要内容</w:t>
            </w:r>
          </w:p>
        </w:tc>
        <w:tc>
          <w:tcPr>
            <w:tcW w:w="2020" w:type="pct"/>
            <w:shd w:val="clear" w:color="auto" w:fill="auto"/>
            <w:vAlign w:val="center"/>
          </w:tcPr>
          <w:p w14:paraId="2C66C2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服务费用</w:t>
            </w:r>
          </w:p>
        </w:tc>
      </w:tr>
      <w:tr w14:paraId="1BB3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643CC53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p>
        </w:tc>
        <w:tc>
          <w:tcPr>
            <w:tcW w:w="637" w:type="pct"/>
            <w:vAlign w:val="center"/>
          </w:tcPr>
          <w:p w14:paraId="5EC6DE6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502B072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0142D0D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7667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1F72E085">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637" w:type="pct"/>
            <w:vAlign w:val="center"/>
          </w:tcPr>
          <w:p w14:paraId="65E6CA8E">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128B615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71D5449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2BC6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000" w:type="pct"/>
            <w:gridSpan w:val="4"/>
            <w:vAlign w:val="center"/>
          </w:tcPr>
          <w:p w14:paraId="5453446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合同总价（元，人民币）：小写￥              ，大写：</w:t>
            </w:r>
          </w:p>
        </w:tc>
      </w:tr>
    </w:tbl>
    <w:p w14:paraId="30E45B3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06589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二、服务内容与要求</w:t>
      </w:r>
    </w:p>
    <w:p w14:paraId="5B9EEF4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6113576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三、服务时间与地点</w:t>
      </w:r>
    </w:p>
    <w:p w14:paraId="60726A8D">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4"/>
          <w:highlight w:val="none"/>
          <w:u w:val="single"/>
          <w:lang w:val="en-US" w:eastAsia="zh-CN" w:bidi="ar-SA"/>
        </w:rPr>
      </w:pPr>
      <w:r>
        <w:rPr>
          <w:rFonts w:hint="eastAsia" w:ascii="宋体" w:hAnsi="宋体" w:eastAsia="宋体" w:cs="宋体"/>
          <w:color w:val="auto"/>
          <w:kern w:val="2"/>
          <w:sz w:val="21"/>
          <w:szCs w:val="24"/>
          <w:highlight w:val="none"/>
          <w:lang w:val="en-US" w:eastAsia="zh-CN" w:bidi="ar-SA"/>
        </w:rPr>
        <w:t>1</w:t>
      </w:r>
      <w:r>
        <w:rPr>
          <w:rFonts w:hint="eastAsia" w:ascii="宋体" w:hAnsi="宋体" w:eastAsia="宋体" w:cs="宋体"/>
          <w:color w:val="auto"/>
          <w:spacing w:val="-6"/>
          <w:kern w:val="2"/>
          <w:sz w:val="21"/>
          <w:szCs w:val="24"/>
          <w:highlight w:val="none"/>
          <w:lang w:val="en-US" w:eastAsia="zh-CN" w:bidi="ar-SA"/>
        </w:rPr>
        <w:t>.</w:t>
      </w:r>
      <w:r>
        <w:rPr>
          <w:rFonts w:hint="eastAsia" w:ascii="宋体" w:hAnsi="宋体" w:eastAsia="宋体" w:cs="宋体"/>
          <w:color w:val="auto"/>
          <w:kern w:val="2"/>
          <w:sz w:val="21"/>
          <w:szCs w:val="24"/>
          <w:highlight w:val="none"/>
          <w:lang w:val="en-US" w:eastAsia="zh-CN" w:bidi="ar-SA"/>
        </w:rPr>
        <w:t>服务时间：</w:t>
      </w:r>
    </w:p>
    <w:p w14:paraId="1C744C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u w:val="single"/>
          <w:lang w:val="en-US" w:eastAsia="zh-CN" w:bidi="ar-SA"/>
        </w:rPr>
      </w:pPr>
      <w:r>
        <w:rPr>
          <w:rFonts w:hint="eastAsia" w:ascii="宋体" w:hAnsi="宋体" w:eastAsia="宋体" w:cs="宋体"/>
          <w:color w:val="auto"/>
          <w:kern w:val="0"/>
          <w:sz w:val="21"/>
          <w:szCs w:val="20"/>
          <w:highlight w:val="none"/>
          <w:lang w:val="en-US" w:eastAsia="zh-CN" w:bidi="ar-SA"/>
        </w:rPr>
        <w:t>服务期限：</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月，从</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日至</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日。乙方须在</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日前完成本项目并经甲方验收合格；其他质保及服务时间说明（如有）：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 xml:space="preserve"> 。</w:t>
      </w:r>
    </w:p>
    <w:p w14:paraId="6835C31E">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2.服务地点：甲方指定地点。</w:t>
      </w:r>
    </w:p>
    <w:p w14:paraId="4896CC7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3.联系人及电话：</w:t>
      </w:r>
      <w:bookmarkStart w:id="0" w:name="_Hlk155181628"/>
      <w:r>
        <w:rPr>
          <w:rFonts w:hint="eastAsia" w:ascii="宋体" w:hAnsi="宋体" w:eastAsia="宋体" w:cs="宋体"/>
          <w:color w:val="auto"/>
          <w:kern w:val="0"/>
          <w:sz w:val="21"/>
          <w:szCs w:val="20"/>
          <w:highlight w:val="none"/>
          <w:lang w:val="en-US" w:eastAsia="zh-CN" w:bidi="ar-SA"/>
        </w:rPr>
        <w:t>甲方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；乙方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bookmarkEnd w:id="0"/>
      <w:r>
        <w:rPr>
          <w:rFonts w:hint="eastAsia" w:ascii="宋体" w:hAnsi="宋体" w:eastAsia="宋体" w:cs="宋体"/>
          <w:color w:val="auto"/>
          <w:kern w:val="0"/>
          <w:sz w:val="21"/>
          <w:szCs w:val="20"/>
          <w:highlight w:val="none"/>
          <w:lang w:val="en-US" w:eastAsia="zh-CN" w:bidi="ar-SA"/>
        </w:rPr>
        <w:t>。</w:t>
      </w:r>
    </w:p>
    <w:p w14:paraId="7B65C237">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四、履约保证金与付款方式</w:t>
      </w:r>
    </w:p>
    <w:p w14:paraId="2295AA8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履约保证金（如有）</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合同总金额的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开户银行：工行高新支行。银行账号：1202026209008806216。</w:t>
      </w:r>
    </w:p>
    <w:p w14:paraId="1440483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付款方式：按以下第</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种方式支付乙方合同价款。</w:t>
      </w:r>
    </w:p>
    <w:p w14:paraId="16896FA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spacing w:val="-6"/>
          <w:kern w:val="0"/>
          <w:sz w:val="21"/>
          <w:szCs w:val="20"/>
          <w:highlight w:val="none"/>
          <w:lang w:val="en-US" w:eastAsia="zh-CN" w:bidi="ar-SA"/>
        </w:rPr>
        <w:t>1</w:t>
      </w:r>
      <w:r>
        <w:rPr>
          <w:rFonts w:hint="eastAsia" w:ascii="宋体" w:hAnsi="宋体" w:eastAsia="宋体" w:cs="宋体"/>
          <w:color w:val="auto"/>
          <w:kern w:val="0"/>
          <w:sz w:val="21"/>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ascii="宋体" w:hAnsi="宋体" w:cs="宋体"/>
          <w:color w:val="auto"/>
          <w:kern w:val="0"/>
          <w:sz w:val="21"/>
          <w:szCs w:val="20"/>
          <w:highlight w:val="none"/>
          <w:u w:val="single"/>
          <w:lang w:val="en-US" w:eastAsia="zh-CN" w:bidi="ar-SA"/>
        </w:rPr>
        <w:t>70</w:t>
      </w:r>
      <w:r>
        <w:rPr>
          <w:rFonts w:hint="eastAsia" w:ascii="宋体" w:hAnsi="宋体" w:eastAsia="宋体" w:cs="宋体"/>
          <w:color w:val="auto"/>
          <w:kern w:val="0"/>
          <w:sz w:val="21"/>
          <w:szCs w:val="20"/>
          <w:highlight w:val="none"/>
          <w:lang w:val="en-US" w:eastAsia="zh-CN" w:bidi="ar-SA"/>
        </w:rPr>
        <w:t>%；服务期满6个月，</w:t>
      </w:r>
      <w:r>
        <w:rPr>
          <w:rFonts w:hint="eastAsia" w:ascii="宋体" w:hAnsi="宋体" w:cs="宋体"/>
          <w:color w:val="auto"/>
          <w:kern w:val="0"/>
          <w:sz w:val="21"/>
          <w:szCs w:val="20"/>
          <w:highlight w:val="none"/>
          <w:lang w:val="en-US" w:eastAsia="zh-CN" w:bidi="ar-SA"/>
        </w:rPr>
        <w:t>经甲方初步验收合格并收到发票后7个工作日内</w:t>
      </w:r>
      <w:r>
        <w:rPr>
          <w:rFonts w:hint="eastAsia" w:ascii="宋体" w:hAnsi="宋体" w:eastAsia="宋体" w:cs="宋体"/>
          <w:color w:val="auto"/>
          <w:kern w:val="0"/>
          <w:sz w:val="21"/>
          <w:szCs w:val="20"/>
          <w:highlight w:val="none"/>
          <w:lang w:val="en-US" w:eastAsia="zh-CN" w:bidi="ar-SA"/>
        </w:rPr>
        <w:t>，向</w:t>
      </w:r>
      <w:r>
        <w:rPr>
          <w:rFonts w:hint="eastAsia" w:ascii="宋体" w:hAnsi="宋体" w:cs="宋体"/>
          <w:color w:val="auto"/>
          <w:kern w:val="0"/>
          <w:sz w:val="21"/>
          <w:szCs w:val="20"/>
          <w:highlight w:val="none"/>
          <w:lang w:val="en-US" w:eastAsia="zh-CN" w:bidi="ar-SA"/>
        </w:rPr>
        <w:t>乙方</w:t>
      </w:r>
      <w:r>
        <w:rPr>
          <w:rFonts w:hint="eastAsia" w:ascii="宋体" w:hAnsi="宋体" w:eastAsia="宋体" w:cs="宋体"/>
          <w:color w:val="auto"/>
          <w:kern w:val="0"/>
          <w:sz w:val="21"/>
          <w:szCs w:val="20"/>
          <w:highlight w:val="none"/>
          <w:lang w:val="en-US" w:eastAsia="zh-CN" w:bidi="ar-SA"/>
        </w:rPr>
        <w:t>支付合同总价的</w:t>
      </w:r>
      <w:r>
        <w:rPr>
          <w:rFonts w:hint="eastAsia" w:ascii="宋体" w:hAnsi="宋体" w:eastAsia="宋体" w:cs="宋体"/>
          <w:color w:val="auto"/>
          <w:kern w:val="0"/>
          <w:sz w:val="21"/>
          <w:szCs w:val="20"/>
          <w:highlight w:val="none"/>
          <w:u w:val="single"/>
          <w:lang w:val="en-US" w:eastAsia="zh-CN" w:bidi="ar-SA"/>
        </w:rPr>
        <w:t>20</w:t>
      </w:r>
      <w:r>
        <w:rPr>
          <w:rFonts w:hint="eastAsia" w:ascii="宋体" w:hAnsi="宋体" w:eastAsia="宋体" w:cs="宋体"/>
          <w:color w:val="auto"/>
          <w:kern w:val="0"/>
          <w:sz w:val="21"/>
          <w:szCs w:val="20"/>
          <w:highlight w:val="none"/>
          <w:lang w:val="en-US" w:eastAsia="zh-CN" w:bidi="ar-SA"/>
        </w:rPr>
        <w:t>%；服务完成，经甲方</w:t>
      </w:r>
      <w:r>
        <w:rPr>
          <w:rFonts w:hint="eastAsia" w:ascii="宋体" w:hAnsi="宋体" w:cs="宋体"/>
          <w:color w:val="auto"/>
          <w:kern w:val="0"/>
          <w:sz w:val="21"/>
          <w:szCs w:val="20"/>
          <w:highlight w:val="none"/>
          <w:lang w:val="en-US" w:eastAsia="zh-CN" w:bidi="ar-SA"/>
        </w:rPr>
        <w:t>验收合格</w:t>
      </w:r>
      <w:r>
        <w:rPr>
          <w:rFonts w:hint="eastAsia" w:ascii="宋体" w:hAnsi="宋体" w:eastAsia="宋体" w:cs="宋体"/>
          <w:color w:val="auto"/>
          <w:kern w:val="0"/>
          <w:sz w:val="21"/>
          <w:szCs w:val="20"/>
          <w:highlight w:val="none"/>
          <w:lang w:val="en-US" w:eastAsia="zh-CN" w:bidi="ar-SA"/>
        </w:rPr>
        <w:t>并收到发票后7个工作日内，向乙方支付合同总价的</w:t>
      </w:r>
      <w:r>
        <w:rPr>
          <w:rFonts w:hint="eastAsia" w:ascii="宋体" w:hAnsi="宋体" w:cs="宋体"/>
          <w:color w:val="auto"/>
          <w:kern w:val="0"/>
          <w:sz w:val="21"/>
          <w:szCs w:val="20"/>
          <w:highlight w:val="none"/>
          <w:u w:val="single"/>
          <w:lang w:val="en-US" w:eastAsia="zh-CN" w:bidi="ar-SA"/>
        </w:rPr>
        <w:t>10</w:t>
      </w:r>
      <w:r>
        <w:rPr>
          <w:rFonts w:hint="eastAsia" w:ascii="宋体" w:hAnsi="宋体" w:eastAsia="宋体" w:cs="宋体"/>
          <w:color w:val="auto"/>
          <w:kern w:val="0"/>
          <w:sz w:val="21"/>
          <w:szCs w:val="20"/>
          <w:highlight w:val="none"/>
          <w:lang w:val="en-US" w:eastAsia="zh-CN" w:bidi="ar-SA"/>
        </w:rPr>
        <w:t>%。若供应商收取预付款，要求预付款保函有效期覆盖</w:t>
      </w:r>
      <w:r>
        <w:rPr>
          <w:rFonts w:hint="eastAsia" w:ascii="宋体" w:hAnsi="宋体" w:cs="宋体"/>
          <w:color w:val="auto"/>
          <w:kern w:val="0"/>
          <w:sz w:val="21"/>
          <w:szCs w:val="20"/>
          <w:highlight w:val="none"/>
          <w:lang w:val="en-US" w:eastAsia="zh-CN" w:bidi="ar-SA"/>
        </w:rPr>
        <w:t>初步</w:t>
      </w:r>
      <w:r>
        <w:rPr>
          <w:rFonts w:hint="eastAsia" w:ascii="宋体" w:hAnsi="宋体" w:eastAsia="宋体" w:cs="宋体"/>
          <w:color w:val="auto"/>
          <w:kern w:val="0"/>
          <w:sz w:val="21"/>
          <w:szCs w:val="20"/>
          <w:highlight w:val="none"/>
          <w:lang w:val="en-US" w:eastAsia="zh-CN" w:bidi="ar-SA"/>
        </w:rPr>
        <w:t>验收合格时间；提供了预付款保函则供应商无需再缴纳履约保证金。</w:t>
      </w:r>
    </w:p>
    <w:p w14:paraId="51295CA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（2）以人工投入为主且实行按月定期结算支付款项的项目，按月结算付款。</w:t>
      </w:r>
    </w:p>
    <w:p w14:paraId="234F4BD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（3）签订合同时乙方明确表示无需预付款，可以采用以下付款方式：</w:t>
      </w:r>
    </w:p>
    <w:p w14:paraId="03738D4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①</w:t>
      </w:r>
      <w:r>
        <w:rPr>
          <w:rFonts w:hint="eastAsia" w:ascii="宋体" w:hAnsi="宋体" w:eastAsia="宋体" w:cs="宋体"/>
          <w:b/>
          <w:color w:val="auto"/>
          <w:kern w:val="0"/>
          <w:sz w:val="21"/>
          <w:szCs w:val="20"/>
          <w:highlight w:val="none"/>
          <w:lang w:val="en-US" w:eastAsia="zh-CN" w:bidi="ar-SA"/>
        </w:rPr>
        <w:t>一</w:t>
      </w:r>
      <w:r>
        <w:rPr>
          <w:rFonts w:hint="eastAsia" w:ascii="宋体" w:hAnsi="宋体" w:eastAsia="宋体" w:cs="宋体"/>
          <w:bCs/>
          <w:color w:val="auto"/>
          <w:kern w:val="0"/>
          <w:sz w:val="21"/>
          <w:szCs w:val="20"/>
          <w:highlight w:val="none"/>
          <w:lang w:val="en-US" w:eastAsia="zh-CN" w:bidi="ar-SA"/>
        </w:rPr>
        <w:t>次性付款</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服务</w:t>
      </w:r>
      <w:r>
        <w:rPr>
          <w:rFonts w:hint="eastAsia" w:ascii="宋体" w:hAnsi="宋体" w:eastAsia="宋体" w:cs="宋体"/>
          <w:color w:val="auto"/>
          <w:kern w:val="0"/>
          <w:sz w:val="21"/>
          <w:szCs w:val="21"/>
          <w:highlight w:val="none"/>
          <w:lang w:val="en-US" w:eastAsia="zh-CN" w:bidi="ar-SA"/>
        </w:rPr>
        <w:t>完成</w:t>
      </w:r>
      <w:r>
        <w:rPr>
          <w:rFonts w:hint="eastAsia" w:ascii="宋体" w:hAnsi="宋体" w:eastAsia="宋体" w:cs="宋体"/>
          <w:color w:val="auto"/>
          <w:kern w:val="0"/>
          <w:sz w:val="21"/>
          <w:szCs w:val="20"/>
          <w:highlight w:val="none"/>
          <w:lang w:val="en-US" w:eastAsia="zh-CN" w:bidi="ar-SA"/>
        </w:rPr>
        <w:t>，甲方验收合格并收到发票后10个工作日内，甲方向乙方支付全部合同价款。</w:t>
      </w:r>
    </w:p>
    <w:p w14:paraId="4AA668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②</w:t>
      </w:r>
      <w:r>
        <w:rPr>
          <w:rFonts w:hint="eastAsia" w:ascii="宋体" w:hAnsi="宋体" w:eastAsia="宋体" w:cs="宋体"/>
          <w:bCs/>
          <w:color w:val="auto"/>
          <w:kern w:val="0"/>
          <w:sz w:val="21"/>
          <w:szCs w:val="20"/>
          <w:highlight w:val="none"/>
          <w:lang w:val="en-US" w:eastAsia="zh-CN" w:bidi="ar-SA"/>
        </w:rPr>
        <w:t>按期结算</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 xml:space="preserve">末（月\季度\半年\年），合同生效、具备使用条件并经甲方验收合格并收到发票后 10个工作日内，甲方向乙方支付本期款项。 </w:t>
      </w:r>
    </w:p>
    <w:p w14:paraId="14C8D3A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③按进度付款</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每个进度节点，</w:t>
      </w:r>
      <w:r>
        <w:rPr>
          <w:rFonts w:hint="eastAsia" w:ascii="宋体" w:hAnsi="宋体" w:eastAsia="宋体" w:cs="宋体"/>
          <w:bCs/>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验收合格并收到发票后10个工作日内，甲方向乙方支付对应款项，具体结点及付款额度为</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454D63B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④其它支付形式（双方协商一致，需符合采购法规）：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7F80544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（4）房屋租赁、服务器租用、数据库使用等租用型项目，合同生效、具备使用条件并经甲方验收合格后按期支付费用，按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（月\季度\半年\年）支付。</w:t>
      </w:r>
    </w:p>
    <w:p w14:paraId="2797210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无论何种结算方式，付款前，乙方须交纳合同约定的履约保证金（如有）并提供甲方财务处开具的履约保证金收据，乙方向甲方开具等额有效的发票。</w:t>
      </w:r>
    </w:p>
    <w:p w14:paraId="086AEF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开票信息如下：</w:t>
      </w:r>
    </w:p>
    <w:p w14:paraId="720352B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单位名称：杭州电子科技大学。税号：12330000470009026T</w:t>
      </w:r>
    </w:p>
    <w:p w14:paraId="22D23C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开户银行：工行杭州高新支行。账号：1202026209008806216</w:t>
      </w:r>
    </w:p>
    <w:p w14:paraId="0C42B3D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五、双方权利与义务：</w:t>
      </w:r>
    </w:p>
    <w:p w14:paraId="3582AD5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（按采购文件及采购结果填写，如有）</w:t>
      </w:r>
    </w:p>
    <w:p w14:paraId="1C12509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六、知识产权要求</w:t>
      </w:r>
    </w:p>
    <w:p w14:paraId="3AC8E7B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D960B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65E483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七、转包或分包</w:t>
      </w:r>
    </w:p>
    <w:p w14:paraId="0E5946A6">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1</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本合同范围的标的，应由乙方直接供应，不得转让他人供应。</w:t>
      </w:r>
    </w:p>
    <w:p w14:paraId="5C5CD5F0">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2</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除非得到甲方的书面同意，乙方不得将本合同范围的货物分包给他人供应。</w:t>
      </w:r>
    </w:p>
    <w:p w14:paraId="78EC7E3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如有转让或未经甲方同意的分包行为，甲方有权解除合同，没收履约保证金并要求乙方支付合同总价15%的违约金。</w:t>
      </w:r>
    </w:p>
    <w:p w14:paraId="570A07A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1" w:name="_Hlk155173514"/>
      <w:r>
        <w:rPr>
          <w:rFonts w:hint="eastAsia" w:ascii="宋体" w:hAnsi="宋体" w:eastAsia="宋体" w:cs="宋体"/>
          <w:color w:val="auto"/>
          <w:kern w:val="0"/>
          <w:sz w:val="21"/>
          <w:szCs w:val="20"/>
          <w:highlight w:val="none"/>
          <w:lang w:val="en-US" w:eastAsia="zh-CN" w:bidi="ar-SA"/>
        </w:rPr>
        <w:t>八、</w:t>
      </w:r>
      <w:bookmarkEnd w:id="1"/>
      <w:r>
        <w:rPr>
          <w:rFonts w:hint="eastAsia" w:ascii="宋体" w:hAnsi="宋体" w:eastAsia="宋体" w:cs="宋体"/>
          <w:color w:val="auto"/>
          <w:kern w:val="0"/>
          <w:sz w:val="21"/>
          <w:szCs w:val="20"/>
          <w:highlight w:val="none"/>
          <w:lang w:val="en-US" w:eastAsia="zh-CN" w:bidi="ar-SA"/>
        </w:rPr>
        <w:t>验收</w:t>
      </w:r>
    </w:p>
    <w:p w14:paraId="26FA6A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1.验收前乙方应对所提供服务作出全面检查及对验收文件进行整理，并列出清单，作为甲方验收和使用的技术条件依据，检验的结果应交甲方。</w:t>
      </w:r>
    </w:p>
    <w:p w14:paraId="53600E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2.如甲方需要，验收时乙方应在现场，验收完毕后作出验收结果报告。 </w:t>
      </w:r>
    </w:p>
    <w:p w14:paraId="5BF09FC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个工作日内开始验收。</w:t>
      </w:r>
    </w:p>
    <w:p w14:paraId="313F6C7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strike/>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1EA19B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九、质量保证与售后服务</w:t>
      </w:r>
    </w:p>
    <w:p w14:paraId="607EB54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26AD35A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33A885D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3.质量保证期内，乙方对本项目所含货物类产品免费提供维护、维修或更换，包括设备维修所需的零配件及不能解决的故障需要返回生产厂家维修时所发生的一切费用。</w:t>
      </w:r>
    </w:p>
    <w:p w14:paraId="2644551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十、保密条款</w:t>
      </w:r>
    </w:p>
    <w:p w14:paraId="13AF48C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445C60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十一、违约责任</w:t>
      </w:r>
    </w:p>
    <w:p w14:paraId="35173C6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甲方逾期支付款项的，每逾期一日，应按逾期付款总额</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向乙方支付违约金。</w:t>
      </w:r>
    </w:p>
    <w:p w14:paraId="569DD8D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乙方逾期履行合同的，每逾期一日，应按合同总价</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向甲方支付违约金。累计逾期超过约定日期</w:t>
      </w:r>
      <w:r>
        <w:rPr>
          <w:rFonts w:hint="eastAsia" w:ascii="宋体" w:hAnsi="宋体" w:eastAsia="宋体" w:cs="宋体"/>
          <w:color w:val="auto"/>
          <w:kern w:val="0"/>
          <w:sz w:val="21"/>
          <w:szCs w:val="20"/>
          <w:highlight w:val="none"/>
          <w:u w:val="single"/>
          <w:lang w:val="en-US" w:eastAsia="zh-CN" w:bidi="ar-SA"/>
        </w:rPr>
        <w:t xml:space="preserve"> 10 </w:t>
      </w:r>
      <w:r>
        <w:rPr>
          <w:rFonts w:hint="eastAsia" w:ascii="宋体" w:hAnsi="宋体" w:eastAsia="宋体" w:cs="宋体"/>
          <w:color w:val="auto"/>
          <w:kern w:val="0"/>
          <w:sz w:val="21"/>
          <w:szCs w:val="20"/>
          <w:highlight w:val="none"/>
          <w:lang w:val="en-US" w:eastAsia="zh-CN" w:bidi="ar-SA"/>
        </w:rPr>
        <w:t>个工作日的，甲方有权解除本合同，乙方应向</w:t>
      </w:r>
      <w:r>
        <w:rPr>
          <w:rFonts w:hint="eastAsia" w:ascii="宋体" w:hAnsi="宋体" w:eastAsia="宋体" w:cs="宋体"/>
          <w:color w:val="auto"/>
          <w:spacing w:val="-6"/>
          <w:kern w:val="0"/>
          <w:sz w:val="21"/>
          <w:szCs w:val="20"/>
          <w:highlight w:val="none"/>
          <w:lang w:val="en-US" w:eastAsia="zh-CN" w:bidi="ar-SA"/>
        </w:rPr>
        <w:t>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spacing w:val="-6"/>
          <w:kern w:val="0"/>
          <w:sz w:val="21"/>
          <w:szCs w:val="20"/>
          <w:highlight w:val="none"/>
          <w:lang w:val="en-US" w:eastAsia="zh-CN" w:bidi="ar-SA"/>
        </w:rPr>
        <w:t>向甲方支付违约金，</w:t>
      </w:r>
      <w:r>
        <w:rPr>
          <w:rFonts w:hint="eastAsia" w:ascii="宋体" w:hAnsi="宋体" w:eastAsia="宋体" w:cs="宋体"/>
          <w:color w:val="auto"/>
          <w:kern w:val="0"/>
          <w:sz w:val="21"/>
          <w:szCs w:val="20"/>
          <w:highlight w:val="none"/>
          <w:lang w:val="en-US" w:eastAsia="zh-CN" w:bidi="ar-SA"/>
        </w:rPr>
        <w:t>违约金不足以弥补甲方损失的，乙方还应向</w:t>
      </w:r>
      <w:r>
        <w:rPr>
          <w:rFonts w:hint="eastAsia" w:ascii="宋体" w:hAnsi="宋体" w:eastAsia="宋体" w:cs="宋体"/>
          <w:color w:val="auto"/>
          <w:spacing w:val="-6"/>
          <w:kern w:val="0"/>
          <w:sz w:val="21"/>
          <w:szCs w:val="20"/>
          <w:highlight w:val="none"/>
          <w:lang w:val="en-US" w:eastAsia="zh-CN" w:bidi="ar-SA"/>
        </w:rPr>
        <w:t>甲方赔偿遭受的全部损失。</w:t>
      </w:r>
      <w:r>
        <w:rPr>
          <w:rFonts w:hint="eastAsia" w:ascii="宋体" w:hAnsi="宋体" w:eastAsia="宋体" w:cs="宋体"/>
          <w:color w:val="auto"/>
          <w:kern w:val="0"/>
          <w:sz w:val="21"/>
          <w:szCs w:val="20"/>
          <w:highlight w:val="none"/>
          <w:lang w:val="en-US" w:eastAsia="zh-CN" w:bidi="ar-SA"/>
        </w:rPr>
        <w:t xml:space="preserve"> </w:t>
      </w:r>
    </w:p>
    <w:p w14:paraId="5D4E318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kern w:val="0"/>
          <w:sz w:val="21"/>
          <w:szCs w:val="20"/>
          <w:highlight w:val="none"/>
          <w:lang w:val="en-US" w:eastAsia="zh-CN" w:bidi="ar-SA"/>
        </w:rPr>
        <w:t>向甲方支付违约金，违约金不足以弥补甲方损失的，乙方还应向甲方赔偿遭受的全部损失。</w:t>
      </w:r>
    </w:p>
    <w:p w14:paraId="76545CE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w:t>
      </w:r>
      <w:r>
        <w:rPr>
          <w:rFonts w:hint="eastAsia" w:ascii="宋体" w:hAnsi="宋体" w:eastAsia="宋体" w:cs="宋体"/>
          <w:color w:val="auto"/>
          <w:spacing w:val="-6"/>
          <w:kern w:val="0"/>
          <w:sz w:val="21"/>
          <w:szCs w:val="20"/>
          <w:highlight w:val="none"/>
          <w:lang w:val="en-US" w:eastAsia="zh-CN" w:bidi="ar-SA"/>
        </w:rPr>
        <w:t>服务期内乙方未在约定时间内作出服务响应的，</w:t>
      </w:r>
      <w:r>
        <w:rPr>
          <w:rFonts w:hint="eastAsia" w:ascii="宋体" w:hAnsi="宋体" w:eastAsia="宋体" w:cs="宋体"/>
          <w:color w:val="auto"/>
          <w:kern w:val="0"/>
          <w:sz w:val="21"/>
          <w:szCs w:val="20"/>
          <w:highlight w:val="none"/>
          <w:lang w:val="en-US" w:eastAsia="zh-CN" w:bidi="ar-SA"/>
        </w:rPr>
        <w:t>每发生一次应向甲方支付</w:t>
      </w:r>
      <w:r>
        <w:rPr>
          <w:rFonts w:hint="eastAsia" w:ascii="宋体" w:hAnsi="宋体" w:eastAsia="宋体" w:cs="宋体"/>
          <w:color w:val="auto"/>
          <w:kern w:val="0"/>
          <w:sz w:val="21"/>
          <w:szCs w:val="20"/>
          <w:highlight w:val="none"/>
          <w:u w:val="single"/>
          <w:lang w:val="en-US" w:eastAsia="zh-CN" w:bidi="ar-SA"/>
        </w:rPr>
        <w:t xml:space="preserve"> 2000 </w:t>
      </w:r>
      <w:r>
        <w:rPr>
          <w:rFonts w:hint="eastAsia" w:ascii="宋体" w:hAnsi="宋体" w:eastAsia="宋体" w:cs="宋体"/>
          <w:color w:val="auto"/>
          <w:kern w:val="0"/>
          <w:sz w:val="21"/>
          <w:szCs w:val="20"/>
          <w:highlight w:val="none"/>
          <w:lang w:val="en-US" w:eastAsia="zh-CN" w:bidi="ar-SA"/>
        </w:rPr>
        <w:t>元的违约金，</w:t>
      </w:r>
      <w:r>
        <w:rPr>
          <w:rFonts w:hint="eastAsia" w:ascii="宋体" w:hAnsi="宋体" w:eastAsia="宋体" w:cs="宋体"/>
          <w:color w:val="auto"/>
          <w:spacing w:val="-6"/>
          <w:kern w:val="0"/>
          <w:sz w:val="21"/>
          <w:szCs w:val="20"/>
          <w:highlight w:val="none"/>
          <w:lang w:val="en-US" w:eastAsia="zh-CN" w:bidi="ar-SA"/>
        </w:rPr>
        <w:t>甲方有权委托第三方提供服务，</w:t>
      </w:r>
      <w:r>
        <w:rPr>
          <w:rFonts w:hint="eastAsia" w:ascii="宋体" w:hAnsi="宋体" w:eastAsia="宋体" w:cs="宋体"/>
          <w:color w:val="auto"/>
          <w:kern w:val="0"/>
          <w:sz w:val="21"/>
          <w:szCs w:val="20"/>
          <w:highlight w:val="none"/>
          <w:lang w:val="en-US" w:eastAsia="zh-CN" w:bidi="ar-SA"/>
        </w:rPr>
        <w:t>所产生的费用由乙方承担。</w:t>
      </w:r>
    </w:p>
    <w:p w14:paraId="2FBEF26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9B24F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十二、不可抗力</w:t>
      </w:r>
    </w:p>
    <w:p w14:paraId="38D567B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在合同有效期内，任何一方因不可抗力事件导致不能履行合同，则合同履行期可延长，其延长期与不可抗力影响期相同。</w:t>
      </w:r>
    </w:p>
    <w:p w14:paraId="78383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 xml:space="preserve"> 不可抗力事件发生后，受不可抗力事件影响的一方应在事件发生后3日内立即通知对方，并寄送有关权威机构出具的证明。同时应立即尽一切合理努力采取措施，消除影响，减少损失。</w:t>
      </w:r>
    </w:p>
    <w:p w14:paraId="3C983C8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 xml:space="preserve"> 不可抗力事件延续30天以上，双方应通过友好协商，确定是否继续履行合同。</w:t>
      </w:r>
    </w:p>
    <w:p w14:paraId="60D5BAD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 本条所述的“不可抗力”依法律规定。</w:t>
      </w:r>
    </w:p>
    <w:p w14:paraId="496A933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十三、法律适用与争议解决</w:t>
      </w:r>
    </w:p>
    <w:p w14:paraId="05FE217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本合同的订立、解释、履行及争议解决，均适用中华人民共和国法律。</w:t>
      </w:r>
    </w:p>
    <w:p w14:paraId="19FFA02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本合同履行过程中发生争议的，甲乙双方应友好协商；协商不成的，任何一方可向甲方所在地人民法院起诉。</w:t>
      </w:r>
    </w:p>
    <w:p w14:paraId="4750DD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十四、合同生效及其他</w:t>
      </w:r>
    </w:p>
    <w:p w14:paraId="5E598A7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本合同经甲、乙双方代表签字并加盖单位公章或合同专用章后生效，甲方的单位公章盖采购中心合同专用章。</w:t>
      </w:r>
    </w:p>
    <w:p w14:paraId="391D1DB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bookmarkStart w:id="2" w:name="_Hlk154756484"/>
      <w:r>
        <w:rPr>
          <w:rFonts w:hint="eastAsia" w:ascii="宋体" w:hAnsi="宋体" w:eastAsia="宋体" w:cs="宋体"/>
          <w:color w:val="auto"/>
          <w:kern w:val="0"/>
          <w:sz w:val="21"/>
          <w:szCs w:val="20"/>
          <w:highlight w:val="none"/>
          <w:lang w:val="en-US" w:eastAsia="zh-CN" w:bidi="ar-SA"/>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2"/>
    <w:p w14:paraId="21C5BCC8">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zh-CN" w:eastAsia="zh-CN" w:bidi="ar-SA"/>
        </w:rPr>
      </w:pPr>
      <w:bookmarkStart w:id="3" w:name="_Hlk154756502"/>
      <w:r>
        <w:rPr>
          <w:rFonts w:hint="eastAsia" w:ascii="宋体" w:hAnsi="宋体" w:eastAsia="宋体" w:cs="宋体"/>
          <w:color w:val="auto"/>
          <w:spacing w:val="-6"/>
          <w:kern w:val="0"/>
          <w:sz w:val="21"/>
          <w:szCs w:val="20"/>
          <w:highlight w:val="none"/>
          <w:lang w:val="en-US" w:eastAsia="zh-CN" w:bidi="ar-SA"/>
        </w:rPr>
        <w:t>3.</w:t>
      </w:r>
      <w:bookmarkEnd w:id="3"/>
      <w:r>
        <w:rPr>
          <w:rFonts w:hint="eastAsia" w:ascii="宋体" w:hAnsi="宋体" w:eastAsia="宋体" w:cs="宋体"/>
          <w:color w:val="auto"/>
          <w:kern w:val="0"/>
          <w:sz w:val="21"/>
          <w:szCs w:val="20"/>
          <w:highlight w:val="none"/>
          <w:lang w:val="en-US" w:eastAsia="zh-CN" w:bidi="ar-SA"/>
        </w:rPr>
        <w:t>本次采购过程中形成的招标（非招标）</w:t>
      </w:r>
      <w:r>
        <w:rPr>
          <w:rFonts w:hint="eastAsia" w:ascii="宋体" w:hAnsi="宋体" w:eastAsia="宋体" w:cs="宋体"/>
          <w:color w:val="auto"/>
          <w:kern w:val="0"/>
          <w:sz w:val="21"/>
          <w:szCs w:val="20"/>
          <w:highlight w:val="none"/>
          <w:lang w:val="zh-CN" w:eastAsia="zh-CN" w:bidi="ar-SA"/>
        </w:rPr>
        <w:t>文件</w:t>
      </w:r>
      <w:r>
        <w:rPr>
          <w:rFonts w:hint="eastAsia" w:ascii="宋体" w:hAnsi="宋体" w:eastAsia="宋体" w:cs="宋体"/>
          <w:color w:val="auto"/>
          <w:kern w:val="0"/>
          <w:sz w:val="21"/>
          <w:szCs w:val="20"/>
          <w:highlight w:val="none"/>
          <w:lang w:val="en-US" w:eastAsia="zh-CN" w:bidi="ar-SA"/>
        </w:rPr>
        <w:t>、投标（响应）文件、澄清承诺、补充协议、附件等</w:t>
      </w:r>
      <w:r>
        <w:rPr>
          <w:rFonts w:hint="eastAsia" w:ascii="宋体" w:hAnsi="宋体" w:eastAsia="宋体" w:cs="宋体"/>
          <w:color w:val="auto"/>
          <w:kern w:val="0"/>
          <w:sz w:val="21"/>
          <w:szCs w:val="20"/>
          <w:highlight w:val="none"/>
          <w:lang w:val="zh-CN" w:eastAsia="zh-CN" w:bidi="ar-SA"/>
        </w:rPr>
        <w:t>为本合同的组成部分，并构成一个整体，需综合解释、相互补充。如果</w:t>
      </w:r>
      <w:r>
        <w:rPr>
          <w:rFonts w:hint="eastAsia" w:ascii="宋体" w:hAnsi="宋体" w:eastAsia="宋体" w:cs="宋体"/>
          <w:color w:val="auto"/>
          <w:kern w:val="0"/>
          <w:sz w:val="21"/>
          <w:szCs w:val="20"/>
          <w:highlight w:val="none"/>
          <w:lang w:val="en-US" w:eastAsia="zh-CN" w:bidi="ar-SA"/>
        </w:rPr>
        <w:t>上述</w:t>
      </w:r>
      <w:r>
        <w:rPr>
          <w:rFonts w:hint="eastAsia" w:ascii="宋体" w:hAnsi="宋体" w:eastAsia="宋体" w:cs="宋体"/>
          <w:color w:val="auto"/>
          <w:kern w:val="0"/>
          <w:sz w:val="21"/>
          <w:szCs w:val="20"/>
          <w:highlight w:val="none"/>
          <w:lang w:val="zh-CN" w:eastAsia="zh-CN" w:bidi="ar-SA"/>
        </w:rPr>
        <w:t>文件内容出现不一致的情形，那么在保证按照采购文件确定的事项的前提下，组成本合同的多个文件的优先适用顺序如下：</w:t>
      </w:r>
    </w:p>
    <w:p w14:paraId="674510D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zh-CN" w:eastAsia="zh-CN" w:bidi="ar-SA"/>
        </w:rPr>
        <w:t>（1）本合同及其补充合同、变更协议；</w:t>
      </w:r>
    </w:p>
    <w:p w14:paraId="37072C3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（2）中标（成交）</w:t>
      </w:r>
      <w:r>
        <w:rPr>
          <w:rFonts w:hint="eastAsia" w:ascii="宋体" w:hAnsi="宋体" w:eastAsia="宋体" w:cs="宋体"/>
          <w:color w:val="auto"/>
          <w:kern w:val="0"/>
          <w:sz w:val="21"/>
          <w:szCs w:val="20"/>
          <w:highlight w:val="none"/>
          <w:lang w:val="zh-CN" w:eastAsia="zh-CN" w:bidi="ar-SA"/>
        </w:rPr>
        <w:t>通知书；</w:t>
      </w:r>
    </w:p>
    <w:p w14:paraId="21D2E7B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（3）投标（</w:t>
      </w:r>
      <w:r>
        <w:rPr>
          <w:rFonts w:hint="eastAsia" w:ascii="宋体" w:hAnsi="宋体" w:eastAsia="宋体" w:cs="宋体"/>
          <w:color w:val="auto"/>
          <w:kern w:val="0"/>
          <w:sz w:val="21"/>
          <w:szCs w:val="20"/>
          <w:highlight w:val="none"/>
          <w:lang w:val="zh-CN" w:eastAsia="zh-CN" w:bidi="ar-SA"/>
        </w:rPr>
        <w:t>响应）文件（含澄清或者说明文件）；</w:t>
      </w:r>
    </w:p>
    <w:p w14:paraId="192C0C6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（4）招标（非招标）</w:t>
      </w:r>
      <w:r>
        <w:rPr>
          <w:rFonts w:hint="eastAsia" w:ascii="宋体" w:hAnsi="宋体" w:eastAsia="宋体" w:cs="宋体"/>
          <w:color w:val="auto"/>
          <w:kern w:val="0"/>
          <w:sz w:val="21"/>
          <w:szCs w:val="20"/>
          <w:highlight w:val="none"/>
          <w:lang w:val="zh-CN" w:eastAsia="zh-CN" w:bidi="ar-SA"/>
        </w:rPr>
        <w:t>文件（含澄清或者修改文件）；</w:t>
      </w:r>
    </w:p>
    <w:p w14:paraId="7530F18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w:t>
      </w:r>
      <w:r>
        <w:rPr>
          <w:rFonts w:hint="eastAsia" w:ascii="宋体" w:hAnsi="宋体" w:eastAsia="宋体" w:cs="宋体"/>
          <w:color w:val="auto"/>
          <w:kern w:val="0"/>
          <w:sz w:val="21"/>
          <w:szCs w:val="20"/>
          <w:highlight w:val="none"/>
          <w:lang w:val="zh-CN" w:eastAsia="zh-CN" w:bidi="ar-SA"/>
        </w:rPr>
        <w:t>其他相关采购文件。</w:t>
      </w:r>
    </w:p>
    <w:p w14:paraId="70C2ABC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4" w:name="_Hlk154756515"/>
      <w:r>
        <w:rPr>
          <w:rFonts w:hint="eastAsia" w:ascii="宋体" w:hAnsi="宋体" w:eastAsia="宋体" w:cs="宋体"/>
          <w:color w:val="auto"/>
          <w:kern w:val="0"/>
          <w:sz w:val="21"/>
          <w:szCs w:val="20"/>
          <w:highlight w:val="none"/>
          <w:lang w:val="en-US" w:eastAsia="zh-CN" w:bidi="ar-SA"/>
        </w:rPr>
        <w:t>4.本合同未尽事宜，遵照《中华人民共和国民法典》有关条文执行。</w:t>
      </w:r>
    </w:p>
    <w:p w14:paraId="5319B317">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0"/>
          <w:highlight w:val="none"/>
          <w:lang w:val="en-US" w:eastAsia="zh-CN" w:bidi="ar-SA"/>
        </w:rPr>
        <w:t>5.</w:t>
      </w:r>
      <w:r>
        <w:rPr>
          <w:rFonts w:hint="eastAsia" w:ascii="宋体" w:hAnsi="宋体" w:eastAsia="宋体" w:cs="宋体"/>
          <w:color w:val="auto"/>
          <w:kern w:val="0"/>
          <w:sz w:val="21"/>
          <w:szCs w:val="20"/>
          <w:highlight w:val="none"/>
          <w:lang w:val="en-US" w:eastAsia="zh-CN" w:bidi="ar-SA"/>
        </w:rPr>
        <w:t>本合同一式伍份，甲方执三份，乙方和鉴证方各执一份，具有同等法律效力。</w:t>
      </w:r>
    </w:p>
    <w:bookmarkEnd w:id="4"/>
    <w:p w14:paraId="0F985B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合同附件：（附件名称</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w:t>
      </w:r>
      <w:r>
        <w:rPr>
          <w:rFonts w:hint="eastAsia" w:ascii="宋体" w:hAnsi="宋体" w:eastAsia="宋体" w:cs="宋体"/>
          <w:color w:val="auto"/>
          <w:kern w:val="0"/>
          <w:sz w:val="21"/>
          <w:szCs w:val="20"/>
          <w:highlight w:val="none"/>
          <w:lang w:val="en-US" w:eastAsia="zh-CN" w:bidi="ar-SA"/>
        </w:rPr>
        <w:t>（如有）</w:t>
      </w:r>
    </w:p>
    <w:tbl>
      <w:tblPr>
        <w:tblStyle w:val="1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2"/>
        <w:gridCol w:w="4498"/>
      </w:tblGrid>
      <w:tr w14:paraId="672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742" w:type="pct"/>
            <w:tcBorders>
              <w:tl2br w:val="nil"/>
              <w:tr2bl w:val="nil"/>
            </w:tcBorders>
            <w:vAlign w:val="center"/>
          </w:tcPr>
          <w:p w14:paraId="74FE1DD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甲方：杭州电子科技大学（公章）</w:t>
            </w:r>
          </w:p>
        </w:tc>
        <w:tc>
          <w:tcPr>
            <w:tcW w:w="2257" w:type="pct"/>
            <w:tcBorders>
              <w:tl2br w:val="nil"/>
              <w:tr2bl w:val="nil"/>
            </w:tcBorders>
            <w:vAlign w:val="center"/>
          </w:tcPr>
          <w:p w14:paraId="3B4098A9">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乙方：（公章）</w:t>
            </w:r>
          </w:p>
        </w:tc>
      </w:tr>
      <w:tr w14:paraId="24C1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742" w:type="pct"/>
            <w:tcBorders>
              <w:tl2br w:val="nil"/>
              <w:tr2bl w:val="nil"/>
            </w:tcBorders>
            <w:vAlign w:val="center"/>
          </w:tcPr>
          <w:p w14:paraId="02B75B9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6DF4047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c>
          <w:tcPr>
            <w:tcW w:w="2257" w:type="pct"/>
            <w:tcBorders>
              <w:tl2br w:val="nil"/>
              <w:tr2bl w:val="nil"/>
            </w:tcBorders>
            <w:vAlign w:val="center"/>
          </w:tcPr>
          <w:p w14:paraId="63EA094F">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0E1E0C3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r>
      <w:tr w14:paraId="3C2B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74EE359A">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地址：杭州下沙高教园区二号大街1158号</w:t>
            </w:r>
          </w:p>
        </w:tc>
        <w:tc>
          <w:tcPr>
            <w:tcW w:w="2257" w:type="pct"/>
            <w:tcBorders>
              <w:tl2br w:val="nil"/>
              <w:tr2bl w:val="nil"/>
            </w:tcBorders>
            <w:vAlign w:val="center"/>
          </w:tcPr>
          <w:p w14:paraId="08F6DD1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tc>
      </w:tr>
      <w:tr w14:paraId="2758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4656E17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c>
          <w:tcPr>
            <w:tcW w:w="2257" w:type="pct"/>
            <w:tcBorders>
              <w:tl2br w:val="nil"/>
              <w:tr2bl w:val="nil"/>
            </w:tcBorders>
            <w:vAlign w:val="center"/>
          </w:tcPr>
          <w:p w14:paraId="7A6A0A2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r>
      <w:tr w14:paraId="5AF6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DFD28B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开户银行：工行高新支行</w:t>
            </w:r>
          </w:p>
        </w:tc>
        <w:tc>
          <w:tcPr>
            <w:tcW w:w="2257" w:type="pct"/>
            <w:tcBorders>
              <w:tl2br w:val="nil"/>
              <w:tr2bl w:val="nil"/>
            </w:tcBorders>
            <w:vAlign w:val="center"/>
          </w:tcPr>
          <w:p w14:paraId="15933EB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w:t>
            </w:r>
          </w:p>
        </w:tc>
      </w:tr>
      <w:tr w14:paraId="4619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0CDB785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帐号：1202026209008806216</w:t>
            </w:r>
          </w:p>
        </w:tc>
        <w:tc>
          <w:tcPr>
            <w:tcW w:w="2257" w:type="pct"/>
            <w:tcBorders>
              <w:tl2br w:val="nil"/>
              <w:tr2bl w:val="nil"/>
            </w:tcBorders>
            <w:vAlign w:val="center"/>
          </w:tcPr>
          <w:p w14:paraId="03DFD34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w:t>
            </w:r>
          </w:p>
        </w:tc>
      </w:tr>
      <w:tr w14:paraId="2E2B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241E32B">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c>
          <w:tcPr>
            <w:tcW w:w="2257" w:type="pct"/>
            <w:tcBorders>
              <w:tl2br w:val="nil"/>
              <w:tr2bl w:val="nil"/>
            </w:tcBorders>
            <w:vAlign w:val="center"/>
          </w:tcPr>
          <w:p w14:paraId="374F2674">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r w14:paraId="16A3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2"/>
            <w:tcBorders>
              <w:tl2br w:val="nil"/>
              <w:tr2bl w:val="nil"/>
            </w:tcBorders>
          </w:tcPr>
          <w:p w14:paraId="7831CD4A">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合同鉴证方（公章）：</w:t>
            </w:r>
          </w:p>
          <w:p w14:paraId="2C3F08BC">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代表人：</w:t>
            </w:r>
          </w:p>
          <w:p w14:paraId="4D58C453">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p w14:paraId="437E0F81">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p w14:paraId="66BC8D12">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p w14:paraId="20DD0D3B">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bl>
    <w:p w14:paraId="3C84CF0B">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8"/>
          <w:szCs w:val="28"/>
          <w:highlight w:val="none"/>
        </w:rPr>
        <w:t>第六章 响应文件格式</w:t>
      </w:r>
    </w:p>
    <w:p w14:paraId="2F44F016">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p>
    <w:p w14:paraId="1E8176CF">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响应文件组成</w:t>
      </w:r>
    </w:p>
    <w:p w14:paraId="0F2FEC49">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A75A91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评分索引表</w:t>
      </w:r>
    </w:p>
    <w:p w14:paraId="7AB3AB3E">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B00121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一、资格文件</w:t>
      </w:r>
      <w:r>
        <w:rPr>
          <w:rFonts w:hint="eastAsia" w:ascii="宋体" w:hAnsi="宋体" w:eastAsia="宋体" w:cs="宋体"/>
          <w:b/>
          <w:bCs/>
          <w:color w:val="auto"/>
          <w:spacing w:val="0"/>
          <w:kern w:val="0"/>
          <w:sz w:val="21"/>
          <w:szCs w:val="21"/>
          <w:highlight w:val="none"/>
          <w:lang w:val="en-US" w:eastAsia="zh-CN" w:bidi="ar"/>
        </w:rPr>
        <w:t>（单独上传）。资格审查要求的资格证明材料（均需加盖公章）</w:t>
      </w:r>
    </w:p>
    <w:p w14:paraId="002B1D7C">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（一）符合参加政府采购活动应当具备的一般条件的承诺函</w:t>
      </w:r>
    </w:p>
    <w:p w14:paraId="2EE7C133">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（二）有效的法人或者其他组织的营业执照等证明文件，自然人的身份证明（扫描件）</w:t>
      </w:r>
    </w:p>
    <w:p w14:paraId="0E93E5F5">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（三）落实政府采购政策需满足的资格要求：</w:t>
      </w:r>
      <w:r>
        <w:rPr>
          <w:rFonts w:hint="eastAsia" w:ascii="宋体" w:hAnsi="宋体" w:cs="宋体"/>
          <w:i w:val="0"/>
          <w:iCs w:val="0"/>
          <w:color w:val="auto"/>
          <w:kern w:val="0"/>
          <w:sz w:val="21"/>
          <w:szCs w:val="21"/>
          <w:highlight w:val="none"/>
          <w:lang w:val="en-US" w:eastAsia="zh-CN" w:bidi="ar"/>
        </w:rPr>
        <w:t>无</w:t>
      </w:r>
    </w:p>
    <w:p w14:paraId="08619C8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（四）本项目的特定资格要求：根据投标邀请“申请人的资格要求”提供。</w:t>
      </w:r>
    </w:p>
    <w:p w14:paraId="7E68E09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（如有）联合协议</w:t>
      </w:r>
    </w:p>
    <w:p w14:paraId="2F68D28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二、商务和技术文件</w:t>
      </w:r>
      <w:r>
        <w:rPr>
          <w:rFonts w:hint="eastAsia" w:ascii="宋体" w:hAnsi="宋体" w:eastAsia="宋体" w:cs="宋体"/>
          <w:b/>
          <w:bCs/>
          <w:color w:val="auto"/>
          <w:spacing w:val="0"/>
          <w:kern w:val="0"/>
          <w:sz w:val="21"/>
          <w:szCs w:val="21"/>
          <w:highlight w:val="none"/>
          <w:lang w:val="en-US" w:eastAsia="zh-CN" w:bidi="ar"/>
        </w:rPr>
        <w:t>（单独上传）</w:t>
      </w:r>
    </w:p>
    <w:p w14:paraId="1DF96C69">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（一）响应函</w:t>
      </w:r>
    </w:p>
    <w:p w14:paraId="567BCA9C">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（如有）分包意向协议</w:t>
      </w:r>
    </w:p>
    <w:p w14:paraId="051937E3">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（二）授权委托书/法定代表人（单位负责人、自然人本人）身份证明</w:t>
      </w:r>
    </w:p>
    <w:p w14:paraId="5CCA8AAD">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（三）响应标的清单</w:t>
      </w:r>
    </w:p>
    <w:p w14:paraId="5CBD8789">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（四）响应偏离表</w:t>
      </w:r>
    </w:p>
    <w:p w14:paraId="53CCFF60">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（五）评审标准相应的商务和技术资料</w:t>
      </w:r>
    </w:p>
    <w:p w14:paraId="2D42B581">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0"/>
          <w:kern w:val="0"/>
          <w:sz w:val="21"/>
          <w:szCs w:val="21"/>
          <w:highlight w:val="none"/>
          <w:lang w:val="en-US" w:eastAsia="zh-CN" w:bidi="ar"/>
        </w:rPr>
        <w:t>（单独上传）</w:t>
      </w:r>
    </w:p>
    <w:p w14:paraId="4D5AF6A5">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（一）初次报价一览表</w:t>
      </w:r>
    </w:p>
    <w:p w14:paraId="5E7ED597">
      <w:pPr>
        <w:keepNext w:val="0"/>
        <w:keepLines w:val="0"/>
        <w:widowControl/>
        <w:suppressLineNumbers w:val="0"/>
        <w:spacing w:line="288"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（如有）《中小企业声明函》</w:t>
      </w:r>
    </w:p>
    <w:p w14:paraId="6B32781D">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（如有）报价情况说明</w:t>
      </w:r>
    </w:p>
    <w:p w14:paraId="698E45B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（如有）关于符合本国产品标准的声明函</w:t>
      </w:r>
    </w:p>
    <w:p w14:paraId="1DBA4E16">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响应文件格式</w:t>
      </w:r>
    </w:p>
    <w:p w14:paraId="449749EF">
      <w:pPr>
        <w:pStyle w:val="7"/>
        <w:keepNext w:val="0"/>
        <w:keepLines w:val="0"/>
        <w:widowControl/>
        <w:suppressLineNumbers w:val="0"/>
        <w:spacing w:before="0" w:beforeAutospacing="1" w:after="0" w:afterAutospacing="1" w:line="288" w:lineRule="auto"/>
        <w:ind w:left="0" w:right="0"/>
        <w:rPr>
          <w:rFonts w:hint="eastAsia" w:ascii="宋体" w:hAnsi="宋体" w:eastAsia="宋体" w:cs="宋体"/>
          <w:color w:val="auto"/>
          <w:highlight w:val="none"/>
        </w:rPr>
      </w:pPr>
      <w:r>
        <w:rPr>
          <w:rFonts w:hint="eastAsia" w:ascii="宋体" w:hAnsi="宋体" w:eastAsia="宋体" w:cs="宋体"/>
          <w:color w:val="auto"/>
          <w:highlight w:val="none"/>
        </w:rPr>
        <w:t>响应文件格式</w:t>
      </w:r>
    </w:p>
    <w:p w14:paraId="082F162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p>
    <w:p w14:paraId="414C7A3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编制说明：</w:t>
      </w:r>
    </w:p>
    <w:p w14:paraId="39C5FDE7">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1、供应商应按照采购文件规定</w:t>
      </w:r>
      <w:r>
        <w:rPr>
          <w:rFonts w:hint="eastAsia" w:ascii="宋体" w:hAnsi="宋体" w:eastAsia="宋体" w:cs="宋体"/>
          <w:color w:val="auto"/>
          <w:kern w:val="0"/>
          <w:sz w:val="21"/>
          <w:szCs w:val="21"/>
          <w:highlight w:val="none"/>
          <w:lang w:val="en-US" w:eastAsia="zh-CN" w:bidi="ar"/>
        </w:rPr>
        <w:t>的编制要求编制响应文件；</w:t>
      </w:r>
    </w:p>
    <w:p w14:paraId="255646EA">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2、响应文件编制应与响应情况、评审标准相对应，提供</w:t>
      </w:r>
      <w:r>
        <w:rPr>
          <w:rFonts w:hint="eastAsia" w:ascii="宋体" w:hAnsi="宋体" w:eastAsia="宋体" w:cs="宋体"/>
          <w:b/>
          <w:bCs/>
          <w:color w:val="auto"/>
          <w:spacing w:val="-6"/>
          <w:kern w:val="0"/>
          <w:sz w:val="21"/>
          <w:szCs w:val="21"/>
          <w:highlight w:val="none"/>
          <w:lang w:val="en-US" w:eastAsia="zh-CN" w:bidi="ar"/>
        </w:rPr>
        <w:t>有效资料信息</w:t>
      </w:r>
      <w:r>
        <w:rPr>
          <w:rFonts w:hint="eastAsia" w:ascii="宋体" w:hAnsi="宋体" w:eastAsia="宋体" w:cs="宋体"/>
          <w:color w:val="auto"/>
          <w:spacing w:val="-6"/>
          <w:kern w:val="0"/>
          <w:sz w:val="21"/>
          <w:szCs w:val="21"/>
          <w:highlight w:val="none"/>
          <w:lang w:val="en-US" w:eastAsia="zh-CN" w:bidi="ar"/>
        </w:rPr>
        <w:t>，</w:t>
      </w:r>
      <w:r>
        <w:rPr>
          <w:rFonts w:hint="eastAsia" w:ascii="宋体" w:hAnsi="宋体" w:eastAsia="宋体" w:cs="宋体"/>
          <w:b/>
          <w:bCs/>
          <w:color w:val="auto"/>
          <w:spacing w:val="-6"/>
          <w:kern w:val="0"/>
          <w:sz w:val="21"/>
          <w:szCs w:val="21"/>
          <w:highlight w:val="none"/>
          <w:lang w:val="en-US" w:eastAsia="zh-CN" w:bidi="ar"/>
        </w:rPr>
        <w:t>控制篇幅（页数）</w:t>
      </w:r>
      <w:r>
        <w:rPr>
          <w:rFonts w:hint="eastAsia" w:ascii="宋体" w:hAnsi="宋体" w:eastAsia="宋体" w:cs="宋体"/>
          <w:color w:val="auto"/>
          <w:spacing w:val="-6"/>
          <w:kern w:val="0"/>
          <w:sz w:val="21"/>
          <w:szCs w:val="21"/>
          <w:highlight w:val="none"/>
          <w:lang w:val="en-US" w:eastAsia="zh-CN" w:bidi="ar"/>
        </w:rPr>
        <w:t>；</w:t>
      </w:r>
    </w:p>
    <w:p w14:paraId="4A04E416">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p>
    <w:p w14:paraId="7A1AEEC2">
      <w:pPr>
        <w:keepNext w:val="0"/>
        <w:keepLines w:val="0"/>
        <w:widowControl/>
        <w:suppressLineNumbers w:val="0"/>
        <w:tabs>
          <w:tab w:val="center" w:pos="4706"/>
        </w:tabs>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评分索引表（标项：  ）</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6"/>
        <w:gridCol w:w="2202"/>
        <w:gridCol w:w="747"/>
        <w:gridCol w:w="984"/>
        <w:gridCol w:w="3402"/>
        <w:gridCol w:w="916"/>
        <w:gridCol w:w="929"/>
      </w:tblGrid>
      <w:tr w14:paraId="0B33D6C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3AC4C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序号</w:t>
            </w:r>
          </w:p>
        </w:tc>
        <w:tc>
          <w:tcPr>
            <w:tcW w:w="209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389B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评审因素</w:t>
            </w:r>
          </w:p>
        </w:tc>
        <w:tc>
          <w:tcPr>
            <w:tcW w:w="71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0D48D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分值</w:t>
            </w:r>
          </w:p>
        </w:tc>
        <w:tc>
          <w:tcPr>
            <w:tcW w:w="93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80F891">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主/客观分属性</w:t>
            </w:r>
          </w:p>
        </w:tc>
        <w:tc>
          <w:tcPr>
            <w:tcW w:w="323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2486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评审标准</w:t>
            </w:r>
          </w:p>
        </w:tc>
        <w:tc>
          <w:tcPr>
            <w:tcW w:w="8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1D7FBD">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自评分</w:t>
            </w:r>
          </w:p>
        </w:tc>
        <w:tc>
          <w:tcPr>
            <w:tcW w:w="88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DFF2DC">
            <w:pPr>
              <w:keepNext w:val="0"/>
              <w:keepLines w:val="0"/>
              <w:widowControl/>
              <w:suppressLineNumbers w:val="0"/>
              <w:pBdr>
                <w:top w:val="none" w:color="auto" w:sz="0" w:space="0"/>
                <w:left w:val="none" w:color="auto" w:sz="0" w:space="0"/>
                <w:bottom w:val="none" w:color="auto" w:sz="0" w:space="0"/>
                <w:right w:val="none" w:color="auto" w:sz="0" w:space="0"/>
              </w:pBdr>
              <w:tabs>
                <w:tab w:val="left" w:pos="1418"/>
              </w:tabs>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页码</w:t>
            </w:r>
          </w:p>
        </w:tc>
      </w:tr>
      <w:tr w14:paraId="1B87CB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ECF8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48F47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CF190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7E6CE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00C52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46D67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860C1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CCF963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24924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5C60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B09D0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A62F77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E98AA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FEE5D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E6F9A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EC249D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B84EA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D3E1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2DF77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141A1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8F793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CDAA3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33B89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7946C82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BB937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D8EC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77F2E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D05FC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D5FC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F786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FA2C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35EAE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77B6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6EB0A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45517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C535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AE613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EB790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C7C71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22EA89B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71CD12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0D08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B5FD5A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C045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1F2B3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92E6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89455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1AD21E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AEE4B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7DEC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7DAF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232F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FC7D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6F8FC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8BC3E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737F6C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2A16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E822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4C397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ED0AF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BAE3E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6C6E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7775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19A1C22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59521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B28C7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5AC2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2F669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E763B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E76F1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B8BD1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ACDAE3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46F5A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1DA27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6AA1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FD241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10E3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51EAF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3C3F1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8B5DA4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454" w:hRule="atLeast"/>
        </w:trPr>
        <w:tc>
          <w:tcPr>
            <w:tcW w:w="68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6233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9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86204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1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57625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3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A04C6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23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2898A4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5B61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88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F61B2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bl>
    <w:p w14:paraId="4F72E07A">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备注：本表仅为方便评审使用，不作为判别响应文件是否有效的依据。</w:t>
      </w:r>
    </w:p>
    <w:p w14:paraId="28691D6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一、资格文件（标项：  ）</w:t>
      </w:r>
    </w:p>
    <w:p w14:paraId="482BCE8E">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1F0596B0">
      <w:pPr>
        <w:keepNext w:val="0"/>
        <w:keepLines w:val="0"/>
        <w:widowControl/>
        <w:suppressLineNumbers w:val="0"/>
        <w:autoSpaceDE w:val="0"/>
        <w:autoSpaceDN/>
        <w:spacing w:line="288" w:lineRule="auto"/>
        <w:ind w:left="0" w:firstLine="0"/>
        <w:jc w:val="both"/>
        <w:rPr>
          <w:rFonts w:hint="eastAsia" w:ascii="宋体" w:hAnsi="宋体" w:eastAsia="宋体" w:cs="宋体"/>
          <w:color w:val="auto"/>
          <w:sz w:val="21"/>
          <w:szCs w:val="21"/>
          <w:highlight w:val="none"/>
        </w:rPr>
      </w:pPr>
    </w:p>
    <w:p w14:paraId="7FA516C5">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（一）符合参加政府采购活动应当具备的一般条件的承诺函</w:t>
      </w:r>
    </w:p>
    <w:p w14:paraId="6CC8F917">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1B4D447A">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cs="宋体"/>
          <w:i w:val="0"/>
          <w:iCs w:val="0"/>
          <w:color w:val="auto"/>
          <w:spacing w:val="-6"/>
          <w:kern w:val="0"/>
          <w:sz w:val="21"/>
          <w:szCs w:val="21"/>
          <w:highlight w:val="none"/>
          <w:u w:val="single"/>
          <w:lang w:val="en-US" w:eastAsia="zh-CN" w:bidi="ar"/>
        </w:rPr>
        <w:t>杭州电子科技大学</w:t>
      </w:r>
      <w:r>
        <w:rPr>
          <w:rFonts w:hint="eastAsia" w:ascii="宋体" w:hAnsi="宋体" w:eastAsia="宋体" w:cs="宋体"/>
          <w:color w:val="auto"/>
          <w:spacing w:val="-6"/>
          <w:kern w:val="0"/>
          <w:sz w:val="21"/>
          <w:szCs w:val="21"/>
          <w:highlight w:val="none"/>
          <w:u w:val="single"/>
          <w:lang w:val="en-US" w:eastAsia="zh-CN" w:bidi="ar"/>
        </w:rPr>
        <w:t>）、（</w:t>
      </w:r>
      <w:r>
        <w:rPr>
          <w:rFonts w:hint="eastAsia" w:ascii="宋体" w:hAnsi="宋体" w:eastAsia="宋体" w:cs="宋体"/>
          <w:i w:val="0"/>
          <w:iCs w:val="0"/>
          <w:color w:val="auto"/>
          <w:spacing w:val="-6"/>
          <w:kern w:val="0"/>
          <w:sz w:val="21"/>
          <w:szCs w:val="21"/>
          <w:highlight w:val="none"/>
          <w:u w:val="single"/>
          <w:lang w:val="en-US" w:eastAsia="zh-CN" w:bidi="ar"/>
        </w:rPr>
        <w:t>浙江求是招标代理有限公司</w:t>
      </w:r>
      <w:r>
        <w:rPr>
          <w:rFonts w:hint="eastAsia" w:ascii="宋体" w:hAnsi="宋体" w:eastAsia="宋体" w:cs="宋体"/>
          <w:color w:val="auto"/>
          <w:spacing w:val="-6"/>
          <w:kern w:val="0"/>
          <w:sz w:val="21"/>
          <w:szCs w:val="21"/>
          <w:highlight w:val="none"/>
          <w:u w:val="single"/>
          <w:lang w:val="en-US" w:eastAsia="zh-CN" w:bidi="ar"/>
        </w:rPr>
        <w:t>）：</w:t>
      </w:r>
    </w:p>
    <w:p w14:paraId="0BBCFB0C">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我方参与</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杭电智慧学习云平台服务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330000263030150000069-QSZBB260014ZFCS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spacing w:val="-6"/>
          <w:kern w:val="0"/>
          <w:sz w:val="21"/>
          <w:szCs w:val="21"/>
          <w:highlight w:val="none"/>
          <w:lang w:val="en-US" w:eastAsia="zh-CN" w:bidi="ar"/>
        </w:rPr>
        <w:t>政府采购活动，郑重承诺：</w:t>
      </w:r>
    </w:p>
    <w:p w14:paraId="10D5078F">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（一）具备《中华人民共和国政府采购法》第二十二条第一款规定的条件：</w:t>
      </w:r>
    </w:p>
    <w:p w14:paraId="3E60A11C">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1、具有独立承担民事责任的能力；</w:t>
      </w:r>
    </w:p>
    <w:p w14:paraId="7B4538C1">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2、具有良好的商业信誉和健全的财务会计制度；</w:t>
      </w:r>
    </w:p>
    <w:p w14:paraId="3A2A589D">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3、具有履行合同所必需的设备和专业技术能力；</w:t>
      </w:r>
    </w:p>
    <w:p w14:paraId="1429675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4、有依法缴纳税收和社会保障资金的良好记录；</w:t>
      </w:r>
    </w:p>
    <w:p w14:paraId="0C1306B6">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5、参加政府采购活动前三年内，在经营活动中没有重大违法记录；</w:t>
      </w:r>
    </w:p>
    <w:p w14:paraId="5EE44533">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6、具有法律、行政法规规定的其他条件。</w:t>
      </w:r>
    </w:p>
    <w:p w14:paraId="621CCA3B">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（二）未被信用中国（www.creditchina.gov.cn)、中国政府采购网（www.ccgp.gov.cn）列入失信被执行人、重大税收违法失信主体名单、政府采购严重违法失信行为记录名单。</w:t>
      </w:r>
    </w:p>
    <w:p w14:paraId="3F212723">
      <w:pPr>
        <w:keepNext w:val="0"/>
        <w:keepLines w:val="0"/>
        <w:widowControl/>
        <w:suppressLineNumbers w:val="0"/>
        <w:autoSpaceDE w:val="0"/>
        <w:autoSpaceDN/>
        <w:spacing w:line="288" w:lineRule="auto"/>
        <w:ind w:left="0" w:firstLine="398"/>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（三）不存在以下情况：</w:t>
      </w:r>
    </w:p>
    <w:p w14:paraId="433BA66E">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1、单位负责人为同一人或者存在直接控股、管理关系的不同供应商参加同一合同项下的政府采购活动的；</w:t>
      </w:r>
    </w:p>
    <w:p w14:paraId="5603658B">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2、为采购项目提供整体设计、规范编制或者项目管理、监理、检测等服务后再参加该采购项目的其他采购活动的；</w:t>
      </w:r>
    </w:p>
    <w:p w14:paraId="03A97549">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3、政府购买服务的项目，公益一类事业单位、使用事业编制且由财政拨款保障的群团组织不得作为承接主体。</w:t>
      </w:r>
    </w:p>
    <w:p w14:paraId="563E36CC">
      <w:pPr>
        <w:keepNext w:val="0"/>
        <w:keepLines w:val="0"/>
        <w:widowControl/>
        <w:suppressLineNumbers w:val="0"/>
        <w:autoSpaceDE w:val="0"/>
        <w:autoSpaceDN/>
        <w:spacing w:line="288" w:lineRule="auto"/>
        <w:ind w:left="0" w:firstLine="396"/>
        <w:jc w:val="left"/>
        <w:rPr>
          <w:rFonts w:hint="eastAsia" w:ascii="宋体" w:hAnsi="宋体" w:eastAsia="宋体" w:cs="宋体"/>
          <w:color w:val="auto"/>
          <w:sz w:val="21"/>
          <w:szCs w:val="21"/>
          <w:highlight w:val="none"/>
        </w:rPr>
      </w:pPr>
    </w:p>
    <w:p w14:paraId="6187E57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      （▲联合体响应的，为联合体成员各方）</w:t>
      </w:r>
    </w:p>
    <w:p w14:paraId="2B6BF0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D959FE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0B3257D4">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（二）有效的法人或者其他组织的营业执照等证明文件，自然人的身份证明（扫描件）</w:t>
      </w:r>
    </w:p>
    <w:p w14:paraId="3F5D3F8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p>
    <w:p w14:paraId="798F258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（▲联合体响应的，联合体成员各方均需提供）</w:t>
      </w:r>
    </w:p>
    <w:p w14:paraId="57725C62">
      <w:pPr>
        <w:keepNext w:val="0"/>
        <w:keepLines w:val="0"/>
        <w:widowControl/>
        <w:suppressLineNumbers w:val="0"/>
        <w:autoSpaceDE w:val="0"/>
        <w:autoSpaceDN/>
        <w:spacing w:line="288" w:lineRule="auto"/>
        <w:ind w:left="0" w:firstLine="396"/>
        <w:jc w:val="both"/>
        <w:rPr>
          <w:rFonts w:hint="eastAsia" w:ascii="宋体" w:hAnsi="宋体" w:eastAsia="宋体" w:cs="宋体"/>
          <w:color w:val="auto"/>
          <w:sz w:val="21"/>
          <w:szCs w:val="21"/>
          <w:highlight w:val="none"/>
        </w:rPr>
      </w:pPr>
    </w:p>
    <w:p w14:paraId="309DF44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说明：</w:t>
      </w:r>
    </w:p>
    <w:p w14:paraId="200AC6C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1.如供应商是企业（包括合伙企业），提供在工商部门注册的有效“企业法人营业执照”或“营业执照”；</w:t>
      </w:r>
    </w:p>
    <w:p w14:paraId="523AB2A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2.如供应商是事业单位，提供有效的“事业单位法人证书”；</w:t>
      </w:r>
    </w:p>
    <w:p w14:paraId="0BBFF50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3.如供应商是非企业专业服务机构的，提供执业许可证等证明文件；</w:t>
      </w:r>
    </w:p>
    <w:p w14:paraId="72E9775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4.如供应商是个体工商户，提供有效的“个体工商户营业执照”；</w:t>
      </w:r>
    </w:p>
    <w:p w14:paraId="59B6F0A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5.如供应商是自然人，提供有效的自然人身份证明。</w:t>
      </w:r>
    </w:p>
    <w:p w14:paraId="5998E898">
      <w:pPr>
        <w:keepNext w:val="0"/>
        <w:keepLines w:val="0"/>
        <w:widowControl/>
        <w:suppressLineNumbers w:val="0"/>
        <w:autoSpaceDE w:val="0"/>
        <w:autoSpaceDN/>
        <w:spacing w:line="288" w:lineRule="auto"/>
        <w:ind w:left="0" w:firstLine="0"/>
        <w:jc w:val="left"/>
        <w:rPr>
          <w:rFonts w:hint="eastAsia" w:ascii="宋体" w:hAnsi="宋体" w:eastAsia="宋体" w:cs="宋体"/>
          <w:color w:val="auto"/>
          <w:spacing w:val="0"/>
          <w:sz w:val="21"/>
          <w:szCs w:val="21"/>
          <w:highlight w:val="none"/>
        </w:rPr>
      </w:pPr>
    </w:p>
    <w:p w14:paraId="623D7E19">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（三）落实政府采购政策需满足的资格要求：根据响应邀请“申请人的资格要求”提供。如：《中小企业声明函》（附件1）、《联合协议》（附件4）、《分包意向协议》（附件5）等。</w:t>
      </w:r>
    </w:p>
    <w:p w14:paraId="3E8D895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2C2040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w:t>
      </w:r>
      <w:r>
        <w:rPr>
          <w:rFonts w:hint="eastAsia" w:ascii="宋体" w:hAnsi="宋体" w:eastAsia="宋体" w:cs="宋体"/>
          <w:b/>
          <w:bCs/>
          <w:i w:val="0"/>
          <w:iCs w:val="0"/>
          <w:color w:val="auto"/>
          <w:kern w:val="0"/>
          <w:sz w:val="21"/>
          <w:szCs w:val="21"/>
          <w:highlight w:val="none"/>
          <w:lang w:val="en-US" w:eastAsia="zh-CN" w:bidi="ar"/>
        </w:rPr>
        <w:t>四</w:t>
      </w:r>
      <w:r>
        <w:rPr>
          <w:rFonts w:hint="eastAsia" w:ascii="宋体" w:hAnsi="宋体" w:eastAsia="宋体" w:cs="宋体"/>
          <w:b/>
          <w:bCs/>
          <w:color w:val="auto"/>
          <w:kern w:val="0"/>
          <w:sz w:val="21"/>
          <w:szCs w:val="21"/>
          <w:highlight w:val="none"/>
          <w:lang w:val="en-US" w:eastAsia="zh-CN" w:bidi="ar"/>
        </w:rPr>
        <w:t>）本项目的特定资格要求</w:t>
      </w:r>
    </w:p>
    <w:p w14:paraId="13E327D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根据响应邀请“申请人的资格要求”提供。</w:t>
      </w:r>
    </w:p>
    <w:p w14:paraId="317E46D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43F00D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（如有）联合协议。仅适用于：供应商以“联合体”形式响应的情形。《联合协议》（附件4）</w:t>
      </w:r>
    </w:p>
    <w:p w14:paraId="15E912C7">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二、商务和技术文件（标项：  ）</w:t>
      </w:r>
    </w:p>
    <w:p w14:paraId="175E941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3B18C7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（一）响应函</w:t>
      </w:r>
    </w:p>
    <w:p w14:paraId="7CF1780D">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2ADA2D6F">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w:t>
      </w:r>
    </w:p>
    <w:p w14:paraId="36FD707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杭电智慧学习云平台服务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330000263030150000069-QSZBB260014ZFCS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采购的有关活动，并对此项目进行响应。为此：</w:t>
      </w:r>
    </w:p>
    <w:p w14:paraId="0B8DF6B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（一）我方的响应文件包括资格文件、商务和技术文件、报价文件。</w:t>
      </w:r>
    </w:p>
    <w:p w14:paraId="1D213B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（二）我方承诺响应有效期从响应截止日起天（不少于90天），本响应文件在响应有效期满之前均具有约束力。</w:t>
      </w:r>
    </w:p>
    <w:p w14:paraId="6930506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（三）我方承诺除响应偏离表列出的偏离外，我方响应采购文件的全部要求。对响应文件中材料的真实性、合法性负责。</w:t>
      </w:r>
    </w:p>
    <w:p w14:paraId="16FAF12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（四）如我方成交，我方承诺：</w:t>
      </w:r>
    </w:p>
    <w:p w14:paraId="71AEFBEF">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1、在收到成交通知书后，在成交通知书规定的期限内与你方签订合同；</w:t>
      </w:r>
    </w:p>
    <w:p w14:paraId="7854067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2、在签订合同时不向你方提出附加条件；</w:t>
      </w:r>
    </w:p>
    <w:p w14:paraId="479149F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3、按照采购文件要求交纳采购代理服务费等应付费用；</w:t>
      </w:r>
    </w:p>
    <w:p w14:paraId="25A46548">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4、按照采购文件要求提交履约保证金；</w:t>
      </w:r>
    </w:p>
    <w:p w14:paraId="7FE1276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5、在合同约定的期限内履行合同规定的全部义务。</w:t>
      </w:r>
    </w:p>
    <w:p w14:paraId="6CDE13C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对通过电子交易平台进行的质疑、投诉等活动，我方承诺并接受平台以电子送达的方式送达相关文书。我方认可电子送达与邮寄送达具有同等法律效力，以文书到达电子交易平台平台日期为送达日期，本公司保证电子交易平台账号真实有效。</w:t>
      </w:r>
    </w:p>
    <w:p w14:paraId="1592D670">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7、其他补充说明：             。</w:t>
      </w:r>
    </w:p>
    <w:p w14:paraId="0B9DA06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8、联系方式：</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54"/>
        <w:gridCol w:w="8042"/>
      </w:tblGrid>
      <w:tr w14:paraId="2400AF7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E29BF5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项目联系人：</w:t>
            </w:r>
          </w:p>
        </w:tc>
        <w:tc>
          <w:tcPr>
            <w:tcW w:w="72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9D8E06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A25D1B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1CA4B8C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职务：</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48B5744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7C8184D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EDC65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手机：</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75BAF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4C3028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5B08E62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电子邮箱：</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0433E0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1D4F6B9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6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82FD66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地址：</w:t>
            </w:r>
          </w:p>
        </w:tc>
        <w:tc>
          <w:tcPr>
            <w:tcW w:w="725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855936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0B0D9DA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132DA9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供应商名称（电子签名/公章）：</w:t>
      </w:r>
    </w:p>
    <w:p w14:paraId="601432D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日期：    年  月  日</w:t>
      </w:r>
    </w:p>
    <w:p w14:paraId="19CDE535">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6DA512F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注：按本格式和要求提供。</w:t>
      </w:r>
    </w:p>
    <w:p w14:paraId="16B093E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BC83A04">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（如有）分包意向协议。</w:t>
      </w:r>
    </w:p>
    <w:p w14:paraId="53C8CD19">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p>
    <w:p w14:paraId="1CC029ED">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注：</w:t>
      </w:r>
    </w:p>
    <w:p w14:paraId="49751844">
      <w:pPr>
        <w:keepNext w:val="0"/>
        <w:keepLines w:val="0"/>
        <w:widowControl/>
        <w:suppressLineNumbers w:val="0"/>
        <w:autoSpaceDE w:val="0"/>
        <w:autoSpaceDN/>
        <w:spacing w:line="288" w:lineRule="auto"/>
        <w:ind w:left="0" w:firstLine="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1.仅适用于：成交后以分包方式履行合同的，提供《分包意向协议》（附件5）；</w:t>
      </w:r>
    </w:p>
    <w:p w14:paraId="49E6C06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2.分包内容，应在采购文件规定的“允许分包”范围之内。</w:t>
      </w:r>
    </w:p>
    <w:p w14:paraId="437176FE">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（二）授权委托书/法定代表人（单位负责人、自然人本人）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5222523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27A24D28">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授权委托书</w:t>
      </w:r>
    </w:p>
    <w:p w14:paraId="7F3EB2B3">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r>
        <w:rPr>
          <w:rFonts w:hint="eastAsia" w:ascii="宋体" w:hAnsi="宋体" w:cs="宋体"/>
          <w:i w:val="0"/>
          <w:iCs w:val="0"/>
          <w:color w:val="auto"/>
          <w:kern w:val="0"/>
          <w:sz w:val="21"/>
          <w:szCs w:val="21"/>
          <w:highlight w:val="none"/>
          <w:lang w:val="en-US" w:eastAsia="zh-CN" w:bidi="ar"/>
        </w:rPr>
        <w:t>杭州电子科技大学</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i w:val="0"/>
          <w:iCs w:val="0"/>
          <w:color w:val="auto"/>
          <w:kern w:val="0"/>
          <w:sz w:val="21"/>
          <w:szCs w:val="21"/>
          <w:highlight w:val="none"/>
          <w:lang w:val="en-US" w:eastAsia="zh-CN" w:bidi="ar"/>
        </w:rPr>
        <w:t>浙江求是招标代理有限公司</w:t>
      </w:r>
      <w:r>
        <w:rPr>
          <w:rFonts w:hint="eastAsia" w:ascii="宋体" w:hAnsi="宋体" w:eastAsia="宋体" w:cs="宋体"/>
          <w:color w:val="auto"/>
          <w:kern w:val="0"/>
          <w:sz w:val="21"/>
          <w:szCs w:val="21"/>
          <w:highlight w:val="none"/>
          <w:lang w:val="en-US" w:eastAsia="zh-CN" w:bidi="ar"/>
        </w:rPr>
        <w:t>）：</w:t>
      </w:r>
    </w:p>
    <w:p w14:paraId="0266F8B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现委托</w:t>
      </w:r>
      <w:r>
        <w:rPr>
          <w:rFonts w:hint="eastAsia" w:ascii="宋体" w:hAnsi="宋体" w:eastAsia="宋体" w:cs="宋体"/>
          <w:color w:val="auto"/>
          <w:kern w:val="0"/>
          <w:sz w:val="21"/>
          <w:szCs w:val="21"/>
          <w:highlight w:val="none"/>
          <w:u w:val="single"/>
          <w:lang w:val="en-US" w:eastAsia="zh-CN" w:bidi="ar"/>
        </w:rPr>
        <w:t>（姓名：    ，身份证号码：         ，所在单位：             ，手机：           ）</w:t>
      </w:r>
      <w:r>
        <w:rPr>
          <w:rFonts w:hint="eastAsia" w:ascii="宋体" w:hAnsi="宋体" w:eastAsia="宋体" w:cs="宋体"/>
          <w:color w:val="auto"/>
          <w:kern w:val="0"/>
          <w:sz w:val="21"/>
          <w:szCs w:val="21"/>
          <w:highlight w:val="none"/>
          <w:lang w:val="en-US" w:eastAsia="zh-CN" w:bidi="ar"/>
        </w:rPr>
        <w:t>为我方代理人，以我方名义处理</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杭电智慧学习云平台服务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330000263030150000069-QSZBB260014ZFCS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政府采购响应有关的一切事项，其法律后果由我方承担。</w:t>
      </w:r>
    </w:p>
    <w:p w14:paraId="6D8DB744">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委托期限：</w:t>
      </w:r>
      <w:r>
        <w:rPr>
          <w:rFonts w:hint="eastAsia" w:ascii="宋体" w:hAnsi="宋体" w:eastAsia="宋体" w:cs="宋体"/>
          <w:color w:val="auto"/>
          <w:kern w:val="0"/>
          <w:sz w:val="21"/>
          <w:szCs w:val="21"/>
          <w:highlight w:val="none"/>
          <w:u w:val="single"/>
          <w:lang w:val="en-US" w:eastAsia="zh-CN" w:bidi="ar"/>
        </w:rPr>
        <w:t>自    年  月  日起至    年  月  日</w:t>
      </w:r>
      <w:r>
        <w:rPr>
          <w:rFonts w:hint="eastAsia" w:ascii="宋体" w:hAnsi="宋体" w:eastAsia="宋体" w:cs="宋体"/>
          <w:color w:val="auto"/>
          <w:kern w:val="0"/>
          <w:sz w:val="21"/>
          <w:szCs w:val="21"/>
          <w:highlight w:val="none"/>
          <w:lang w:val="en-US" w:eastAsia="zh-CN" w:bidi="ar"/>
        </w:rPr>
        <w:t>止。</w:t>
      </w:r>
    </w:p>
    <w:p w14:paraId="2A7A2639">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特此告知。</w:t>
      </w:r>
    </w:p>
    <w:p w14:paraId="1928BE2B">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3CBEC81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供应商名称（电子签名/公章）：               </w:t>
      </w:r>
      <w:r>
        <w:rPr>
          <w:rFonts w:hint="eastAsia" w:ascii="宋体" w:hAnsi="宋体" w:eastAsia="宋体" w:cs="宋体"/>
          <w:color w:val="auto"/>
          <w:kern w:val="0"/>
          <w:sz w:val="21"/>
          <w:szCs w:val="21"/>
          <w:highlight w:val="none"/>
          <w:u w:val="single"/>
          <w:lang w:val="en-US" w:eastAsia="zh-CN" w:bidi="ar"/>
        </w:rPr>
        <w:t>（联合体响应的，为联合体成员各方）</w:t>
      </w:r>
    </w:p>
    <w:p w14:paraId="196782F6">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签发日期：    年  月  日</w:t>
      </w:r>
    </w:p>
    <w:p w14:paraId="696162CE">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3F759B47">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0397A0AD">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1、供应商委派不在本单位缴纳社保的人员作为授权代表的，应当在响应文件中，说明具体原因、授权代表缴纳社保的单位，并附列该授权代表缴纳社保清单。</w:t>
      </w:r>
    </w:p>
    <w:p w14:paraId="26BB0A93">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2、供应商是联合体的，联合体各成员均应在“授权委托书”上盖章（电子签名/公章）</w:t>
      </w:r>
    </w:p>
    <w:p w14:paraId="0CA90D4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ABDC220">
      <w:pPr>
        <w:keepNext w:val="0"/>
        <w:keepLines w:val="0"/>
        <w:widowControl/>
        <w:suppressLineNumbers w:val="0"/>
        <w:autoSpaceDE w:val="0"/>
        <w:autoSpaceDN/>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法定代表人（单位负责人、自然人本人）</w:t>
      </w:r>
      <w:r>
        <w:rPr>
          <w:rFonts w:hint="eastAsia" w:ascii="宋体" w:hAnsi="宋体" w:eastAsia="宋体" w:cs="宋体"/>
          <w:b/>
          <w:bCs/>
          <w:color w:val="auto"/>
          <w:spacing w:val="-6"/>
          <w:kern w:val="0"/>
          <w:sz w:val="21"/>
          <w:szCs w:val="21"/>
          <w:highlight w:val="none"/>
          <w:lang w:val="en-US" w:eastAsia="zh-CN" w:bidi="ar"/>
        </w:rPr>
        <w:t>身份证明</w:t>
      </w:r>
    </w:p>
    <w:p w14:paraId="01B8650C">
      <w:pPr>
        <w:keepNext w:val="0"/>
        <w:keepLines w:val="0"/>
        <w:widowControl/>
        <w:suppressLineNumbers w:val="0"/>
        <w:autoSpaceDE w:val="0"/>
        <w:autoSpaceDN/>
        <w:spacing w:line="288" w:lineRule="auto"/>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（适用于：法定代表人（单位负责人、自然人本人）</w:t>
      </w:r>
      <w:r>
        <w:rPr>
          <w:rFonts w:hint="eastAsia" w:ascii="宋体" w:hAnsi="宋体" w:eastAsia="宋体" w:cs="宋体"/>
          <w:color w:val="auto"/>
          <w:spacing w:val="-6"/>
          <w:kern w:val="0"/>
          <w:sz w:val="21"/>
          <w:szCs w:val="21"/>
          <w:highlight w:val="none"/>
          <w:u w:val="single"/>
          <w:lang w:val="en-US" w:eastAsia="zh-CN" w:bidi="ar"/>
        </w:rPr>
        <w:t>本人参加响应</w:t>
      </w:r>
      <w:r>
        <w:rPr>
          <w:rFonts w:hint="eastAsia" w:ascii="宋体" w:hAnsi="宋体" w:eastAsia="宋体" w:cs="宋体"/>
          <w:color w:val="auto"/>
          <w:kern w:val="0"/>
          <w:sz w:val="21"/>
          <w:szCs w:val="21"/>
          <w:highlight w:val="none"/>
          <w:u w:val="single"/>
          <w:lang w:val="en-US" w:eastAsia="zh-CN" w:bidi="ar"/>
        </w:rPr>
        <w:t>）</w:t>
      </w:r>
    </w:p>
    <w:p w14:paraId="2A0ACC0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身份证件复印件</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852"/>
        <w:gridCol w:w="5044"/>
      </w:tblGrid>
      <w:tr w14:paraId="23841A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039" w:hRule="atLeast"/>
        </w:trPr>
        <w:tc>
          <w:tcPr>
            <w:tcW w:w="476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D13DF2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正面：</w:t>
            </w:r>
          </w:p>
        </w:tc>
        <w:tc>
          <w:tcPr>
            <w:tcW w:w="495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2D1E78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反面：</w:t>
            </w:r>
          </w:p>
        </w:tc>
      </w:tr>
    </w:tbl>
    <w:p w14:paraId="31102E51">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p>
    <w:p w14:paraId="0628F7D5">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附：</w:t>
      </w:r>
    </w:p>
    <w:p w14:paraId="261EC052">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1.按照【第三章  响应人须知】要求提供相关身份证明材料；</w:t>
      </w:r>
    </w:p>
    <w:p w14:paraId="1741887C">
      <w:pPr>
        <w:keepNext w:val="0"/>
        <w:keepLines w:val="0"/>
        <w:widowControl/>
        <w:suppressLineNumbers w:val="0"/>
        <w:autoSpaceDE w:val="0"/>
        <w:autoSpaceDN/>
        <w:spacing w:line="288" w:lineRule="auto"/>
        <w:ind w:left="0"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2.相关说明（如有）。</w:t>
      </w:r>
    </w:p>
    <w:p w14:paraId="19CC87E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（三）响应标的清单</w:t>
      </w:r>
    </w:p>
    <w:p w14:paraId="014ACBCD">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（不含报价）</w:t>
      </w:r>
    </w:p>
    <w:p w14:paraId="404D79E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杭电智慧学习云平台服务</w:t>
      </w:r>
    </w:p>
    <w:p w14:paraId="17C9C7F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330000263030150000069-QSZBB260014ZFCS</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11"/>
        <w:gridCol w:w="1830"/>
        <w:gridCol w:w="1732"/>
        <w:gridCol w:w="793"/>
        <w:gridCol w:w="1023"/>
        <w:gridCol w:w="1211"/>
        <w:gridCol w:w="1013"/>
        <w:gridCol w:w="1583"/>
      </w:tblGrid>
      <w:tr w14:paraId="54FE811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7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FD46D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6AFB9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15A5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734180C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39F2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DAF7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品牌</w:t>
            </w: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FEF42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制造商</w:t>
            </w: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99ABA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产地</w:t>
            </w: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357E9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备注</w:t>
            </w:r>
          </w:p>
        </w:tc>
      </w:tr>
      <w:tr w14:paraId="4B24176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910A1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2BB4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D33F3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9AE72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173CF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62F9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AE2D7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31953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AC663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E1965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BA17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E339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09CAC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1A7B5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693A4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2F725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0BEAC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C4707F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B7EFF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3F509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48FC0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034A1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28128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23718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96AB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83D88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C052B8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5367D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以下（联合体成员）承担的部分：</w:t>
            </w:r>
          </w:p>
        </w:tc>
      </w:tr>
      <w:tr w14:paraId="047F71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75439A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2E9D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85BE0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7C22C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F1232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2252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000E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7EA53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336E25A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8"/>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0C2D0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以下（分包单位）承担的部分：</w:t>
            </w:r>
          </w:p>
        </w:tc>
      </w:tr>
      <w:tr w14:paraId="28F0686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77"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E3A28E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7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E40A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4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35D0C0">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560D7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7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7C03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15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DE88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96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8937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50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6D48CB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r>
    </w:tbl>
    <w:p w14:paraId="0487B82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466D7B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供应商名称（电子签名/公章）：</w:t>
      </w:r>
    </w:p>
    <w:p w14:paraId="1DB981E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日期：    年  月  日</w:t>
      </w:r>
    </w:p>
    <w:p w14:paraId="70F5BBF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9763FD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注：</w:t>
      </w:r>
    </w:p>
    <w:p w14:paraId="2883F19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1.供应商应按照【第二章  采购需求】明确的标的清单填写此表；</w:t>
      </w:r>
    </w:p>
    <w:p w14:paraId="02C1436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2.服务项目不涉及提供货物的，规格型号、品牌、制造商、产地的可不填写；</w:t>
      </w:r>
    </w:p>
    <w:p w14:paraId="6D2417F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3.联合体其他成员承担的部分、分包单位承担的部分，应在表中列明。</w:t>
      </w:r>
    </w:p>
    <w:p w14:paraId="548FCC53">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sz w:val="21"/>
          <w:szCs w:val="21"/>
          <w:highlight w:val="none"/>
        </w:rPr>
        <w:br w:type="page"/>
      </w:r>
      <w:r>
        <w:rPr>
          <w:rFonts w:hint="eastAsia" w:ascii="宋体" w:hAnsi="宋体" w:eastAsia="宋体" w:cs="宋体"/>
          <w:b/>
          <w:bCs/>
          <w:color w:val="auto"/>
          <w:spacing w:val="-6"/>
          <w:kern w:val="0"/>
          <w:sz w:val="21"/>
          <w:szCs w:val="21"/>
          <w:highlight w:val="none"/>
          <w:lang w:val="en-US" w:eastAsia="zh-CN" w:bidi="ar"/>
        </w:rPr>
        <w:t>（四）响应偏离表</w:t>
      </w:r>
    </w:p>
    <w:p w14:paraId="26682E4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杭电智慧学习云平台服务</w:t>
      </w:r>
    </w:p>
    <w:p w14:paraId="2F9EFF7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330000263030150000069-QSZBB260014ZFCS</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69"/>
        <w:gridCol w:w="3444"/>
        <w:gridCol w:w="3574"/>
        <w:gridCol w:w="898"/>
        <w:gridCol w:w="1311"/>
      </w:tblGrid>
      <w:tr w14:paraId="0522A5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EDBDC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序号</w:t>
            </w:r>
          </w:p>
        </w:tc>
        <w:tc>
          <w:tcPr>
            <w:tcW w:w="344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45397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采购文件要求</w:t>
            </w:r>
          </w:p>
        </w:tc>
        <w:tc>
          <w:tcPr>
            <w:tcW w:w="357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581F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响应情况</w:t>
            </w:r>
          </w:p>
        </w:tc>
        <w:tc>
          <w:tcPr>
            <w:tcW w:w="898"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78282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偏离</w:t>
            </w:r>
          </w:p>
          <w:p w14:paraId="6AA2A04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情况</w:t>
            </w:r>
          </w:p>
        </w:tc>
        <w:tc>
          <w:tcPr>
            <w:tcW w:w="1311"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7B3A107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tc>
      </w:tr>
      <w:tr w14:paraId="7B72F33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ADCB8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商务要求</w:t>
            </w:r>
          </w:p>
        </w:tc>
      </w:tr>
      <w:tr w14:paraId="2D53076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47E1D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D992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DC98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2762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AF4D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6D7741A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3346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A317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BF08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066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1714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246817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8ABFB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D422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C46C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EC8D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015BE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6F23439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896" w:type="dxa"/>
            <w:gridSpan w:val="5"/>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57DB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技术要求</w:t>
            </w:r>
          </w:p>
        </w:tc>
      </w:tr>
      <w:tr w14:paraId="184EE72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E0B8A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00D0C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E588E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368D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516D4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4A85354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56EF9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FED8A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A4B2E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68EBE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86866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r w14:paraId="5418FB5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6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F91CF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344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6228A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357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C27A65">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8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A091B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c>
          <w:tcPr>
            <w:tcW w:w="131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D6572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p>
        </w:tc>
      </w:tr>
    </w:tbl>
    <w:p w14:paraId="373C0281">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FC73AA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7B2A4832">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338AEDF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2004E7F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说明：</w:t>
      </w:r>
    </w:p>
    <w:p w14:paraId="7560EC8A">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1.供应商对采购文件要求有不同的响应的，应在响应偏离表中列明；</w:t>
      </w:r>
    </w:p>
    <w:p w14:paraId="727FB47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2.偏离情况系指：正偏离（高于</w:t>
      </w:r>
      <w:r>
        <w:rPr>
          <w:rFonts w:hint="eastAsia" w:ascii="宋体" w:hAnsi="宋体" w:eastAsia="宋体" w:cs="宋体"/>
          <w:color w:val="auto"/>
          <w:kern w:val="0"/>
          <w:sz w:val="21"/>
          <w:szCs w:val="21"/>
          <w:highlight w:val="none"/>
          <w:lang w:val="en-US" w:eastAsia="zh-CN" w:bidi="ar"/>
        </w:rPr>
        <w:t>采购文件要求</w:t>
      </w:r>
      <w:r>
        <w:rPr>
          <w:rFonts w:hint="eastAsia" w:ascii="宋体" w:hAnsi="宋体" w:eastAsia="宋体" w:cs="宋体"/>
          <w:color w:val="auto"/>
          <w:spacing w:val="-6"/>
          <w:kern w:val="0"/>
          <w:sz w:val="21"/>
          <w:szCs w:val="21"/>
          <w:highlight w:val="none"/>
          <w:lang w:val="en-US" w:eastAsia="zh-CN" w:bidi="ar"/>
        </w:rPr>
        <w:t>）、负偏离（低于</w:t>
      </w:r>
      <w:r>
        <w:rPr>
          <w:rFonts w:hint="eastAsia" w:ascii="宋体" w:hAnsi="宋体" w:eastAsia="宋体" w:cs="宋体"/>
          <w:color w:val="auto"/>
          <w:kern w:val="0"/>
          <w:sz w:val="21"/>
          <w:szCs w:val="21"/>
          <w:highlight w:val="none"/>
          <w:lang w:val="en-US" w:eastAsia="zh-CN" w:bidi="ar"/>
        </w:rPr>
        <w:t>采购文件要求</w:t>
      </w:r>
      <w:r>
        <w:rPr>
          <w:rFonts w:hint="eastAsia" w:ascii="宋体" w:hAnsi="宋体" w:eastAsia="宋体" w:cs="宋体"/>
          <w:color w:val="auto"/>
          <w:spacing w:val="-6"/>
          <w:kern w:val="0"/>
          <w:sz w:val="21"/>
          <w:szCs w:val="21"/>
          <w:highlight w:val="none"/>
          <w:lang w:val="en-US" w:eastAsia="zh-CN" w:bidi="ar"/>
        </w:rPr>
        <w:t>）、无偏离（符合</w:t>
      </w:r>
      <w:r>
        <w:rPr>
          <w:rFonts w:hint="eastAsia" w:ascii="宋体" w:hAnsi="宋体" w:eastAsia="宋体" w:cs="宋体"/>
          <w:color w:val="auto"/>
          <w:kern w:val="0"/>
          <w:sz w:val="21"/>
          <w:szCs w:val="21"/>
          <w:highlight w:val="none"/>
          <w:lang w:val="en-US" w:eastAsia="zh-CN" w:bidi="ar"/>
        </w:rPr>
        <w:t>采购文件要求</w:t>
      </w:r>
      <w:r>
        <w:rPr>
          <w:rFonts w:hint="eastAsia" w:ascii="宋体" w:hAnsi="宋体" w:eastAsia="宋体" w:cs="宋体"/>
          <w:color w:val="auto"/>
          <w:spacing w:val="-6"/>
          <w:kern w:val="0"/>
          <w:sz w:val="21"/>
          <w:szCs w:val="21"/>
          <w:highlight w:val="none"/>
          <w:lang w:val="en-US" w:eastAsia="zh-CN" w:bidi="ar"/>
        </w:rPr>
        <w:t>或与其一致）。说明是指对采购文件要求存在不同之处的解释说明。</w:t>
      </w:r>
    </w:p>
    <w:p w14:paraId="58E774F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3.如供应商提供的“响应偏离表”响应情况与产品技术支持材料、响应样品（如有）不一致，且无法合理解释的，视为与事实不符。</w:t>
      </w:r>
    </w:p>
    <w:p w14:paraId="181AB17F">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（五）评审标准相应的商务和技术资料</w:t>
      </w:r>
    </w:p>
    <w:p w14:paraId="040D90AB">
      <w:pPr>
        <w:keepNext w:val="0"/>
        <w:keepLines w:val="0"/>
        <w:widowControl/>
        <w:suppressLineNumbers w:val="0"/>
        <w:autoSpaceDE w:val="0"/>
        <w:autoSpaceDN/>
        <w:spacing w:line="288" w:lineRule="auto"/>
        <w:jc w:val="left"/>
        <w:rPr>
          <w:rFonts w:hint="eastAsia" w:ascii="宋体" w:hAnsi="宋体" w:eastAsia="宋体" w:cs="宋体"/>
          <w:color w:val="auto"/>
          <w:sz w:val="21"/>
          <w:szCs w:val="21"/>
          <w:highlight w:val="none"/>
        </w:rPr>
      </w:pPr>
    </w:p>
    <w:p w14:paraId="4A8FB61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4EE83134">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按采购文件【第四章  评审方法和评审标准】及评审因素相应的内容，逐项提供商务和技术资料。</w:t>
      </w:r>
    </w:p>
    <w:p w14:paraId="463299A3">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2、评审依据供应商在响应文件中提供的商务和技术资料进行商务和技术评分。</w:t>
      </w:r>
    </w:p>
    <w:p w14:paraId="206C989E">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kern w:val="0"/>
          <w:sz w:val="21"/>
          <w:szCs w:val="21"/>
          <w:highlight w:val="none"/>
          <w:lang w:val="en-US" w:eastAsia="zh-CN" w:bidi="ar"/>
        </w:rPr>
        <w:t>三、报价文件</w:t>
      </w:r>
      <w:r>
        <w:rPr>
          <w:rFonts w:hint="eastAsia" w:ascii="宋体" w:hAnsi="宋体" w:eastAsia="宋体" w:cs="宋体"/>
          <w:b/>
          <w:bCs/>
          <w:color w:val="auto"/>
          <w:spacing w:val="-6"/>
          <w:kern w:val="0"/>
          <w:sz w:val="21"/>
          <w:szCs w:val="21"/>
          <w:highlight w:val="none"/>
          <w:lang w:val="en-US" w:eastAsia="zh-CN" w:bidi="ar"/>
        </w:rPr>
        <w:t>（标项：  ）</w:t>
      </w:r>
    </w:p>
    <w:p w14:paraId="5672F6E7">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3305633B">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（一）开标一览表</w:t>
      </w:r>
    </w:p>
    <w:p w14:paraId="6096A8A6">
      <w:pPr>
        <w:keepNext w:val="0"/>
        <w:keepLines w:val="0"/>
        <w:widowControl/>
        <w:suppressLineNumbers w:val="0"/>
        <w:autoSpaceDE w:val="0"/>
        <w:autoSpaceDN/>
        <w:spacing w:line="288" w:lineRule="auto"/>
        <w:ind w:left="0"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（报价表）</w:t>
      </w:r>
    </w:p>
    <w:p w14:paraId="5CC8C418">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项目名称：</w:t>
      </w:r>
      <w:r>
        <w:rPr>
          <w:rFonts w:hint="eastAsia" w:ascii="宋体" w:hAnsi="宋体" w:cs="宋体"/>
          <w:i w:val="0"/>
          <w:iCs w:val="0"/>
          <w:color w:val="auto"/>
          <w:spacing w:val="-6"/>
          <w:kern w:val="0"/>
          <w:sz w:val="21"/>
          <w:szCs w:val="21"/>
          <w:highlight w:val="none"/>
          <w:lang w:val="en-US" w:eastAsia="zh-CN" w:bidi="ar"/>
        </w:rPr>
        <w:t>杭电智慧学习云平台服务</w:t>
      </w:r>
    </w:p>
    <w:p w14:paraId="3383DAC0">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项目编号：</w:t>
      </w:r>
      <w:r>
        <w:rPr>
          <w:rFonts w:hint="eastAsia" w:ascii="宋体" w:hAnsi="宋体" w:cs="宋体"/>
          <w:i w:val="0"/>
          <w:iCs w:val="0"/>
          <w:color w:val="auto"/>
          <w:spacing w:val="-6"/>
          <w:kern w:val="0"/>
          <w:sz w:val="21"/>
          <w:szCs w:val="21"/>
          <w:highlight w:val="none"/>
          <w:lang w:val="en-US" w:eastAsia="zh-CN" w:bidi="ar"/>
        </w:rPr>
        <w:t>330000263030150000069-QSZBB260014ZFCS</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34"/>
        <w:gridCol w:w="2398"/>
        <w:gridCol w:w="2475"/>
        <w:gridCol w:w="812"/>
        <w:gridCol w:w="1697"/>
        <w:gridCol w:w="1780"/>
      </w:tblGrid>
      <w:tr w14:paraId="316F493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4C7E3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序号</w:t>
            </w: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C469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标的名称</w:t>
            </w: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A6AF9D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规格型号</w:t>
            </w:r>
          </w:p>
          <w:p w14:paraId="7C3DBD1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（或具体服务）</w:t>
            </w: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C3D1B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数量</w:t>
            </w: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C37F1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单价（元）</w:t>
            </w: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8078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合计（元）</w:t>
            </w:r>
          </w:p>
        </w:tc>
      </w:tr>
      <w:tr w14:paraId="52AFE9D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26129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A99A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3B5DF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D1BF7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39F6D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6A02C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D3FDA3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1C2CA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95557C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FEB22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3A553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2E36E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158E78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6FFC4AA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87DF7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D8BA3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8ACD0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BF6D6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54015F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47E0C8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51B08D3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C4240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以下（联合体成员）承担的部分：</w:t>
            </w:r>
          </w:p>
        </w:tc>
      </w:tr>
      <w:tr w14:paraId="4299D66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9B5F2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C72714">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EA6CD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7977F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513F4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B6031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44F37DB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1B1BD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以下（分包单位）承担的部分：</w:t>
            </w:r>
          </w:p>
        </w:tc>
      </w:tr>
      <w:tr w14:paraId="1F5CC15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698"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15B6D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28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04BE5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35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B2F27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77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90CEE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3372A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693"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B8BEB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p>
        </w:tc>
      </w:tr>
      <w:tr w14:paraId="0C04E9E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9411" w:type="dxa"/>
            <w:gridSpan w:val="6"/>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E5E0383">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响应报价</w:t>
            </w:r>
            <w:r>
              <w:rPr>
                <w:rFonts w:hint="eastAsia" w:ascii="宋体" w:hAnsi="宋体" w:eastAsia="宋体" w:cs="宋体"/>
                <w:i w:val="0"/>
                <w:iCs w:val="0"/>
                <w:color w:val="auto"/>
                <w:kern w:val="0"/>
                <w:sz w:val="21"/>
                <w:szCs w:val="21"/>
                <w:highlight w:val="none"/>
                <w:lang w:val="en-US" w:eastAsia="zh-CN" w:bidi="ar"/>
              </w:rPr>
              <w:t>（计价单位：人民币元）</w:t>
            </w:r>
          </w:p>
          <w:p w14:paraId="27309B4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总价（小写）：</w:t>
            </w:r>
            <w:r>
              <w:rPr>
                <w:rFonts w:hint="eastAsia" w:ascii="宋体" w:hAnsi="宋体" w:eastAsia="宋体" w:cs="宋体"/>
                <w:b/>
                <w:bCs/>
                <w:i w:val="0"/>
                <w:iCs w:val="0"/>
                <w:color w:val="auto"/>
                <w:kern w:val="0"/>
                <w:sz w:val="21"/>
                <w:szCs w:val="21"/>
                <w:highlight w:val="none"/>
                <w:u w:val="none"/>
                <w:lang w:val="en-US" w:eastAsia="zh-CN" w:bidi="ar"/>
              </w:rPr>
              <w:t>________________</w:t>
            </w:r>
          </w:p>
          <w:p w14:paraId="7CFF5DD6">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firstLine="0"/>
              <w:jc w:val="left"/>
              <w:rPr>
                <w:rFonts w:hint="default" w:ascii="宋体" w:hAnsi="宋体" w:eastAsia="宋体" w:cs="宋体"/>
                <w:color w:val="auto"/>
                <w:sz w:val="21"/>
                <w:szCs w:val="21"/>
                <w:highlight w:val="none"/>
                <w:lang w:val="en-US"/>
              </w:rPr>
            </w:pPr>
            <w:r>
              <w:rPr>
                <w:rFonts w:hint="eastAsia" w:ascii="宋体" w:hAnsi="宋体" w:eastAsia="宋体" w:cs="宋体"/>
                <w:b/>
                <w:bCs/>
                <w:i w:val="0"/>
                <w:iCs w:val="0"/>
                <w:color w:val="auto"/>
                <w:kern w:val="0"/>
                <w:sz w:val="21"/>
                <w:szCs w:val="21"/>
                <w:highlight w:val="none"/>
                <w:lang w:val="en-US" w:eastAsia="zh-CN" w:bidi="ar"/>
              </w:rPr>
              <w:t>总价（大写）：</w:t>
            </w:r>
            <w:r>
              <w:rPr>
                <w:rFonts w:hint="eastAsia" w:ascii="宋体" w:hAnsi="宋体" w:eastAsia="宋体" w:cs="宋体"/>
                <w:b/>
                <w:bCs/>
                <w:i w:val="0"/>
                <w:iCs w:val="0"/>
                <w:color w:val="auto"/>
                <w:kern w:val="0"/>
                <w:sz w:val="21"/>
                <w:szCs w:val="21"/>
                <w:highlight w:val="none"/>
                <w:u w:val="none"/>
                <w:lang w:val="en-US" w:eastAsia="zh-CN" w:bidi="ar"/>
              </w:rPr>
              <w:t>________________</w:t>
            </w:r>
          </w:p>
        </w:tc>
      </w:tr>
    </w:tbl>
    <w:p w14:paraId="5E3D847F">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0B0668D9">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704258F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5A3C4FA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76C583C">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注：</w:t>
      </w:r>
    </w:p>
    <w:p w14:paraId="73B5D35B">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1.供应商应按采购文件规定的要求填写；</w:t>
      </w:r>
    </w:p>
    <w:p w14:paraId="00A4C4A6">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2.联合体其他成员承担的部分、分包单位承担的部分，应在表中列明。</w:t>
      </w:r>
    </w:p>
    <w:p w14:paraId="4B39A19E">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48648EAD">
      <w:pPr>
        <w:keepNext w:val="0"/>
        <w:keepLines w:val="0"/>
        <w:widowControl/>
        <w:suppressLineNumbers w:val="0"/>
        <w:autoSpaceDE w:val="0"/>
        <w:autoSpaceDN/>
        <w:spacing w:line="288" w:lineRule="auto"/>
        <w:ind w:left="0" w:firstLine="0"/>
        <w:jc w:val="left"/>
        <w:rPr>
          <w:rFonts w:hint="eastAsia" w:ascii="宋体" w:hAnsi="宋体" w:eastAsia="宋体" w:cs="宋体"/>
          <w:color w:val="auto"/>
          <w:sz w:val="21"/>
          <w:szCs w:val="21"/>
          <w:highlight w:val="none"/>
        </w:rPr>
      </w:pPr>
    </w:p>
    <w:p w14:paraId="1CDCA53F">
      <w:pPr>
        <w:keepNext w:val="0"/>
        <w:keepLines w:val="0"/>
        <w:widowControl/>
        <w:suppressLineNumbers w:val="0"/>
        <w:autoSpaceDE w:val="0"/>
        <w:autoSpaceDN/>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（如有）报价情况说明</w:t>
      </w:r>
    </w:p>
    <w:p w14:paraId="1BF9FE9E">
      <w:pPr>
        <w:keepNext w:val="0"/>
        <w:keepLines w:val="0"/>
        <w:widowControl/>
        <w:suppressLineNumbers w:val="0"/>
        <w:autoSpaceDE w:val="0"/>
        <w:autoSpaceDN/>
        <w:spacing w:line="288" w:lineRule="auto"/>
        <w:ind w:left="0" w:firstLine="412"/>
        <w:jc w:val="left"/>
        <w:rPr>
          <w:rFonts w:hint="eastAsia" w:ascii="宋体" w:hAnsi="宋体" w:eastAsia="宋体" w:cs="宋体"/>
          <w:color w:val="auto"/>
          <w:sz w:val="21"/>
          <w:szCs w:val="21"/>
          <w:highlight w:val="none"/>
        </w:rPr>
      </w:pPr>
      <w:r>
        <w:rPr>
          <w:rFonts w:hint="eastAsia" w:ascii="宋体" w:hAnsi="宋体" w:eastAsia="宋体" w:cs="宋体"/>
          <w:color w:val="auto"/>
          <w:spacing w:val="-2"/>
          <w:kern w:val="0"/>
          <w:sz w:val="21"/>
          <w:szCs w:val="21"/>
          <w:highlight w:val="none"/>
          <w:lang w:val="en-US" w:eastAsia="zh-CN" w:bidi="ar"/>
        </w:rPr>
        <w:t>▲供应商报价低于采购项目最高限价45%的，即响应报价&lt;采购项目最高限价×45%，提供书面说明及必要的证明材料，对响应价格作出解释。书面说明、证明材料主要是</w:t>
      </w:r>
      <w:r>
        <w:rPr>
          <w:rFonts w:hint="eastAsia" w:ascii="宋体" w:hAnsi="宋体" w:eastAsia="宋体" w:cs="宋体"/>
          <w:b/>
          <w:bCs/>
          <w:color w:val="auto"/>
          <w:spacing w:val="-2"/>
          <w:kern w:val="0"/>
          <w:sz w:val="21"/>
          <w:szCs w:val="21"/>
          <w:highlight w:val="none"/>
          <w:lang w:val="en-US" w:eastAsia="zh-CN" w:bidi="ar"/>
        </w:rPr>
        <w:t>项目具体成本测算等与报价合理性相关的说明、材料</w:t>
      </w:r>
      <w:r>
        <w:rPr>
          <w:rFonts w:hint="eastAsia" w:ascii="宋体" w:hAnsi="宋体" w:eastAsia="宋体" w:cs="宋体"/>
          <w:color w:val="auto"/>
          <w:spacing w:val="-2"/>
          <w:kern w:val="0"/>
          <w:sz w:val="21"/>
          <w:szCs w:val="21"/>
          <w:highlight w:val="none"/>
          <w:lang w:val="en-US" w:eastAsia="zh-CN" w:bidi="ar"/>
        </w:rPr>
        <w:t>。</w:t>
      </w:r>
    </w:p>
    <w:p w14:paraId="5E1779FC">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2"/>
          <w:sz w:val="21"/>
          <w:szCs w:val="21"/>
          <w:highlight w:val="none"/>
        </w:rPr>
        <w:br w:type="page"/>
      </w:r>
      <w:r>
        <w:rPr>
          <w:rFonts w:hint="eastAsia" w:ascii="宋体" w:hAnsi="宋体" w:eastAsia="宋体" w:cs="宋体"/>
          <w:color w:val="auto"/>
          <w:sz w:val="28"/>
          <w:szCs w:val="28"/>
          <w:highlight w:val="none"/>
        </w:rPr>
        <w:t>附件1：中小企业声明函</w:t>
      </w:r>
    </w:p>
    <w:p w14:paraId="7138B07C">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中小企业声明函（</w:t>
      </w:r>
      <w:r>
        <w:rPr>
          <w:rFonts w:hint="eastAsia" w:ascii="宋体" w:hAnsi="宋体" w:eastAsia="宋体" w:cs="宋体"/>
          <w:b/>
          <w:bCs/>
          <w:i w:val="0"/>
          <w:iCs w:val="0"/>
          <w:color w:val="auto"/>
          <w:spacing w:val="-6"/>
          <w:kern w:val="0"/>
          <w:sz w:val="21"/>
          <w:szCs w:val="21"/>
          <w:highlight w:val="none"/>
          <w:lang w:val="en-US" w:eastAsia="zh-CN" w:bidi="ar"/>
        </w:rPr>
        <w:t>服务</w:t>
      </w:r>
      <w:r>
        <w:rPr>
          <w:rFonts w:hint="eastAsia" w:ascii="宋体" w:hAnsi="宋体" w:eastAsia="宋体" w:cs="宋体"/>
          <w:b/>
          <w:bCs/>
          <w:color w:val="auto"/>
          <w:spacing w:val="-6"/>
          <w:kern w:val="0"/>
          <w:sz w:val="21"/>
          <w:szCs w:val="21"/>
          <w:highlight w:val="none"/>
          <w:lang w:val="en-US" w:eastAsia="zh-CN" w:bidi="ar"/>
        </w:rPr>
        <w:t>）</w:t>
      </w:r>
    </w:p>
    <w:p w14:paraId="5387D5C2">
      <w:pPr>
        <w:keepNext w:val="0"/>
        <w:keepLines w:val="0"/>
        <w:widowControl/>
        <w:suppressLineNumbers w:val="0"/>
        <w:spacing w:line="288" w:lineRule="auto"/>
        <w:jc w:val="center"/>
        <w:rPr>
          <w:rFonts w:hint="eastAsia" w:ascii="宋体" w:hAnsi="宋体" w:eastAsia="宋体" w:cs="宋体"/>
          <w:b/>
          <w:bCs/>
          <w:color w:val="auto"/>
          <w:spacing w:val="-6"/>
          <w:sz w:val="21"/>
          <w:szCs w:val="21"/>
          <w:highlight w:val="none"/>
          <w:lang w:val="en-US" w:eastAsia="zh-CN"/>
        </w:rPr>
      </w:pPr>
    </w:p>
    <w:p w14:paraId="327CC936">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本公司（联合体）郑重声明，根据《政府采购促进中小企业发展管理办法》（财库﹝2020﹞46号）的规定，本公司（联合体）参加</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）的（项目名称：</w:t>
      </w:r>
      <w:r>
        <w:rPr>
          <w:rFonts w:hint="eastAsia" w:ascii="宋体" w:hAnsi="宋体" w:cs="宋体"/>
          <w:i w:val="0"/>
          <w:iCs w:val="0"/>
          <w:color w:val="auto"/>
          <w:kern w:val="0"/>
          <w:sz w:val="21"/>
          <w:szCs w:val="21"/>
          <w:highlight w:val="none"/>
          <w:u w:val="single"/>
          <w:lang w:val="en-US" w:eastAsia="zh-CN" w:bidi="ar"/>
        </w:rPr>
        <w:t>杭电智慧学习云平台服务</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w:t>
      </w:r>
      <w:r>
        <w:rPr>
          <w:rFonts w:hint="eastAsia" w:ascii="宋体" w:hAnsi="宋体" w:eastAsia="宋体" w:cs="宋体"/>
          <w:i w:val="0"/>
          <w:iCs w:val="0"/>
          <w:color w:val="auto"/>
          <w:kern w:val="0"/>
          <w:sz w:val="21"/>
          <w:szCs w:val="21"/>
          <w:highlight w:val="none"/>
          <w:lang w:val="en-US" w:eastAsia="zh-CN" w:bidi="ar"/>
        </w:rPr>
        <w:t>服务全部由符合政策要求的中小企业承接。</w:t>
      </w:r>
    </w:p>
    <w:p w14:paraId="103BE66C">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相关企业（含联合体中的中小企业、签订分包意向协议的中小企业）的具体情况如下：</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12"/>
        <w:gridCol w:w="1402"/>
        <w:gridCol w:w="1240"/>
        <w:gridCol w:w="2101"/>
        <w:gridCol w:w="1171"/>
        <w:gridCol w:w="1160"/>
        <w:gridCol w:w="1160"/>
        <w:gridCol w:w="1150"/>
      </w:tblGrid>
      <w:tr w14:paraId="2464C19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trPr>
        <w:tc>
          <w:tcPr>
            <w:tcW w:w="51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1E1F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序号</w:t>
            </w:r>
          </w:p>
        </w:tc>
        <w:tc>
          <w:tcPr>
            <w:tcW w:w="140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44D6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标的名称</w:t>
            </w:r>
          </w:p>
        </w:tc>
        <w:tc>
          <w:tcPr>
            <w:tcW w:w="124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463B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10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F7AD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承接企业</w:t>
            </w:r>
          </w:p>
        </w:tc>
        <w:tc>
          <w:tcPr>
            <w:tcW w:w="1171"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6072C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w:t>
            </w:r>
          </w:p>
          <w:p w14:paraId="3EC479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（人）</w:t>
            </w:r>
          </w:p>
        </w:tc>
        <w:tc>
          <w:tcPr>
            <w:tcW w:w="116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DA00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w:t>
            </w:r>
          </w:p>
          <w:p w14:paraId="6F2814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6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3284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w:t>
            </w:r>
          </w:p>
          <w:p w14:paraId="4B22E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（万元）</w:t>
            </w:r>
          </w:p>
        </w:tc>
        <w:tc>
          <w:tcPr>
            <w:tcW w:w="1150"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637D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企业类型</w:t>
            </w:r>
          </w:p>
        </w:tc>
      </w:tr>
      <w:tr w14:paraId="1E2CEAE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340" w:hRule="atLeast"/>
        </w:trPr>
        <w:tc>
          <w:tcPr>
            <w:tcW w:w="51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7C63A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402"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4CDE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杭电智慧学习云平台服务</w:t>
            </w:r>
          </w:p>
        </w:tc>
        <w:tc>
          <w:tcPr>
            <w:tcW w:w="124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DD2E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软件和信息技术服务业</w:t>
            </w:r>
          </w:p>
        </w:tc>
        <w:tc>
          <w:tcPr>
            <w:tcW w:w="210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B37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c>
          <w:tcPr>
            <w:tcW w:w="1171"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7AD4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c>
          <w:tcPr>
            <w:tcW w:w="116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92038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c>
          <w:tcPr>
            <w:tcW w:w="116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1490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c>
          <w:tcPr>
            <w:tcW w:w="1150"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DFFD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sz w:val="21"/>
                <w:szCs w:val="21"/>
                <w:highlight w:val="none"/>
              </w:rPr>
            </w:pPr>
          </w:p>
        </w:tc>
      </w:tr>
    </w:tbl>
    <w:p w14:paraId="38CD8FE6">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以上企业，不属于大企业的分支机构，不存在控股股东为大企业的情形，也不存在与大企业的负责人为同一人的情形。</w:t>
      </w:r>
    </w:p>
    <w:p w14:paraId="0B40B43D">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本企业对上述声明内容的真实性负责。如有虚假，将依法承担相应责任。</w:t>
      </w:r>
    </w:p>
    <w:p w14:paraId="53101D2D">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144B9F54">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1D0155F5">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6258A47">
      <w:pPr>
        <w:keepNext w:val="0"/>
        <w:keepLines w:val="0"/>
        <w:widowControl/>
        <w:suppressLineNumbers w:val="0"/>
        <w:spacing w:line="288" w:lineRule="auto"/>
        <w:ind w:left="0" w:firstLine="495"/>
        <w:jc w:val="left"/>
        <w:rPr>
          <w:rFonts w:hint="eastAsia" w:ascii="宋体" w:hAnsi="宋体" w:eastAsia="宋体" w:cs="宋体"/>
          <w:color w:val="auto"/>
          <w:sz w:val="21"/>
          <w:szCs w:val="21"/>
          <w:highlight w:val="none"/>
        </w:rPr>
      </w:pPr>
    </w:p>
    <w:p w14:paraId="085600F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说明：</w:t>
      </w:r>
    </w:p>
    <w:p w14:paraId="2768AC4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1.标的名称，按照【采购需求】中明确的标的填写；</w:t>
      </w:r>
    </w:p>
    <w:p w14:paraId="6F5FF19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2.所属行业，按照【采购需求】中明确的标的“所属行业”填写；</w:t>
      </w:r>
    </w:p>
    <w:p w14:paraId="5F12D21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3.承接企业：服务由中小企业承接，即提供服务的人员为中小企业依照《中华人民共和国劳动合同法》订立劳动合同的从业人员；</w:t>
      </w:r>
    </w:p>
    <w:p w14:paraId="44C745DC">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4.从业人员、营业收入、资产总额填报上一年度数据，无上一年度数据的新成立企业可不填报。</w:t>
      </w:r>
    </w:p>
    <w:p w14:paraId="0BF5257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5.企业类型（包括新成立企业），按照《中小企业划型标准规定》（工信部联企业〔2011〕300号）规定和【采购需求】中明确的标的“所属行业”，选择“中型、小型或微型”其中之一。</w:t>
      </w:r>
    </w:p>
    <w:p w14:paraId="11B1E954">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kern w:val="0"/>
          <w:sz w:val="21"/>
          <w:szCs w:val="21"/>
          <w:highlight w:val="none"/>
          <w:lang w:val="en-US" w:eastAsia="zh-CN" w:bidi="ar"/>
        </w:rPr>
        <w:br w:type="page"/>
      </w:r>
      <w:r>
        <w:rPr>
          <w:rFonts w:hint="eastAsia" w:ascii="宋体" w:hAnsi="宋体" w:eastAsia="宋体" w:cs="宋体"/>
          <w:color w:val="auto"/>
          <w:sz w:val="28"/>
          <w:szCs w:val="28"/>
          <w:highlight w:val="none"/>
        </w:rPr>
        <w:t>附件2：属于监狱企业的证明文件</w:t>
      </w:r>
    </w:p>
    <w:p w14:paraId="10F96D91">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（仅适用于：供应商属于监狱企业）</w:t>
      </w:r>
    </w:p>
    <w:p w14:paraId="65E2819F">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left"/>
        <w:textAlignment w:val="auto"/>
        <w:rPr>
          <w:rFonts w:hint="eastAsia" w:ascii="宋体" w:hAnsi="宋体" w:eastAsia="宋体" w:cs="宋体"/>
          <w:color w:val="auto"/>
          <w:sz w:val="21"/>
          <w:szCs w:val="21"/>
          <w:highlight w:val="none"/>
        </w:rPr>
      </w:pPr>
    </w:p>
    <w:p w14:paraId="08B7CF8C">
      <w:pPr>
        <w:keepNext w:val="0"/>
        <w:keepLines w:val="0"/>
        <w:widowControl/>
        <w:suppressLineNumbers w:val="0"/>
        <w:spacing w:line="288" w:lineRule="auto"/>
        <w:ind w:left="0" w:firstLine="373"/>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监狱企业参加政府采购活动时，应当提供由省级以上监狱管理局、戒毒管理局（含新疆生产建设兵团）出具的属于监狱企业的证明文件。</w:t>
      </w:r>
    </w:p>
    <w:p w14:paraId="7BB18BB5">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5569B769">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69DE56AE">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6073F9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二、在政府采购活动中，监狱企业视同小型、微型企业，享受预留份额、评审中价格扣除等政府采购促进中小企业发展的政府采购政策。</w:t>
      </w:r>
    </w:p>
    <w:p w14:paraId="558C442E">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附件3：残疾人福利性单位声明函</w:t>
      </w:r>
    </w:p>
    <w:p w14:paraId="6F70E264">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（仅适用于：供应商属于残疾人福利性单位）</w:t>
      </w:r>
    </w:p>
    <w:p w14:paraId="711FE1B5">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left"/>
        <w:textAlignment w:val="auto"/>
        <w:rPr>
          <w:rFonts w:hint="eastAsia" w:ascii="宋体" w:hAnsi="宋体" w:eastAsia="宋体" w:cs="宋体"/>
          <w:color w:val="auto"/>
          <w:sz w:val="21"/>
          <w:szCs w:val="21"/>
          <w:highlight w:val="none"/>
        </w:rPr>
      </w:pPr>
    </w:p>
    <w:p w14:paraId="2DA42C87">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本单位郑重声明，根据《财政部民政部中国残疾人联合会关于促进残疾人就业政府采购政策的通知》（财库</w:t>
      </w:r>
      <w:r>
        <w:rPr>
          <w:rFonts w:hint="eastAsia" w:ascii="宋体" w:hAnsi="宋体" w:eastAsia="宋体" w:cs="宋体"/>
          <w:color w:val="auto"/>
          <w:kern w:val="0"/>
          <w:sz w:val="21"/>
          <w:szCs w:val="21"/>
          <w:highlight w:val="none"/>
          <w:lang w:val="en-US" w:eastAsia="zh-CN" w:bidi="ar"/>
        </w:rPr>
        <w:t>〔2017〕141</w:t>
      </w:r>
      <w:r>
        <w:rPr>
          <w:rFonts w:hint="eastAsia" w:ascii="宋体" w:hAnsi="宋体" w:eastAsia="宋体" w:cs="宋体"/>
          <w:color w:val="auto"/>
          <w:spacing w:val="6"/>
          <w:kern w:val="0"/>
          <w:sz w:val="21"/>
          <w:szCs w:val="21"/>
          <w:highlight w:val="none"/>
          <w:lang w:val="en-US" w:eastAsia="zh-CN" w:bidi="ar"/>
        </w:rPr>
        <w:t>号）的规定，</w:t>
      </w:r>
      <w:r>
        <w:rPr>
          <w:rFonts w:hint="eastAsia" w:ascii="宋体" w:hAnsi="宋体" w:eastAsia="宋体" w:cs="宋体"/>
          <w:b/>
          <w:bCs/>
          <w:color w:val="auto"/>
          <w:spacing w:val="6"/>
          <w:kern w:val="0"/>
          <w:sz w:val="21"/>
          <w:szCs w:val="21"/>
          <w:highlight w:val="none"/>
          <w:lang w:val="en-US" w:eastAsia="zh-CN" w:bidi="ar"/>
        </w:rPr>
        <w:t>本单位为符合条件的残疾人福利性单位</w:t>
      </w:r>
      <w:r>
        <w:rPr>
          <w:rFonts w:hint="eastAsia" w:ascii="宋体" w:hAnsi="宋体" w:eastAsia="宋体" w:cs="宋体"/>
          <w:color w:val="auto"/>
          <w:spacing w:val="6"/>
          <w:kern w:val="0"/>
          <w:sz w:val="21"/>
          <w:szCs w:val="21"/>
          <w:highlight w:val="none"/>
          <w:lang w:val="en-US" w:eastAsia="zh-CN" w:bidi="ar"/>
        </w:rPr>
        <w:t>，且本单位参加（采购人）单位的（项目名称）项目采购活动提供本单位</w:t>
      </w:r>
      <w:r>
        <w:rPr>
          <w:rFonts w:hint="eastAsia" w:ascii="宋体" w:hAnsi="宋体" w:cs="宋体"/>
          <w:color w:val="auto"/>
          <w:spacing w:val="6"/>
          <w:kern w:val="0"/>
          <w:sz w:val="21"/>
          <w:szCs w:val="21"/>
          <w:highlight w:val="none"/>
          <w:lang w:val="en-US" w:eastAsia="zh-CN" w:bidi="ar"/>
        </w:rPr>
        <w:t>服务</w:t>
      </w:r>
      <w:r>
        <w:rPr>
          <w:rFonts w:hint="eastAsia" w:ascii="宋体" w:hAnsi="宋体" w:eastAsia="宋体" w:cs="宋体"/>
          <w:color w:val="auto"/>
          <w:spacing w:val="6"/>
          <w:kern w:val="0"/>
          <w:sz w:val="21"/>
          <w:szCs w:val="21"/>
          <w:highlight w:val="none"/>
          <w:lang w:val="en-US" w:eastAsia="zh-CN" w:bidi="ar"/>
        </w:rPr>
        <w:t>。</w:t>
      </w:r>
    </w:p>
    <w:p w14:paraId="2F20B8DD">
      <w:pPr>
        <w:keepNext w:val="0"/>
        <w:keepLines w:val="0"/>
        <w:widowControl/>
        <w:suppressLineNumbers w:val="0"/>
        <w:spacing w:line="288" w:lineRule="auto"/>
        <w:ind w:left="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本单位对上述声明的真实性负责。如有虚假，将依法承担相应责任。</w:t>
      </w:r>
    </w:p>
    <w:p w14:paraId="0D1D3BBD">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单位名称（盖章）：</w:t>
      </w:r>
    </w:p>
    <w:p w14:paraId="20F07D0C">
      <w:pPr>
        <w:keepNext w:val="0"/>
        <w:keepLines w:val="0"/>
        <w:widowControl/>
        <w:suppressLineNumbers w:val="0"/>
        <w:spacing w:line="288" w:lineRule="auto"/>
        <w:ind w:left="0" w:right="1560" w:firstLine="444"/>
        <w:jc w:val="left"/>
        <w:rPr>
          <w:rFonts w:hint="eastAsia"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lang w:val="en-US" w:eastAsia="zh-CN" w:bidi="ar"/>
        </w:rPr>
        <w:t>日期：</w:t>
      </w:r>
    </w:p>
    <w:p w14:paraId="235029B6">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F41A5D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说明：</w:t>
      </w:r>
    </w:p>
    <w:p w14:paraId="514C2B67">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一、享受政府采购支持政策的残疾人福利性单位应当同时满足以下条件：</w:t>
      </w:r>
    </w:p>
    <w:p w14:paraId="3A13294E">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（一）安置的残疾人占本单位在职职工人数的比例不低于25%（含25%），并且安置的残疾人人数不少于10人（含10人）；</w:t>
      </w:r>
    </w:p>
    <w:p w14:paraId="2B082552">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（二）依法与安置的每位残疾人签订了一年以上（含一年）的劳动合同或服务协议；</w:t>
      </w:r>
    </w:p>
    <w:p w14:paraId="326899AB">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（三）为安置的每位残疾人按月足额缴纳了基本养老保险、基本医疗保险、失业保险、工伤保险和生育保险等社会保险费；</w:t>
      </w:r>
    </w:p>
    <w:p w14:paraId="6C17B16C">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（四）通过银行等金融机构向安置的每位残疾人，按月支付了不低于单位所在区县适用的经省级人民政府批准的月最低工资标准的工资；</w:t>
      </w:r>
    </w:p>
    <w:p w14:paraId="0164B841">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（五）提供本单位制造的货物、承担的工程或者服务（以下简称产品），或者提供其他残疾人福利性单位制造的货物（不包括使用非残疾人福利性单位注册商标的货物）。</w:t>
      </w:r>
    </w:p>
    <w:p w14:paraId="69091592">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7D896E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二、符合条件的残疾人福利性单位在参加政府采购活动时，应当提供财库[2017]141号文件规定的《残疾人福利性单位声明函》，并对声明的真实性负责。</w:t>
      </w:r>
    </w:p>
    <w:p w14:paraId="507FF8D3">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三、在政府采购活动中，残疾人福利性单位视同小型、微型企业，享受预留份额、评审中价格扣除等促进中小企业发展的政府采购政策。</w:t>
      </w:r>
    </w:p>
    <w:p w14:paraId="473D44C8">
      <w:pPr>
        <w:keepNext w:val="0"/>
        <w:keepLines w:val="0"/>
        <w:widowControl/>
        <w:suppressLineNumbers w:val="0"/>
        <w:spacing w:line="288" w:lineRule="auto"/>
        <w:ind w:left="0" w:firstLine="371"/>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残疾人福利性单位属于小型、微型企业的，不重复享受政策。</w:t>
      </w:r>
    </w:p>
    <w:p w14:paraId="7FA44715">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附件4：联合协议</w:t>
      </w:r>
    </w:p>
    <w:p w14:paraId="1B2242D8">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联合协议</w:t>
      </w:r>
    </w:p>
    <w:p w14:paraId="77E68419">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left"/>
        <w:textAlignment w:val="auto"/>
        <w:rPr>
          <w:rFonts w:hint="eastAsia" w:ascii="宋体" w:hAnsi="宋体" w:eastAsia="宋体" w:cs="宋体"/>
          <w:color w:val="auto"/>
          <w:sz w:val="21"/>
          <w:szCs w:val="21"/>
          <w:highlight w:val="none"/>
        </w:rPr>
      </w:pPr>
    </w:p>
    <w:p w14:paraId="7CF5D05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（联合体所有成员名称）</w:t>
      </w:r>
      <w:r>
        <w:rPr>
          <w:rFonts w:hint="eastAsia" w:ascii="宋体" w:hAnsi="宋体" w:eastAsia="宋体" w:cs="宋体"/>
          <w:color w:val="auto"/>
          <w:kern w:val="0"/>
          <w:sz w:val="21"/>
          <w:szCs w:val="21"/>
          <w:highlight w:val="none"/>
          <w:lang w:val="en-US" w:eastAsia="zh-CN" w:bidi="ar"/>
        </w:rPr>
        <w:t>自愿组成一个联合体，以一个供应商的身份参加</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杭电智慧学习云平台服务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330000263030150000069-QSZBB260014ZFCS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响应。</w:t>
      </w:r>
    </w:p>
    <w:p w14:paraId="18A8BE9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一、各方一致决定，</w:t>
      </w:r>
      <w:r>
        <w:rPr>
          <w:rFonts w:hint="eastAsia" w:ascii="宋体" w:hAnsi="宋体" w:eastAsia="宋体" w:cs="宋体"/>
          <w:color w:val="auto"/>
          <w:kern w:val="0"/>
          <w:sz w:val="21"/>
          <w:szCs w:val="21"/>
          <w:highlight w:val="none"/>
          <w:u w:val="single"/>
          <w:lang w:val="en-US" w:eastAsia="zh-CN" w:bidi="ar"/>
        </w:rPr>
        <w:t>（某联合体成员名称）</w:t>
      </w:r>
      <w:r>
        <w:rPr>
          <w:rFonts w:hint="eastAsia" w:ascii="宋体" w:hAnsi="宋体" w:eastAsia="宋体" w:cs="宋体"/>
          <w:color w:val="auto"/>
          <w:kern w:val="0"/>
          <w:sz w:val="21"/>
          <w:szCs w:val="21"/>
          <w:highlight w:val="none"/>
          <w:lang w:val="en-US" w:eastAsia="zh-CN" w:bidi="ar"/>
        </w:rPr>
        <w:t>为联合体牵头人，代表所有联合体成员负责响应和合同实施阶段的主办、协调工作。</w:t>
      </w:r>
    </w:p>
    <w:p w14:paraId="715FAC4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二、所有联合体成员各方签署授权书，授权书载明的授权代表根据采购文件规定及响应内容而对采购人、采购代理机构所作的任何合法承诺，包括书面澄清及相应等均对联合响应各方产生约束力。</w:t>
      </w:r>
    </w:p>
    <w:p w14:paraId="4559DC5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三、本次联合响应中，分工如下：</w:t>
      </w:r>
    </w:p>
    <w:p w14:paraId="5FC3DE3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（联合体成员1）</w:t>
      </w:r>
      <w:r>
        <w:rPr>
          <w:rFonts w:hint="eastAsia" w:ascii="宋体" w:hAnsi="宋体" w:eastAsia="宋体" w:cs="宋体"/>
          <w:color w:val="auto"/>
          <w:kern w:val="0"/>
          <w:sz w:val="21"/>
          <w:szCs w:val="21"/>
          <w:highlight w:val="none"/>
          <w:lang w:val="en-US" w:eastAsia="zh-CN" w:bidi="ar"/>
        </w:rPr>
        <w:t>承担的工作和义务为：         ；</w:t>
      </w:r>
    </w:p>
    <w:p w14:paraId="6F62474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（联合体成员2）</w:t>
      </w:r>
      <w:r>
        <w:rPr>
          <w:rFonts w:hint="eastAsia" w:ascii="宋体" w:hAnsi="宋体" w:eastAsia="宋体" w:cs="宋体"/>
          <w:color w:val="auto"/>
          <w:kern w:val="0"/>
          <w:sz w:val="21"/>
          <w:szCs w:val="21"/>
          <w:highlight w:val="none"/>
          <w:lang w:val="en-US" w:eastAsia="zh-CN" w:bidi="ar"/>
        </w:rPr>
        <w:t>承担的工作和义务为：         ；</w:t>
      </w:r>
    </w:p>
    <w:p w14:paraId="7063760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3FE7D9F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四、联合体成员中小企业合同份额。</w:t>
      </w:r>
    </w:p>
    <w:p w14:paraId="3112882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中小企业合同金额达到【    %】，其中小微企业合同金额达到【    %】，其中：</w:t>
      </w:r>
    </w:p>
    <w:p w14:paraId="6FEAD46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（联合体成员X，……）</w:t>
      </w:r>
      <w:r>
        <w:rPr>
          <w:rFonts w:hint="eastAsia" w:ascii="宋体" w:hAnsi="宋体" w:eastAsia="宋体" w:cs="宋体"/>
          <w:color w:val="auto"/>
          <w:kern w:val="0"/>
          <w:sz w:val="21"/>
          <w:szCs w:val="21"/>
          <w:highlight w:val="none"/>
          <w:lang w:val="en-US" w:eastAsia="zh-CN" w:bidi="ar"/>
        </w:rPr>
        <w:t>提供的服务全部由小微企业承接，其合同份额占到合同总金额【    %】以上；</w:t>
      </w:r>
    </w:p>
    <w:p w14:paraId="3774FFB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12043B8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五、如果成交，联合体各成员方共同与采购人签订合同，并就采购合同约定的事项对采购人承担连带责任。</w:t>
      </w:r>
    </w:p>
    <w:p w14:paraId="27AB783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六、有关本次联合响应的其他事宜：</w:t>
      </w:r>
    </w:p>
    <w:p w14:paraId="1BCD2F9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1、联合体各方不再单独参加或者与其他供应商另外组成联合体参加同一合同项下的政府采购活动。</w:t>
      </w:r>
    </w:p>
    <w:p w14:paraId="6097A01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2、联合体中有同类资质的各方按照联合体分工承担相同工作的，按照资质等级较低的供应商确定资质等级。</w:t>
      </w:r>
    </w:p>
    <w:p w14:paraId="00AEC4C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3、本协议提交采购人、采购代理机构后，联合体各方不得以任何形式对上述内容进行修改或撤销。</w:t>
      </w:r>
    </w:p>
    <w:p w14:paraId="3351EC83">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42520F2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联合体成员（各方）名称(电子签名/公章)：</w:t>
      </w:r>
    </w:p>
    <w:p w14:paraId="31933A2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5EC9FA0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年</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月</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日</w:t>
      </w:r>
    </w:p>
    <w:p w14:paraId="346C4CD2">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p>
    <w:p w14:paraId="780D53EB">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91D496F">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1、按本格式和要求提供。</w:t>
      </w:r>
    </w:p>
    <w:p w14:paraId="31FDC878">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2、以联合体形式响应的，提供联合协议；本项目不接受联合体响应或者供应商不以联合体形式响应的，则不需要提供。</w:t>
      </w:r>
    </w:p>
    <w:p w14:paraId="59F3AFED">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3、要求以联合体形式参加的项目或采购包，供应商按采购公告“申请人的资格要求”中规定的联合协议中中小企业、小微企业合同金额应当达到的比例要求填写。</w:t>
      </w:r>
    </w:p>
    <w:p w14:paraId="4B017847">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未预留份额专门面向中小企业采购的采购项目，以及预留份额中的非预留部分采购包，接受联合体响应的，联合协议约定小微企业的合同份额占到合同总金额30%以上的，对联合体报价按采购文件确定的比例给予扣除。供应商拟享受以上价格扣除政策的，填写有关内容。</w:t>
      </w:r>
    </w:p>
    <w:p w14:paraId="61E78B59">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附件5：分包意向协议</w:t>
      </w:r>
    </w:p>
    <w:p w14:paraId="4C2B3983">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分包意向协议</w:t>
      </w:r>
    </w:p>
    <w:p w14:paraId="1E8BD0C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p>
    <w:p w14:paraId="0089A10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我方若成为</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杭电智慧学习云平台服务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330000263030150000069-QSZBB260014ZFCS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的成交供应商，将依法采取分包方式履行合同。</w:t>
      </w:r>
      <w:r>
        <w:rPr>
          <w:rFonts w:hint="eastAsia" w:ascii="宋体" w:hAnsi="宋体" w:eastAsia="宋体" w:cs="宋体"/>
          <w:color w:val="auto"/>
          <w:kern w:val="0"/>
          <w:sz w:val="21"/>
          <w:szCs w:val="21"/>
          <w:highlight w:val="none"/>
          <w:u w:val="single"/>
          <w:lang w:val="en-US" w:eastAsia="zh-CN" w:bidi="ar"/>
        </w:rPr>
        <w:t>（供应商名称）</w:t>
      </w:r>
      <w:r>
        <w:rPr>
          <w:rFonts w:hint="eastAsia" w:ascii="宋体" w:hAnsi="宋体" w:eastAsia="宋体" w:cs="宋体"/>
          <w:color w:val="auto"/>
          <w:kern w:val="0"/>
          <w:sz w:val="21"/>
          <w:szCs w:val="21"/>
          <w:highlight w:val="none"/>
          <w:lang w:val="en-US" w:eastAsia="zh-CN" w:bidi="ar"/>
        </w:rPr>
        <w:t>与</w:t>
      </w:r>
      <w:r>
        <w:rPr>
          <w:rFonts w:hint="eastAsia" w:ascii="宋体" w:hAnsi="宋体" w:eastAsia="宋体" w:cs="宋体"/>
          <w:color w:val="auto"/>
          <w:kern w:val="0"/>
          <w:sz w:val="21"/>
          <w:szCs w:val="21"/>
          <w:highlight w:val="none"/>
          <w:u w:val="single"/>
          <w:lang w:val="en-US" w:eastAsia="zh-CN" w:bidi="ar"/>
        </w:rPr>
        <w:t>（所有分包供应商名称）</w:t>
      </w:r>
      <w:r>
        <w:rPr>
          <w:rFonts w:hint="eastAsia" w:ascii="宋体" w:hAnsi="宋体" w:eastAsia="宋体" w:cs="宋体"/>
          <w:color w:val="auto"/>
          <w:kern w:val="0"/>
          <w:sz w:val="21"/>
          <w:szCs w:val="21"/>
          <w:highlight w:val="none"/>
          <w:lang w:val="en-US" w:eastAsia="zh-CN" w:bidi="ar"/>
        </w:rPr>
        <w:t>达成分包意向协议。</w:t>
      </w:r>
    </w:p>
    <w:p w14:paraId="7623897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一、分包的标的及数量</w:t>
      </w:r>
    </w:p>
    <w:p w14:paraId="5281332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我方将</w:t>
      </w:r>
      <w:r>
        <w:rPr>
          <w:rFonts w:hint="eastAsia" w:ascii="宋体" w:hAnsi="宋体" w:eastAsia="宋体" w:cs="宋体"/>
          <w:color w:val="auto"/>
          <w:kern w:val="0"/>
          <w:sz w:val="21"/>
          <w:szCs w:val="21"/>
          <w:highlight w:val="none"/>
          <w:u w:val="single"/>
          <w:lang w:val="en-US" w:eastAsia="zh-CN" w:bidi="ar"/>
        </w:rPr>
        <w:t>（XX工作内容）</w:t>
      </w:r>
      <w:r>
        <w:rPr>
          <w:rFonts w:hint="eastAsia" w:ascii="宋体" w:hAnsi="宋体" w:eastAsia="宋体" w:cs="宋体"/>
          <w:color w:val="auto"/>
          <w:kern w:val="0"/>
          <w:sz w:val="21"/>
          <w:szCs w:val="21"/>
          <w:highlight w:val="none"/>
          <w:lang w:val="en-US" w:eastAsia="zh-CN" w:bidi="ar"/>
        </w:rPr>
        <w:t>分包给</w:t>
      </w:r>
      <w:r>
        <w:rPr>
          <w:rFonts w:hint="eastAsia" w:ascii="宋体" w:hAnsi="宋体" w:eastAsia="宋体" w:cs="宋体"/>
          <w:color w:val="auto"/>
          <w:kern w:val="0"/>
          <w:sz w:val="21"/>
          <w:szCs w:val="21"/>
          <w:highlight w:val="none"/>
          <w:u w:val="single"/>
          <w:lang w:val="en-US" w:eastAsia="zh-CN" w:bidi="ar"/>
        </w:rPr>
        <w:t>（分包供应商1名称）</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u w:val="single"/>
          <w:lang w:val="en-US" w:eastAsia="zh-CN" w:bidi="ar"/>
        </w:rPr>
        <w:t>（分包供应商1名称），</w:t>
      </w:r>
      <w:r>
        <w:rPr>
          <w:rFonts w:hint="eastAsia" w:ascii="宋体" w:hAnsi="宋体" w:eastAsia="宋体" w:cs="宋体"/>
          <w:color w:val="auto"/>
          <w:kern w:val="0"/>
          <w:sz w:val="21"/>
          <w:szCs w:val="21"/>
          <w:highlight w:val="none"/>
          <w:lang w:val="en-US" w:eastAsia="zh-CN" w:bidi="ar"/>
        </w:rPr>
        <w:t>具备承担分包内容相应资质条件且不得再次分包；</w:t>
      </w:r>
    </w:p>
    <w:p w14:paraId="64DDF1A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117932B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二、分包供应商中小企业合同份额</w:t>
      </w:r>
    </w:p>
    <w:p w14:paraId="0E2F4AE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中小企业合同金额达到【    %】，其中小微企业合同金额达到【    %】，其中：</w:t>
      </w:r>
    </w:p>
    <w:p w14:paraId="01B151D6">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（分包供应商X，……）</w:t>
      </w:r>
      <w:r>
        <w:rPr>
          <w:rFonts w:hint="eastAsia" w:ascii="宋体" w:hAnsi="宋体" w:eastAsia="宋体" w:cs="宋体"/>
          <w:color w:val="auto"/>
          <w:kern w:val="0"/>
          <w:sz w:val="21"/>
          <w:szCs w:val="21"/>
          <w:highlight w:val="none"/>
          <w:lang w:val="en-US" w:eastAsia="zh-CN" w:bidi="ar"/>
        </w:rPr>
        <w:t>提供的服务全部由小微企业承接，其合同份额占到合同总金额【    %】以上。</w:t>
      </w:r>
    </w:p>
    <w:p w14:paraId="049BB44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41CA4963">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三、分包工作履行期限、地点、方式</w:t>
      </w:r>
    </w:p>
    <w:p w14:paraId="32D673EB">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200F8C4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四、质量</w:t>
      </w:r>
    </w:p>
    <w:p w14:paraId="400EF26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19AE2FE8">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五、价款或者报酬</w:t>
      </w:r>
    </w:p>
    <w:p w14:paraId="65879902">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6E18BC8E">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六、违约责任</w:t>
      </w:r>
    </w:p>
    <w:p w14:paraId="4443E3EC">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A36EB10">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七、争议解决的办法</w:t>
      </w:r>
    </w:p>
    <w:p w14:paraId="570D1F01">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2F14276A">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供应商名称（电子签名/公章）：</w:t>
      </w:r>
    </w:p>
    <w:p w14:paraId="7AB2351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358BBE49">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分包供应商名称（电子签名/公章）：</w:t>
      </w:r>
    </w:p>
    <w:p w14:paraId="13260DED">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p>
    <w:p w14:paraId="7CAF83D5">
      <w:pPr>
        <w:keepNext w:val="0"/>
        <w:keepLines w:val="0"/>
        <w:widowControl/>
        <w:suppressLineNumbers w:val="0"/>
        <w:spacing w:line="288" w:lineRule="auto"/>
        <w:ind w:left="0"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年</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月</w:t>
      </w:r>
      <w:r>
        <w:rPr>
          <w:rFonts w:hint="eastAsia" w:ascii="宋体" w:hAnsi="宋体" w:cs="宋体"/>
          <w:b/>
          <w:bCs/>
          <w:color w:val="auto"/>
          <w:kern w:val="0"/>
          <w:sz w:val="21"/>
          <w:szCs w:val="21"/>
          <w:highlight w:val="none"/>
          <w:lang w:val="en-US" w:eastAsia="zh-CN" w:bidi="ar"/>
        </w:rPr>
        <w:t xml:space="preserve">  </w:t>
      </w:r>
      <w:r>
        <w:rPr>
          <w:rFonts w:hint="eastAsia" w:ascii="宋体" w:hAnsi="宋体" w:eastAsia="宋体" w:cs="宋体"/>
          <w:b/>
          <w:bCs/>
          <w:color w:val="auto"/>
          <w:kern w:val="0"/>
          <w:sz w:val="21"/>
          <w:szCs w:val="21"/>
          <w:highlight w:val="none"/>
          <w:lang w:val="en-US" w:eastAsia="zh-CN" w:bidi="ar"/>
        </w:rPr>
        <w:t>日</w:t>
      </w:r>
    </w:p>
    <w:p w14:paraId="6C522B4B">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p>
    <w:p w14:paraId="6C592839">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注：</w:t>
      </w:r>
    </w:p>
    <w:p w14:paraId="6895EC73">
      <w:pPr>
        <w:keepNext w:val="0"/>
        <w:keepLines w:val="0"/>
        <w:widowControl/>
        <w:suppressLineNumbers w:val="0"/>
        <w:spacing w:line="288" w:lineRule="auto"/>
        <w:ind w:right="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1、按本格式和要求提供。</w:t>
      </w:r>
    </w:p>
    <w:p w14:paraId="77744B9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2、成交后以分包方式履行合同的，提供分包意向协议；采购人不同意分包或者供应商成交后不以分包方式履行合同的，则不需要提供。</w:t>
      </w:r>
    </w:p>
    <w:p w14:paraId="0ACC0294">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3、要求合同分包形式参加的项目或采购包，供应商按采购公告“申请人的资格要求”中规定的分包意向协议中中小企业、小微企业合同金额应当达到的比例要求填写。</w:t>
      </w:r>
    </w:p>
    <w:p w14:paraId="6A05CE7F">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未预留份额专门面向中小企业采购的采购项目，以及预留份额中的非预留部分采购包，允许分包的，分包意向协议约定小微企业的合同份额占到合同总金额30%以上的，对大中型企业的报价按采购文件确定的比例给予扣除。供应商拟享受以上价格扣除政策的，填写有关内容。</w:t>
      </w:r>
    </w:p>
    <w:p w14:paraId="54CA821C">
      <w:pPr>
        <w:pStyle w:val="5"/>
        <w:keepNext w:val="0"/>
        <w:keepLines w:val="0"/>
        <w:pageBreakBefore w:val="0"/>
        <w:widowControl/>
        <w:suppressLineNumbers w:val="0"/>
        <w:kinsoku/>
        <w:wordWrap/>
        <w:overflowPunct/>
        <w:topLinePunct w:val="0"/>
        <w:autoSpaceDE/>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附件6：业务专用章使用说明函</w:t>
      </w:r>
    </w:p>
    <w:p w14:paraId="55F5ADED">
      <w:pPr>
        <w:keepNext w:val="0"/>
        <w:keepLines w:val="0"/>
        <w:pageBreakBefore w:val="0"/>
        <w:widowControl/>
        <w:suppressLineNumbers w:val="0"/>
        <w:kinsoku/>
        <w:wordWrap/>
        <w:overflowPunct/>
        <w:topLinePunct w:val="0"/>
        <w:autoSpaceDE/>
        <w:autoSpaceDN w:val="0"/>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业务专用章使用说明函</w:t>
      </w:r>
    </w:p>
    <w:p w14:paraId="2534C4C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7A22E48B">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lang w:val="en-US" w:eastAsia="zh-CN" w:bidi="ar"/>
        </w:rPr>
        <w:t>（</w:t>
      </w:r>
      <w:r>
        <w:rPr>
          <w:rFonts w:hint="eastAsia" w:ascii="宋体" w:hAnsi="宋体" w:cs="宋体"/>
          <w:i w:val="0"/>
          <w:iCs w:val="0"/>
          <w:color w:val="auto"/>
          <w:kern w:val="0"/>
          <w:sz w:val="21"/>
          <w:szCs w:val="21"/>
          <w:highlight w:val="none"/>
          <w:u w:val="single"/>
          <w:lang w:val="en-US" w:eastAsia="zh-CN" w:bidi="ar"/>
        </w:rPr>
        <w:t>杭州电子科技大学</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i w:val="0"/>
          <w:iCs w:val="0"/>
          <w:color w:val="auto"/>
          <w:kern w:val="0"/>
          <w:sz w:val="21"/>
          <w:szCs w:val="21"/>
          <w:highlight w:val="none"/>
          <w:u w:val="single"/>
          <w:lang w:val="en-US" w:eastAsia="zh-CN" w:bidi="ar"/>
        </w:rPr>
        <w:t>浙江求是招标代理有限公司</w:t>
      </w:r>
      <w:r>
        <w:rPr>
          <w:rFonts w:hint="eastAsia" w:ascii="宋体" w:hAnsi="宋体" w:eastAsia="宋体" w:cs="宋体"/>
          <w:color w:val="auto"/>
          <w:kern w:val="0"/>
          <w:sz w:val="21"/>
          <w:szCs w:val="21"/>
          <w:highlight w:val="none"/>
          <w:u w:val="single"/>
          <w:lang w:val="en-US" w:eastAsia="zh-CN" w:bidi="ar"/>
        </w:rPr>
        <w:t>）：</w:t>
      </w:r>
    </w:p>
    <w:p w14:paraId="188F5427">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我方是中华人民共和国依法登记注册的合法企业，在参加你方组织的</w:t>
      </w:r>
      <w:r>
        <w:rPr>
          <w:rFonts w:hint="eastAsia" w:ascii="宋体" w:hAnsi="宋体" w:eastAsia="宋体" w:cs="宋体"/>
          <w:color w:val="auto"/>
          <w:kern w:val="0"/>
          <w:sz w:val="21"/>
          <w:szCs w:val="21"/>
          <w:highlight w:val="none"/>
          <w:u w:val="single"/>
          <w:lang w:val="en-US" w:eastAsia="zh-CN" w:bidi="ar"/>
        </w:rPr>
        <w:t>（项目名称：</w:t>
      </w:r>
      <w:r>
        <w:rPr>
          <w:rFonts w:hint="eastAsia" w:ascii="宋体" w:hAnsi="宋体" w:cs="宋体"/>
          <w:i w:val="0"/>
          <w:iCs w:val="0"/>
          <w:color w:val="auto"/>
          <w:kern w:val="0"/>
          <w:sz w:val="21"/>
          <w:szCs w:val="21"/>
          <w:highlight w:val="none"/>
          <w:u w:val="single"/>
          <w:lang w:val="en-US" w:eastAsia="zh-CN" w:bidi="ar"/>
        </w:rPr>
        <w:t>杭电智慧学习云平台服务</w:t>
      </w:r>
      <w:r>
        <w:rPr>
          <w:rFonts w:hint="eastAsia" w:ascii="宋体" w:hAnsi="宋体" w:eastAsia="宋体" w:cs="宋体"/>
          <w:color w:val="auto"/>
          <w:kern w:val="0"/>
          <w:sz w:val="21"/>
          <w:szCs w:val="21"/>
          <w:highlight w:val="none"/>
          <w:u w:val="single"/>
          <w:lang w:val="en-US" w:eastAsia="zh-CN" w:bidi="ar"/>
        </w:rPr>
        <w:t>，项目编号：</w:t>
      </w:r>
      <w:r>
        <w:rPr>
          <w:rFonts w:hint="eastAsia" w:ascii="宋体" w:hAnsi="宋体" w:cs="宋体"/>
          <w:i w:val="0"/>
          <w:iCs w:val="0"/>
          <w:color w:val="auto"/>
          <w:kern w:val="0"/>
          <w:sz w:val="21"/>
          <w:szCs w:val="21"/>
          <w:highlight w:val="none"/>
          <w:u w:val="single"/>
          <w:lang w:val="en-US" w:eastAsia="zh-CN" w:bidi="ar"/>
        </w:rPr>
        <w:t>330000263030150000069-QSZBB260014ZFCS</w:t>
      </w:r>
      <w:r>
        <w:rPr>
          <w:rFonts w:hint="eastAsia" w:ascii="宋体" w:hAnsi="宋体" w:eastAsia="宋体" w:cs="宋体"/>
          <w:color w:val="auto"/>
          <w:kern w:val="0"/>
          <w:sz w:val="21"/>
          <w:szCs w:val="21"/>
          <w:highlight w:val="none"/>
          <w:u w:val="single"/>
          <w:lang w:val="en-US" w:eastAsia="zh-CN" w:bidi="ar"/>
        </w:rPr>
        <w:t>）</w:t>
      </w:r>
      <w:r>
        <w:rPr>
          <w:rFonts w:hint="eastAsia" w:ascii="宋体" w:hAnsi="宋体" w:eastAsia="宋体" w:cs="宋体"/>
          <w:color w:val="auto"/>
          <w:kern w:val="0"/>
          <w:sz w:val="21"/>
          <w:szCs w:val="21"/>
          <w:highlight w:val="none"/>
          <w:lang w:val="en-US" w:eastAsia="zh-CN" w:bidi="ar"/>
        </w:rPr>
        <w:t>采购活动中作如下说明：我方所使用的</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与法定名称章具有同等的法律效力，对使用</w:t>
      </w:r>
      <w:r>
        <w:rPr>
          <w:rFonts w:hint="eastAsia" w:ascii="宋体" w:hAnsi="宋体" w:eastAsia="宋体" w:cs="宋体"/>
          <w:color w:val="auto"/>
          <w:kern w:val="0"/>
          <w:sz w:val="21"/>
          <w:szCs w:val="21"/>
          <w:highlight w:val="none"/>
          <w:u w:val="single"/>
          <w:lang w:val="en-US" w:eastAsia="zh-CN" w:bidi="ar"/>
        </w:rPr>
        <w:t>“XX专用章”</w:t>
      </w:r>
      <w:r>
        <w:rPr>
          <w:rFonts w:hint="eastAsia" w:ascii="宋体" w:hAnsi="宋体" w:eastAsia="宋体" w:cs="宋体"/>
          <w:color w:val="auto"/>
          <w:kern w:val="0"/>
          <w:sz w:val="21"/>
          <w:szCs w:val="21"/>
          <w:highlight w:val="none"/>
          <w:lang w:val="en-US" w:eastAsia="zh-CN" w:bidi="ar"/>
        </w:rPr>
        <w:t>的行为予以完全承认，并愿意承担相应责任。</w:t>
      </w:r>
    </w:p>
    <w:p w14:paraId="4F15A273">
      <w:pPr>
        <w:keepNext w:val="0"/>
        <w:keepLines w:val="0"/>
        <w:widowControl/>
        <w:suppressLineNumbers w:val="0"/>
        <w:autoSpaceDE/>
        <w:autoSpaceDN w:val="0"/>
        <w:spacing w:line="288" w:lineRule="auto"/>
        <w:ind w:left="0" w:firstLine="424"/>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特此说明。</w:t>
      </w:r>
    </w:p>
    <w:p w14:paraId="382F6BF1">
      <w:pPr>
        <w:keepNext w:val="0"/>
        <w:keepLines w:val="0"/>
        <w:widowControl/>
        <w:suppressLineNumbers w:val="0"/>
        <w:autoSpaceDE/>
        <w:autoSpaceDN w:val="0"/>
        <w:spacing w:line="288" w:lineRule="auto"/>
        <w:ind w:left="0" w:right="480" w:firstLine="424"/>
        <w:jc w:val="left"/>
        <w:rPr>
          <w:rFonts w:hint="eastAsia" w:ascii="宋体" w:hAnsi="宋体" w:eastAsia="宋体" w:cs="宋体"/>
          <w:color w:val="auto"/>
          <w:sz w:val="21"/>
          <w:szCs w:val="21"/>
          <w:highlight w:val="none"/>
        </w:rPr>
      </w:pPr>
    </w:p>
    <w:p w14:paraId="015BD646">
      <w:pPr>
        <w:keepNext w:val="0"/>
        <w:keepLines w:val="0"/>
        <w:widowControl/>
        <w:suppressLineNumbers w:val="0"/>
        <w:autoSpaceDE/>
        <w:autoSpaceDN w:val="0"/>
        <w:spacing w:line="288" w:lineRule="auto"/>
        <w:ind w:left="0" w:right="48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供应商（法定名称章）：</w:t>
      </w:r>
    </w:p>
    <w:p w14:paraId="3C79975A">
      <w:pPr>
        <w:keepNext w:val="0"/>
        <w:keepLines w:val="0"/>
        <w:widowControl/>
        <w:suppressLineNumbers w:val="0"/>
        <w:autoSpaceDE/>
        <w:autoSpaceDN w:val="0"/>
        <w:spacing w:line="288" w:lineRule="auto"/>
        <w:ind w:left="0" w:right="1440" w:firstLine="426"/>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    年  月  日</w:t>
      </w:r>
    </w:p>
    <w:p w14:paraId="08820E82">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09EE3255">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附：</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948"/>
        <w:gridCol w:w="4948"/>
      </w:tblGrid>
      <w:tr w14:paraId="725FEAD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0ED4200C">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供应商法定名称章（印模）</w:t>
            </w:r>
          </w:p>
        </w:tc>
        <w:tc>
          <w:tcPr>
            <w:tcW w:w="481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57FE74E">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供应商“XX专用章”（印模）</w:t>
            </w:r>
          </w:p>
        </w:tc>
      </w:tr>
      <w:tr w14:paraId="40D53F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rPr>
          <w:trHeight w:val="2950" w:hRule="atLeast"/>
        </w:trPr>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3885DFA4">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w:t>
            </w:r>
          </w:p>
        </w:tc>
        <w:tc>
          <w:tcPr>
            <w:tcW w:w="4814"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top"/>
          </w:tcPr>
          <w:p w14:paraId="76386298">
            <w:pPr>
              <w:keepNext w:val="0"/>
              <w:keepLines w:val="0"/>
              <w:widowControl/>
              <w:suppressLineNumbers w:val="0"/>
              <w:pBdr>
                <w:top w:val="none" w:color="auto" w:sz="0" w:space="0"/>
                <w:left w:val="none" w:color="auto" w:sz="0" w:space="0"/>
                <w:bottom w:val="none" w:color="auto" w:sz="0" w:space="0"/>
                <w:right w:val="none" w:color="auto" w:sz="0" w:space="0"/>
              </w:pBdr>
              <w:autoSpaceDE/>
              <w:autoSpaceDN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w:t>
            </w:r>
          </w:p>
        </w:tc>
      </w:tr>
    </w:tbl>
    <w:p w14:paraId="1D25B139">
      <w:pPr>
        <w:keepNext w:val="0"/>
        <w:keepLines w:val="0"/>
        <w:widowControl/>
        <w:suppressLineNumbers w:val="0"/>
        <w:autoSpaceDE/>
        <w:autoSpaceDN w:val="0"/>
        <w:spacing w:line="288" w:lineRule="auto"/>
        <w:jc w:val="left"/>
        <w:rPr>
          <w:rFonts w:hint="eastAsia" w:ascii="宋体" w:hAnsi="宋体" w:eastAsia="宋体" w:cs="宋体"/>
          <w:color w:val="auto"/>
          <w:sz w:val="21"/>
          <w:szCs w:val="21"/>
          <w:highlight w:val="none"/>
        </w:rPr>
      </w:pPr>
    </w:p>
    <w:p w14:paraId="59C358FC">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附件7：质疑函范本及制作说明</w:t>
      </w:r>
    </w:p>
    <w:p w14:paraId="3327F73A">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质疑函</w:t>
      </w:r>
    </w:p>
    <w:p w14:paraId="5679429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一、质疑供应商基本信息</w:t>
      </w:r>
    </w:p>
    <w:p w14:paraId="525BF18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质疑供应商：</w:t>
      </w:r>
    </w:p>
    <w:p w14:paraId="26ED7F4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0E5F822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4850B03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w:t>
      </w:r>
    </w:p>
    <w:p w14:paraId="14EAA5A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2E570F7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DA29772">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二、质疑项目基本情况</w:t>
      </w:r>
    </w:p>
    <w:p w14:paraId="290DC64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质疑项目的名称：</w:t>
      </w:r>
    </w:p>
    <w:p w14:paraId="17C996B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质疑项目的编号：包号：</w:t>
      </w:r>
    </w:p>
    <w:p w14:paraId="523ABBD2">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6B0623A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采购文件获取日期：</w:t>
      </w:r>
    </w:p>
    <w:p w14:paraId="09BD71B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三、质疑事项具体内容</w:t>
      </w:r>
    </w:p>
    <w:p w14:paraId="19AD91A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质疑事项1：</w:t>
      </w:r>
    </w:p>
    <w:p w14:paraId="381B4A5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77A9FF6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613AD97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6BFD571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4EC1E81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质疑事项2：</w:t>
      </w:r>
    </w:p>
    <w:p w14:paraId="62D9442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0D1A3137">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四、与质疑事项相关的质疑请求</w:t>
      </w:r>
    </w:p>
    <w:p w14:paraId="06A202C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3951597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5A02429D">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2D7254A8">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6D03FD7F">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20A8FF2">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质疑函制作说明：</w:t>
      </w:r>
    </w:p>
    <w:p w14:paraId="3591E5D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1.供应商提出质疑时，应提交质疑函和必要的证明材料。</w:t>
      </w:r>
    </w:p>
    <w:p w14:paraId="20E680D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B9758E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3.质疑供应商若对项目的某一分包进行质疑，质疑函中应列明具体分包号。</w:t>
      </w:r>
    </w:p>
    <w:p w14:paraId="6CBFF2C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4.质疑函的质疑事项应具体、明确，并有必要的事实依据和法律依据。</w:t>
      </w:r>
    </w:p>
    <w:p w14:paraId="328AB0F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5.质疑函的质疑请求应与质疑事项相关。</w:t>
      </w:r>
    </w:p>
    <w:p w14:paraId="24EE607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5ADEF50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7.在浙江省政府采购云平台提起质疑的，按照平台相关规定执行。</w:t>
      </w:r>
    </w:p>
    <w:p w14:paraId="42C3CB09">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left="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8"/>
          <w:szCs w:val="28"/>
          <w:highlight w:val="none"/>
        </w:rPr>
        <w:t>附件8：投诉书范本及制作说明</w:t>
      </w:r>
    </w:p>
    <w:p w14:paraId="3FD6FF4B">
      <w:pPr>
        <w:keepNext w:val="0"/>
        <w:keepLines w:val="0"/>
        <w:pageBreakBefore w:val="0"/>
        <w:widowControl/>
        <w:suppressLineNumbers w:val="0"/>
        <w:kinsoku/>
        <w:wordWrap/>
        <w:overflowPunct/>
        <w:topLinePunct w:val="0"/>
        <w:autoSpaceDE/>
        <w:autoSpaceDN/>
        <w:bidi w:val="0"/>
        <w:adjustRightInd/>
        <w:snapToGrid/>
        <w:spacing w:beforeAutospacing="0" w:afterAutospacing="0" w:line="288" w:lineRule="auto"/>
        <w:ind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投诉书</w:t>
      </w:r>
    </w:p>
    <w:p w14:paraId="780ACAED">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一、投诉相关主体基本情况</w:t>
      </w:r>
    </w:p>
    <w:p w14:paraId="459949B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投诉人：</w:t>
      </w:r>
    </w:p>
    <w:p w14:paraId="7E8B1AD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7E24DF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法定代表人/主要负责人：</w:t>
      </w:r>
    </w:p>
    <w:p w14:paraId="5A4F736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联系电话：</w:t>
      </w:r>
    </w:p>
    <w:p w14:paraId="018B2453">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授权代表：联系电话：</w:t>
      </w:r>
    </w:p>
    <w:p w14:paraId="3F1A9A5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4721C5D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被投诉人1：</w:t>
      </w:r>
    </w:p>
    <w:p w14:paraId="1C72D3A8">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5008392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2DF5754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被投诉人2：</w:t>
      </w:r>
    </w:p>
    <w:p w14:paraId="26D3B5B4">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22F96FAE">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相关供应商：</w:t>
      </w:r>
    </w:p>
    <w:p w14:paraId="40DBB6E1">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地址：邮编：</w:t>
      </w:r>
    </w:p>
    <w:p w14:paraId="379D4175">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联系人：联系电话：</w:t>
      </w:r>
    </w:p>
    <w:p w14:paraId="310C069A">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7EFBD560">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二、投诉项目基本情况</w:t>
      </w:r>
    </w:p>
    <w:p w14:paraId="53A2C0F9">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采购项目名称：</w:t>
      </w:r>
    </w:p>
    <w:p w14:paraId="36089A26">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采购项目编号：包号：</w:t>
      </w:r>
    </w:p>
    <w:p w14:paraId="6B3CDFFF">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采购人名称：</w:t>
      </w:r>
    </w:p>
    <w:p w14:paraId="11D34D7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代理机构名称：</w:t>
      </w:r>
    </w:p>
    <w:p w14:paraId="3F5D1C5D">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采购文件公告:是/否公告期限：</w:t>
      </w:r>
    </w:p>
    <w:p w14:paraId="657B809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采购结果公告:是/否公告期限：</w:t>
      </w:r>
    </w:p>
    <w:p w14:paraId="69C223AE">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55C93F5A">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三、质疑基本情况</w:t>
      </w:r>
    </w:p>
    <w:p w14:paraId="77571D0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投诉人于年月日,向提出质疑，质疑事项为：</w:t>
      </w:r>
    </w:p>
    <w:p w14:paraId="2DCB1C80">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56012967">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采购人/代理机构于年月日,就质疑事项作出了答复/没有在法定期限内作出答复。</w:t>
      </w:r>
    </w:p>
    <w:p w14:paraId="0EBF4F63">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p>
    <w:p w14:paraId="0A1CDDB2">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四、投诉事项具体内容</w:t>
      </w:r>
    </w:p>
    <w:p w14:paraId="7B16D509">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投诉事项1：</w:t>
      </w:r>
    </w:p>
    <w:p w14:paraId="0FFB666A">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事实依据：</w:t>
      </w:r>
    </w:p>
    <w:p w14:paraId="4FCBFE8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法律依据：</w:t>
      </w:r>
    </w:p>
    <w:p w14:paraId="35466C1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投诉事项2：</w:t>
      </w:r>
    </w:p>
    <w:p w14:paraId="2F9E73D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p w14:paraId="0600F58C">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五、与投诉事项相关的投诉请求</w:t>
      </w:r>
    </w:p>
    <w:p w14:paraId="6AC75969">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请求：</w:t>
      </w:r>
    </w:p>
    <w:p w14:paraId="19C4E87B">
      <w:pPr>
        <w:keepNext w:val="0"/>
        <w:keepLines w:val="0"/>
        <w:widowControl/>
        <w:suppressLineNumbers w:val="0"/>
        <w:spacing w:line="288" w:lineRule="auto"/>
        <w:ind w:left="0" w:firstLine="367"/>
        <w:jc w:val="left"/>
        <w:rPr>
          <w:rFonts w:hint="eastAsia" w:ascii="宋体" w:hAnsi="宋体" w:eastAsia="宋体" w:cs="宋体"/>
          <w:color w:val="auto"/>
          <w:sz w:val="21"/>
          <w:szCs w:val="21"/>
          <w:highlight w:val="none"/>
        </w:rPr>
      </w:pPr>
    </w:p>
    <w:p w14:paraId="17208804">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签字(签章)：公章：</w:t>
      </w:r>
    </w:p>
    <w:p w14:paraId="0030E184">
      <w:pPr>
        <w:keepNext w:val="0"/>
        <w:keepLines w:val="0"/>
        <w:widowControl/>
        <w:suppressLineNumbers w:val="0"/>
        <w:spacing w:line="288" w:lineRule="auto"/>
        <w:ind w:left="0" w:firstLine="369"/>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日期：</w:t>
      </w:r>
    </w:p>
    <w:p w14:paraId="3534EBDA">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33D984DA">
      <w:pPr>
        <w:keepNext w:val="0"/>
        <w:keepLines w:val="0"/>
        <w:widowControl/>
        <w:suppressLineNumbers w:val="0"/>
        <w:spacing w:line="288"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投诉书制作说明：</w:t>
      </w:r>
    </w:p>
    <w:p w14:paraId="4F9958A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1.投诉人提起投诉时，应当提交投诉书和必要的证明材料，并按照被投诉人和与投诉事项有关的供应商数量提供投诉书副本。</w:t>
      </w:r>
    </w:p>
    <w:p w14:paraId="175D0BD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2DD4450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3.投诉人若对项目的某一分包进行投诉，投诉书应列明具体分包号。</w:t>
      </w:r>
    </w:p>
    <w:p w14:paraId="105314D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4.投诉书应简要列明质疑事项，质疑函、质疑答复等作为附件材料提供。</w:t>
      </w:r>
    </w:p>
    <w:p w14:paraId="3150C30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5.投诉书的投诉事项应具体、明确，并有必要的事实依据和法律依据。</w:t>
      </w:r>
    </w:p>
    <w:p w14:paraId="27DB905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6.投诉书的投诉请求应与投诉事项相关。</w:t>
      </w:r>
    </w:p>
    <w:p w14:paraId="2EF6F80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7.投诉人为自然人的，投诉书应当由本人签字；投诉人为法人或者其他组织的，投诉书应当由法定代表人、主要负责人，或者其授权代表签字或者盖章，并加盖公章。</w:t>
      </w:r>
    </w:p>
    <w:p w14:paraId="25D4398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8.在浙江省政府采购云平台提起投诉的，按照平台相关规定执行。</w:t>
      </w:r>
    </w:p>
    <w:p w14:paraId="74A8CC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snapToGrid/>
        <w:spacing w:before="0" w:beforeAutospacing="0" w:after="0" w:afterAutospacing="0" w:line="288" w:lineRule="auto"/>
        <w:ind w:right="0"/>
        <w:jc w:val="center"/>
        <w:textAlignment w:val="baseline"/>
        <w:outlineLvl w:val="2"/>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kern w:val="0"/>
          <w:sz w:val="28"/>
          <w:szCs w:val="28"/>
          <w:highlight w:val="none"/>
          <w:lang w:val="en-US" w:eastAsia="zh-CN" w:bidi="ar"/>
        </w:rPr>
        <w:t>中小企业划型标准规定</w:t>
      </w:r>
    </w:p>
    <w:p w14:paraId="3474F0D5">
      <w:pPr>
        <w:keepNext w:val="0"/>
        <w:keepLines w:val="0"/>
        <w:widowControl/>
        <w:suppressLineNumbers w:val="0"/>
        <w:spacing w:line="288"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pacing w:val="-6"/>
          <w:kern w:val="0"/>
          <w:sz w:val="21"/>
          <w:szCs w:val="21"/>
          <w:highlight w:val="none"/>
          <w:lang w:val="en-US" w:eastAsia="zh-CN" w:bidi="ar"/>
        </w:rPr>
        <w:t>中小企业划型标准（参考数据表）</w:t>
      </w:r>
    </w:p>
    <w:p w14:paraId="1BDC2C8A">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92"/>
        <w:gridCol w:w="2078"/>
        <w:gridCol w:w="2022"/>
        <w:gridCol w:w="2015"/>
        <w:gridCol w:w="1889"/>
      </w:tblGrid>
      <w:tr w14:paraId="57FA1B2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93D7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78"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8341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22"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9A44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1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A2A7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31E3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9DD22C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92"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E0B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农、林、牧、渔业</w:t>
            </w: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D30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7F14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w:t>
            </w:r>
          </w:p>
        </w:tc>
        <w:tc>
          <w:tcPr>
            <w:tcW w:w="2015"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49F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CC3E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4093A2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FAF59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793D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0636C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25D1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F43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72693A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99DA7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8660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1475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F132A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51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D97B9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92"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26722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78"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5CE83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22"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CB63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15"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064D2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89"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7B81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E0C7158">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7A023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00C33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7314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1A012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7D62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BE9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ADD556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A477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460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225D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24D1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46FBA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2E77BFF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9C01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9A0F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5883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2ED2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A72E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5133E29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069F64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B048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B237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570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5C0C9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4BCE92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45C42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4F2C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87C5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7138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79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AC27AD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42DA190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6D03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FA47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EF91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92297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2D4D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5C8E61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53ED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建筑业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F1CB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5F69E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≥80000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072C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35F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EB7EAC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54F0A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897C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221B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≥6000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715B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398B6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42AF42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B38A5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8304E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11471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0640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5C94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1112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C75B3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41A0B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1FBB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BEB3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或＜300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0C72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882B706">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B5DE4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ACB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6EA4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57C7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4732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CBBB5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F636B6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467E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批发业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C0E4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4116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且≥40000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8557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869B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F4903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F86CE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29011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63B88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2EB9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2B74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06DD51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17D6B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44DA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B99A7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9DEB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7A1DE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6E47F1E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B703A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2729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E182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6A0B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36B2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661D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CA938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ECBD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010AB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2E0D6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BF8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932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B57DDD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rPr>
          <w:trHeight w:val="265" w:hRule="atLeast"/>
        </w:trPr>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A69FE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零售业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C42B9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A40D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7D890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49FB8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4E688C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07B39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EFE9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15386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A2C4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9783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755673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89572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745C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BC8D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DA44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3E306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AF12FF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5FFC79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5BF5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58CE7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1F1E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8D49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2A7C02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B49BEC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7AE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1F48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77C8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0C9A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1589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0BA6E63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0DDAD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交通运输业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A61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0EFD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CFFE9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9881F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C09CFB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2B8595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81199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ABAE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87EE7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4207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27144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CB82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9111A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CC5F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0377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CABCE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79EBB38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E6A71D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3906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AEA9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9CB80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BFF6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951756F">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C495F9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4FD0B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2F17B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FEC0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2153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97A9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73C4D6E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9E4B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仓储业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B5E5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ADC5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2569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83C76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5AE86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706A1C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20A1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E8DB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5AD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65CA3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91319B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40579B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BDE7C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2BF7A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A244E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CD35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F8D0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BAA3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5E9C1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AE0E3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285D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8B199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F9F1275">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59CD106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E663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B863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7D7D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D29E5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1A7A8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F40941A">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91C9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邮政业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A791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AA3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且≥30000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552262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F483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F6A41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43903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FE62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2CC81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424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0540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34A5EC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3CFB2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827E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35E9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809DC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F231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131743C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824717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823A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A4AD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D1EA3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A9E93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64BC19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5293E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1553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77E21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54AFE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F00AF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453B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5C6A98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B50A6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住宿业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16F7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E7D47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7C3A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BAD1C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11EBF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F4610B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EE52C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5675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EAB6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579D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68527D9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A5A9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69C9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A8C5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DA02B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88046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E208D7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64EF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503C8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9EBA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D16D6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7DB6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3D06C0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767A6E2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FEC8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B38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AAABF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0F7C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A9B2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62DF42F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8E89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餐饮业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F022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42BB0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8C1E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5B16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15C55E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82F821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6B8A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FF974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6E37E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FB15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363483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618FD0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D490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B0486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6E4BF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1994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63188A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01A88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55769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9097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4A83D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F12E3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1A2B6B81">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D767C3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9209B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57202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CACC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026E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77466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1F56ABFF">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D127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信息传输业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D13A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8A44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57B0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1414F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03014710">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665D1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CBD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3C467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D0AC2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405D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184BEB5">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1B3C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35123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A76DC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C1AB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D7970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5A281B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AAEF04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4BE0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B466D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E18F4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EC2F3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A4449D">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08EDA19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8E0E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E612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A54B6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3C979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6E629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E1DAD1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E96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软件和信息技术服务业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37441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6F027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31AE00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AF053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6A9E88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94F9E1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8157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A570C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3C659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DF1AA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3C1B2AF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E4F19A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657FF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682D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BE9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79A2E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4A4281B">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2BFF11">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4E66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C2059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68F3B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7687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413B7373">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66EF043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BDC11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0391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CB58F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2264C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BE09D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3B799E0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2270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房地产开发经营</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6A1D9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D390C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≥200000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0438EA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2BB39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7376E72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4E8F1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755CA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B153D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2375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95C8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2877BFB6">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369918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02FE2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0B215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2D2C0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28E4D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03F639C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951526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47211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2DAC9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0091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或＜2000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025DE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640ACA32">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3FAB34D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DA142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62D0B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F2899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3D4B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19604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89A04A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47CAA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物业管理</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E1CFA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38D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且≥5000</w:t>
            </w: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67C5E7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B3CAD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1A22B7F8">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CDCEE8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8C8D0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2C7EC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AE4A3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CDC3C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FEE0E8C">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F0BC23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94455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E253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A2B3D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E9BB1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2E45D5F3">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FCF7B2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35011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CFD4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或＜500</w:t>
            </w: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C7A8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55A667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072B104B">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22482DAD">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C7D91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3D287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FCAEE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6EEB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F89CF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42ED4DD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E2DE4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租赁和商务服务业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4597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FF642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191C11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且≥120000</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3FD46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6DE548C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DC2CC5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DC9F3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3BFD6E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CBDC6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且≥8000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B199A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070301E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5C5F8C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0C46C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1E2F19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16521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且≥100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B3DAE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33C02E64">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46ED0C2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774C9E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9AFEE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D82B9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或＜100</w:t>
            </w: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24D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56288524">
      <w:pPr>
        <w:keepNext w:val="0"/>
        <w:keepLines w:val="0"/>
        <w:widowControl/>
        <w:suppressLineNumbers w:val="0"/>
        <w:spacing w:line="288"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w:t>
      </w:r>
    </w:p>
    <w:tbl>
      <w:tblPr>
        <w:tblStyle w:val="12"/>
        <w:tblW w:w="5000" w:type="pct"/>
        <w:tblInd w:w="0" w:type="dxa"/>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85"/>
        <w:gridCol w:w="2084"/>
        <w:gridCol w:w="2057"/>
        <w:gridCol w:w="2004"/>
        <w:gridCol w:w="1866"/>
      </w:tblGrid>
      <w:tr w14:paraId="19FA86E1">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DCCC7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所属行业</w:t>
            </w:r>
          </w:p>
        </w:tc>
        <w:tc>
          <w:tcPr>
            <w:tcW w:w="208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3F4C4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从业人员（人）</w:t>
            </w:r>
          </w:p>
        </w:tc>
        <w:tc>
          <w:tcPr>
            <w:tcW w:w="2057"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8B3B0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营业收入（万元）</w:t>
            </w:r>
          </w:p>
        </w:tc>
        <w:tc>
          <w:tcPr>
            <w:tcW w:w="2004"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C9F49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资产总额（万元）</w:t>
            </w: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9B0E7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企业类型</w:t>
            </w:r>
          </w:p>
        </w:tc>
      </w:tr>
      <w:tr w14:paraId="27DD0169">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restart"/>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02ED5C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其他未列明行业</w:t>
            </w: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92FF7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0FC7F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single" w:color="auto" w:sz="8" w:space="0"/>
              <w:left w:val="nil"/>
              <w:bottom w:val="single" w:color="auto" w:sz="8" w:space="0"/>
              <w:right w:val="single" w:color="auto" w:sz="8" w:space="0"/>
            </w:tcBorders>
            <w:shd w:val="clear" w:color="auto" w:fill="auto"/>
            <w:tcMar>
              <w:top w:w="0" w:type="dxa"/>
              <w:left w:w="75" w:type="dxa"/>
              <w:bottom w:w="0" w:type="dxa"/>
              <w:right w:w="75" w:type="dxa"/>
            </w:tcMar>
            <w:vAlign w:val="center"/>
          </w:tcPr>
          <w:p w14:paraId="27462C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single" w:color="auto" w:sz="8" w:space="0"/>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D223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大型</w:t>
            </w:r>
          </w:p>
        </w:tc>
      </w:tr>
      <w:tr w14:paraId="5645FA0E">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ABAF6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99B9C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3B2BC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1BDCF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1B38C6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中型</w:t>
            </w:r>
          </w:p>
        </w:tc>
      </w:tr>
      <w:tr w14:paraId="1EFE1C17">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shd w:val="clear" w:color="auto" w:fill="auto"/>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3073D89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2265A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2C261D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6F762B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21B5E1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小型</w:t>
            </w:r>
          </w:p>
        </w:tc>
      </w:tr>
      <w:tr w14:paraId="43BB3CE2">
        <w:tblPrEx>
          <w:tblBorders>
            <w:top w:val="single" w:color="auto" w:sz="8" w:space="0"/>
            <w:left w:val="single" w:color="auto" w:sz="8" w:space="0"/>
            <w:bottom w:val="single" w:color="auto" w:sz="8" w:space="0"/>
            <w:right w:val="single" w:color="auto" w:sz="8" w:space="0"/>
            <w:insideH w:val="none" w:color="auto" w:sz="0" w:space="0"/>
            <w:insideV w:val="none" w:color="auto" w:sz="0" w:space="0"/>
          </w:tblBorders>
          <w:tblCellMar>
            <w:top w:w="15" w:type="dxa"/>
            <w:left w:w="15" w:type="dxa"/>
            <w:bottom w:w="15" w:type="dxa"/>
            <w:right w:w="15" w:type="dxa"/>
          </w:tblCellMar>
        </w:tblPrEx>
        <w:tc>
          <w:tcPr>
            <w:tcW w:w="1885" w:type="dxa"/>
            <w:vMerge w:val="continue"/>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681B9E9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p>
        </w:tc>
        <w:tc>
          <w:tcPr>
            <w:tcW w:w="208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0DDEF9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057"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538791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2004" w:type="dxa"/>
            <w:tcBorders>
              <w:top w:val="nil"/>
              <w:left w:val="nil"/>
              <w:bottom w:val="single" w:color="auto" w:sz="8" w:space="0"/>
              <w:right w:val="single" w:color="auto" w:sz="8" w:space="0"/>
            </w:tcBorders>
            <w:shd w:val="clear" w:color="auto" w:fill="auto"/>
            <w:tcMar>
              <w:top w:w="0" w:type="dxa"/>
              <w:left w:w="75" w:type="dxa"/>
              <w:bottom w:w="0" w:type="dxa"/>
              <w:right w:w="75" w:type="dxa"/>
            </w:tcMar>
            <w:vAlign w:val="center"/>
          </w:tcPr>
          <w:p w14:paraId="480C10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p>
        </w:tc>
        <w:tc>
          <w:tcPr>
            <w:tcW w:w="1866" w:type="dxa"/>
            <w:tcBorders>
              <w:top w:val="nil"/>
              <w:left w:val="single" w:color="auto" w:sz="8" w:space="0"/>
              <w:bottom w:val="single" w:color="auto" w:sz="8" w:space="0"/>
              <w:right w:val="single" w:color="auto" w:sz="8" w:space="0"/>
            </w:tcBorders>
            <w:shd w:val="clear" w:color="auto" w:fill="auto"/>
            <w:tcMar>
              <w:top w:w="0" w:type="dxa"/>
              <w:left w:w="75" w:type="dxa"/>
              <w:bottom w:w="0" w:type="dxa"/>
              <w:right w:w="75" w:type="dxa"/>
            </w:tcMar>
            <w:vAlign w:val="center"/>
          </w:tcPr>
          <w:p w14:paraId="703F81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微型</w:t>
            </w:r>
          </w:p>
        </w:tc>
      </w:tr>
    </w:tbl>
    <w:p w14:paraId="3FE43F70">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1B56F880">
      <w:pPr>
        <w:keepNext w:val="0"/>
        <w:keepLines w:val="0"/>
        <w:widowControl/>
        <w:suppressLineNumbers w:val="0"/>
        <w:spacing w:line="288" w:lineRule="auto"/>
        <w:ind w:left="0" w:firstLine="422"/>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中小企业划型标准规定</w:t>
      </w:r>
    </w:p>
    <w:p w14:paraId="548E04BE">
      <w:pPr>
        <w:keepNext w:val="0"/>
        <w:keepLines w:val="0"/>
        <w:widowControl/>
        <w:suppressLineNumbers w:val="0"/>
        <w:spacing w:line="288" w:lineRule="auto"/>
        <w:jc w:val="left"/>
        <w:rPr>
          <w:rFonts w:hint="eastAsia" w:ascii="宋体" w:hAnsi="宋体" w:eastAsia="宋体" w:cs="宋体"/>
          <w:color w:val="auto"/>
          <w:sz w:val="21"/>
          <w:szCs w:val="21"/>
          <w:highlight w:val="none"/>
        </w:rPr>
      </w:pPr>
    </w:p>
    <w:p w14:paraId="7EEC1B97">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一、根据《中华人民共和国中小企业促进法》和《国务院关于进一步促进中小企业发展的若干意见》(国发〔2009〕36号)，制定本规定。</w:t>
      </w:r>
    </w:p>
    <w:p w14:paraId="05960AA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二、中小企业划分为中型、小型、微型三种类型，具体标准根据企业从业人员、营业收入、资产总额等指标，结合行业特点制定。</w:t>
      </w:r>
    </w:p>
    <w:p w14:paraId="30A7DEF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6A80B9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四、各行业划型标准为：</w:t>
      </w:r>
    </w:p>
    <w:p w14:paraId="5573C52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（一）农、林、牧、渔业。营业收入20000万元以下的为中小微型企业。其中，营业收入500万元及以上的为中型企业，营业收入50万元及以上的为小型企业，营业收入50万元以下的为微型企业。</w:t>
      </w:r>
    </w:p>
    <w:p w14:paraId="30E9213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05916E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E54DF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A91276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D718750">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9ED18B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F2A519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8195BB9">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0E7C6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5308A1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C69EBD4">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6B3B53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53712D5">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7391F4D">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8F7EDCF">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（十六）其他未列明行业。从业人员300人以下的为中小微型企业。其中，从业人员100人及以上的为中型企业；从业人员10人及以上的为小型企业；从业人员10人以下的为微型企业。</w:t>
      </w:r>
    </w:p>
    <w:p w14:paraId="569A41A2">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五、企业类型的划分以统计部门的统计数据为依据。</w:t>
      </w:r>
    </w:p>
    <w:p w14:paraId="0B510598">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六、本规定适用于在中华人民共和国境内依法设立的各类所有制和各种组织形式的企业。个体工商户和本规定以外的行业，参照本规定进行划型。</w:t>
      </w:r>
    </w:p>
    <w:p w14:paraId="644B862C">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6A108B7B">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八、本规定由工业和信息化部、国家统计局会同有关部门根据《国民经济行业分类》修订情况和企业发展变化情况适时修订。</w:t>
      </w:r>
    </w:p>
    <w:p w14:paraId="2B4944B1">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九、本规定由工业和信息化部、国家统计局会同有关部门负责解释。</w:t>
      </w:r>
    </w:p>
    <w:p w14:paraId="2B8AF74A">
      <w:pPr>
        <w:keepNext w:val="0"/>
        <w:keepLines w:val="0"/>
        <w:widowControl/>
        <w:suppressLineNumbers w:val="0"/>
        <w:spacing w:line="288" w:lineRule="auto"/>
        <w:ind w:left="0" w:firstLine="42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十、本规定自发布之日起执行，原国家经贸委、原国家计委、财政部和国家统计局2003年颁布的《中小企业标准暂行规定》同时废止。</w:t>
      </w:r>
    </w:p>
    <w:sectPr>
      <w:footerReference r:id="rId4" w:type="default"/>
      <w:pgSz w:w="12240" w:h="15840"/>
      <w:pgMar w:top="1247" w:right="1247" w:bottom="1247" w:left="1247" w:header="0" w:footer="692" w:gutter="0"/>
      <w:pgBorders>
        <w:top w:val="none" w:sz="0" w:space="0"/>
        <w:left w:val="none" w:sz="0" w:space="0"/>
        <w:bottom w:val="none" w:sz="0" w:space="0"/>
        <w:right w:val="none" w:sz="0" w:space="0"/>
      </w:pgBorders>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ì.">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87C1E">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CA522C">
                          <w:pPr>
                            <w:pStyle w:val="9"/>
                            <w:rPr>
                              <w:rFonts w:ascii="宋体" w:hAnsi="宋体" w:eastAsia="宋体"/>
                              <w:sz w:val="21"/>
                              <w:szCs w:val="18"/>
                            </w:rPr>
                          </w:pPr>
                          <w:r>
                            <w:rPr>
                              <w:rFonts w:ascii="宋体" w:hAnsi="宋体" w:eastAsia="宋体"/>
                              <w:sz w:val="21"/>
                              <w:szCs w:val="18"/>
                            </w:rPr>
                            <w:fldChar w:fldCharType="begin"/>
                          </w:r>
                          <w:r>
                            <w:rPr>
                              <w:rFonts w:ascii="宋体" w:hAnsi="宋体" w:eastAsia="宋体"/>
                              <w:sz w:val="21"/>
                              <w:szCs w:val="18"/>
                            </w:rPr>
                            <w:instrText xml:space="preserve"> PAGE  \* MERGEFORMAT </w:instrText>
                          </w:r>
                          <w:r>
                            <w:rPr>
                              <w:rFonts w:ascii="宋体" w:hAnsi="宋体" w:eastAsia="宋体"/>
                              <w:sz w:val="21"/>
                              <w:szCs w:val="18"/>
                            </w:rPr>
                            <w:fldChar w:fldCharType="separate"/>
                          </w:r>
                          <w:r>
                            <w:rPr>
                              <w:rFonts w:ascii="宋体" w:hAnsi="宋体" w:eastAsia="宋体"/>
                              <w:sz w:val="21"/>
                              <w:szCs w:val="18"/>
                            </w:rPr>
                            <w:t>1</w:t>
                          </w:r>
                          <w:r>
                            <w:rPr>
                              <w:rFonts w:ascii="宋体" w:hAnsi="宋体" w:eastAsia="宋体"/>
                              <w:sz w:val="21"/>
                              <w:szCs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2CA522C">
                    <w:pPr>
                      <w:pStyle w:val="9"/>
                      <w:rPr>
                        <w:rFonts w:ascii="宋体" w:hAnsi="宋体" w:eastAsia="宋体"/>
                        <w:sz w:val="21"/>
                        <w:szCs w:val="18"/>
                      </w:rPr>
                    </w:pPr>
                    <w:r>
                      <w:rPr>
                        <w:rFonts w:ascii="宋体" w:hAnsi="宋体" w:eastAsia="宋体"/>
                        <w:sz w:val="21"/>
                        <w:szCs w:val="18"/>
                      </w:rPr>
                      <w:fldChar w:fldCharType="begin"/>
                    </w:r>
                    <w:r>
                      <w:rPr>
                        <w:rFonts w:ascii="宋体" w:hAnsi="宋体" w:eastAsia="宋体"/>
                        <w:sz w:val="21"/>
                        <w:szCs w:val="18"/>
                      </w:rPr>
                      <w:instrText xml:space="preserve"> PAGE  \* MERGEFORMAT </w:instrText>
                    </w:r>
                    <w:r>
                      <w:rPr>
                        <w:rFonts w:ascii="宋体" w:hAnsi="宋体" w:eastAsia="宋体"/>
                        <w:sz w:val="21"/>
                        <w:szCs w:val="18"/>
                      </w:rPr>
                      <w:fldChar w:fldCharType="separate"/>
                    </w:r>
                    <w:r>
                      <w:rPr>
                        <w:rFonts w:ascii="宋体" w:hAnsi="宋体" w:eastAsia="宋体"/>
                        <w:sz w:val="21"/>
                        <w:szCs w:val="18"/>
                      </w:rPr>
                      <w:t>1</w:t>
                    </w:r>
                    <w:r>
                      <w:rPr>
                        <w:rFonts w:ascii="宋体" w:hAnsi="宋体" w:eastAsia="宋体"/>
                        <w:sz w:val="21"/>
                        <w:szCs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3EEBC">
    <w:pPr>
      <w:pStyle w:val="10"/>
    </w:pPr>
    <w:r>
      <w:rPr>
        <w:rFonts w:hint="eastAsia" w:eastAsia="宋体"/>
        <w:lang w:eastAsia="zh-CN"/>
      </w:rPr>
      <w:drawing>
        <wp:inline distT="0" distB="0" distL="114300" distR="114300">
          <wp:extent cx="619252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619252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isplayHorizontalDrawingGridEvery w:val="0"/>
  <w:displayVerticalDrawingGridEvery w:val="2"/>
  <w:compat>
    <w:balanceSingleByteDoubleByteWidth/>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AB213C"/>
    <w:rsid w:val="07AC39F2"/>
    <w:rsid w:val="080835EA"/>
    <w:rsid w:val="0E2A263E"/>
    <w:rsid w:val="119169D7"/>
    <w:rsid w:val="122B3C9E"/>
    <w:rsid w:val="131E5477"/>
    <w:rsid w:val="1450316D"/>
    <w:rsid w:val="17AD19D8"/>
    <w:rsid w:val="18441E14"/>
    <w:rsid w:val="1998697F"/>
    <w:rsid w:val="21235EA2"/>
    <w:rsid w:val="23A21C5C"/>
    <w:rsid w:val="243F0B22"/>
    <w:rsid w:val="24452C2A"/>
    <w:rsid w:val="248A5117"/>
    <w:rsid w:val="250C5C83"/>
    <w:rsid w:val="27FE99A9"/>
    <w:rsid w:val="29A84506"/>
    <w:rsid w:val="2BFA7812"/>
    <w:rsid w:val="2D160819"/>
    <w:rsid w:val="2D3E564C"/>
    <w:rsid w:val="32944ACC"/>
    <w:rsid w:val="33D9582E"/>
    <w:rsid w:val="358E07DF"/>
    <w:rsid w:val="3AE44911"/>
    <w:rsid w:val="3BB31E1A"/>
    <w:rsid w:val="3CB77DAA"/>
    <w:rsid w:val="3DDF199F"/>
    <w:rsid w:val="3EFF1FC4"/>
    <w:rsid w:val="41183448"/>
    <w:rsid w:val="46F97E86"/>
    <w:rsid w:val="46FF3DE8"/>
    <w:rsid w:val="47A30CC1"/>
    <w:rsid w:val="4B77983B"/>
    <w:rsid w:val="4E8A641E"/>
    <w:rsid w:val="50A00295"/>
    <w:rsid w:val="513E048F"/>
    <w:rsid w:val="51C0416F"/>
    <w:rsid w:val="559607F5"/>
    <w:rsid w:val="55AE2AAB"/>
    <w:rsid w:val="56ED48D0"/>
    <w:rsid w:val="58F54397"/>
    <w:rsid w:val="5914726E"/>
    <w:rsid w:val="59861649"/>
    <w:rsid w:val="5A402C59"/>
    <w:rsid w:val="5FF46B6B"/>
    <w:rsid w:val="601F1FA6"/>
    <w:rsid w:val="60657DF7"/>
    <w:rsid w:val="61967457"/>
    <w:rsid w:val="6266054D"/>
    <w:rsid w:val="62B2DCDD"/>
    <w:rsid w:val="63A461D4"/>
    <w:rsid w:val="6456291C"/>
    <w:rsid w:val="647F09A1"/>
    <w:rsid w:val="64CD4363"/>
    <w:rsid w:val="682A3E04"/>
    <w:rsid w:val="686A7EDC"/>
    <w:rsid w:val="689C2FDC"/>
    <w:rsid w:val="6A3D3FA6"/>
    <w:rsid w:val="6BFF51FA"/>
    <w:rsid w:val="72461F6E"/>
    <w:rsid w:val="72D66D46"/>
    <w:rsid w:val="730A01DC"/>
    <w:rsid w:val="78C71F36"/>
    <w:rsid w:val="799E1F6C"/>
    <w:rsid w:val="7AA7568D"/>
    <w:rsid w:val="7BF42FDC"/>
    <w:rsid w:val="7C003085"/>
    <w:rsid w:val="7D2848FD"/>
    <w:rsid w:val="7D787377"/>
    <w:rsid w:val="7D9407C8"/>
    <w:rsid w:val="7DB67A68"/>
    <w:rsid w:val="7E2E33C0"/>
    <w:rsid w:val="7E60679E"/>
    <w:rsid w:val="7EB261B5"/>
    <w:rsid w:val="7F1A2EF4"/>
    <w:rsid w:val="EFC7AE94"/>
    <w:rsid w:val="FE6F066B"/>
    <w:rsid w:val="FFBED3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6">
    <w:name w:val="heading 4"/>
    <w:next w:val="1"/>
    <w:unhideWhenUsed/>
    <w:qFormat/>
    <w:uiPriority w:val="9"/>
    <w:pPr>
      <w:keepNext/>
      <w:keepLines/>
      <w:widowControl w:val="0"/>
      <w:spacing w:before="280" w:after="290" w:line="376" w:lineRule="auto"/>
      <w:jc w:val="both"/>
      <w:outlineLvl w:val="3"/>
    </w:pPr>
    <w:rPr>
      <w:rFonts w:ascii="Cambria" w:hAnsi="Cambria" w:eastAsia="宋体" w:cs="Times New Roman"/>
      <w:b/>
      <w:bCs/>
      <w:kern w:val="2"/>
      <w:sz w:val="28"/>
      <w:szCs w:val="28"/>
      <w:lang w:val="en-US" w:eastAsia="zh-CN" w:bidi="ar-SA"/>
    </w:rPr>
  </w:style>
  <w:style w:type="paragraph" w:styleId="7">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14">
    <w:name w:val="Default Paragraph Font"/>
    <w:semiHidden/>
    <w:qFormat/>
    <w:uiPriority w:val="0"/>
  </w:style>
  <w:style w:type="table" w:default="1" w:styleId="12">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Default"/>
    <w:next w:val="3"/>
    <w:qFormat/>
    <w:uiPriority w:val="0"/>
    <w:pPr>
      <w:widowControl w:val="0"/>
      <w:autoSpaceDE w:val="0"/>
      <w:autoSpaceDN w:val="0"/>
      <w:adjustRightInd w:val="0"/>
    </w:pPr>
    <w:rPr>
      <w:rFonts w:ascii="..ì." w:hAnsi="Times New Roman" w:eastAsia="..ì." w:cs="..ì."/>
      <w:color w:val="000000"/>
      <w:sz w:val="24"/>
      <w:szCs w:val="24"/>
      <w:lang w:val="en-US" w:eastAsia="zh-CN" w:bidi="ar-SA"/>
    </w:rPr>
  </w:style>
  <w:style w:type="paragraph" w:customStyle="1" w:styleId="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8">
    <w:name w:val="annotation text"/>
    <w:basedOn w:val="1"/>
    <w:qFormat/>
    <w:uiPriority w:val="0"/>
    <w:pPr>
      <w:jc w:val="left"/>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widowControl/>
      <w:spacing w:before="0" w:beforeAutospacing="1" w:after="0" w:afterAutospacing="1"/>
      <w:ind w:left="0" w:right="0"/>
      <w:jc w:val="left"/>
    </w:pPr>
    <w:rPr>
      <w:rFonts w:hint="default" w:ascii="宋体" w:hAnsi="宋体" w:eastAsia="宋体" w:cs="宋体"/>
      <w:kern w:val="0"/>
      <w:sz w:val="24"/>
      <w:lang w:val="en-US" w:eastAsia="zh-CN" w:bidi="ar"/>
    </w:rPr>
  </w:style>
  <w:style w:type="table" w:styleId="13">
    <w:name w:val="Table Grid"/>
    <w:basedOn w:val="12"/>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65</Pages>
  <Words>22925</Words>
  <Characters>23940</Characters>
  <Lines>1</Lines>
  <Paragraphs>1</Paragraphs>
  <TotalTime>5</TotalTime>
  <ScaleCrop>false</ScaleCrop>
  <LinksUpToDate>false</LinksUpToDate>
  <CharactersWithSpaces>23990</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2026-01-29T04:55:00Z</dcterms:created>
  <dc:creator>yubin</dc:creator>
  <cp:lastModifiedBy>俞炳</cp:lastModifiedBy>
  <dcterms:modified xsi:type="dcterms:W3CDTF">2026-03-02T06:52:30Z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eyJoZGlkIjoiNGQ3OTc3NWQ4MzM2M2IxMTBiNmQyNTg1OGZmMjFmM2QiLCJ1c2VySWQiOiIxNjEzNTQ4OTc4In0=</vt:lpwstr>
  </property>
  <property fmtid="{D5CDD505-2E9C-101B-9397-08002B2CF9AE}" pid="3" name="KSOProductBuildVer">
    <vt:lpwstr>2052-12.1.0.25225</vt:lpwstr>
  </property>
  <property fmtid="{D5CDD505-2E9C-101B-9397-08002B2CF9AE}" pid="4" name="ICV">
    <vt:lpwstr>00794F169210427D933C5AD52F630AE6_13</vt:lpwstr>
  </property>
</Properties>
</file>