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光场调控全息成像系统</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光场调控全息成像系统</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QSZBB250277ZHGK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[2025]65871号、[2025]65872号</w:t>
      </w:r>
    </w:p>
    <w:p w14:paraId="43139F7B">
      <w:pPr>
        <w:adjustRightInd w:val="0"/>
        <w:snapToGrid w:val="0"/>
        <w:spacing w:line="288" w:lineRule="auto"/>
        <w:rPr>
          <w:rFonts w:ascii="楷体" w:hAnsi="楷体" w:eastAsia="楷体" w:cs="Times New Roman"/>
          <w:b/>
          <w:color w:val="auto"/>
          <w:szCs w:val="21"/>
          <w:highlight w:val="none"/>
        </w:rPr>
      </w:pPr>
    </w:p>
    <w:p w14:paraId="7A16CA21">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7D235E28">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光场调控全息成像系统</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2025年10月31日</w:t>
      </w:r>
      <w:r>
        <w:rPr>
          <w:rFonts w:hint="eastAsia" w:ascii="宋体" w:hAnsi="宋体" w:eastAsia="宋体" w:cs="Times New Roman"/>
          <w:b/>
          <w:color w:val="auto"/>
          <w:szCs w:val="21"/>
          <w:highlight w:val="none"/>
          <w:u w:val="single"/>
        </w:rPr>
        <w:t>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790"/>
      <w:bookmarkStart w:id="1" w:name="_Toc28359002"/>
      <w:bookmarkStart w:id="2" w:name="_Toc35393621"/>
      <w:bookmarkStart w:id="3" w:name="_Toc28359079"/>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QSZBB250277ZHGK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光场调控全息成像系统</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545000元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.最高限价：54</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rPr>
        <w:t>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自合同签订之日起30个工作日内交付。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14:paraId="427451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14:paraId="3F41730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光场调控全息成像系统</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14:paraId="294F0C66">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80"/>
      <w:bookmarkStart w:id="6" w:name="_Toc35393791"/>
      <w:bookmarkStart w:id="7" w:name="_Toc35393622"/>
      <w:bookmarkStart w:id="8" w:name="_Toc28359003"/>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2.落实政府采购政策需满足的资格要求：无</w:t>
      </w:r>
    </w:p>
    <w:p w14:paraId="662586CD">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14:paraId="45E95296">
      <w:pPr>
        <w:adjustRightInd w:val="0"/>
        <w:snapToGrid w:val="0"/>
        <w:spacing w:line="288" w:lineRule="auto"/>
        <w:rPr>
          <w:rFonts w:ascii="宋体" w:hAnsi="宋体" w:eastAsia="宋体" w:cs="宋体"/>
          <w:b/>
          <w:color w:val="auto"/>
          <w:szCs w:val="21"/>
          <w:highlight w:val="none"/>
        </w:rPr>
      </w:pPr>
      <w:bookmarkStart w:id="11" w:name="_Toc35393792"/>
      <w:bookmarkStart w:id="12" w:name="_Toc35393623"/>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10</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9</w:t>
      </w:r>
      <w:bookmarkStart w:id="76" w:name="_GoBack"/>
      <w:bookmarkEnd w:id="76"/>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2025年10月31日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2025年10月31日</w:t>
      </w:r>
      <w:r>
        <w:rPr>
          <w:rFonts w:hint="eastAsia" w:ascii="宋体" w:hAnsi="宋体" w:eastAsia="宋体" w:cs="Times New Roman"/>
          <w:bCs/>
          <w:color w:val="auto"/>
          <w:szCs w:val="21"/>
          <w:highlight w:val="none"/>
        </w:rPr>
        <w:t>9:00:00（北京时间）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2025年10月31日</w:t>
      </w:r>
      <w:r>
        <w:rPr>
          <w:rFonts w:hint="eastAsia" w:ascii="宋体" w:hAnsi="宋体" w:eastAsia="宋体" w:cs="Times New Roman"/>
          <w:bCs/>
          <w:color w:val="auto"/>
          <w:szCs w:val="21"/>
          <w:highlight w:val="none"/>
        </w:rPr>
        <w:t>9:00:00（北京时间）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/杭州市西湖区玉古路173号中田大厦21楼（求是招标会议室1）</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28359084"/>
      <w:bookmarkStart w:id="20" w:name="_Toc28359007"/>
      <w:bookmarkStart w:id="21" w:name="_Toc35393625"/>
      <w:bookmarkStart w:id="22" w:name="_Toc35393794"/>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796"/>
      <w:bookmarkStart w:id="30" w:name="_Toc35393627"/>
      <w:bookmarkStart w:id="31" w:name="_Toc28359085"/>
      <w:bookmarkStart w:id="32" w:name="_Toc28359008"/>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30E717FC">
      <w:pPr>
        <w:adjustRightInd w:val="0"/>
        <w:snapToGrid w:val="0"/>
        <w:spacing w:line="288" w:lineRule="auto"/>
        <w:ind w:firstLine="424" w:firstLineChars="202"/>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陈老师</w:t>
      </w:r>
    </w:p>
    <w:p w14:paraId="32E80010">
      <w:pPr>
        <w:adjustRightInd w:val="0"/>
        <w:snapToGrid w:val="0"/>
        <w:spacing w:line="288" w:lineRule="auto"/>
        <w:ind w:firstLine="424" w:firstLineChars="202"/>
        <w:rPr>
          <w:rFonts w:hint="default" w:ascii="宋体" w:hAnsi="宋体" w:cs="Times New Roman" w:eastAsiaTheme="minorEastAsia"/>
          <w:color w:val="auto"/>
          <w:szCs w:val="21"/>
          <w:highlight w:val="none"/>
          <w:lang w:val="en-US" w:eastAsia="zh-CN"/>
        </w:rPr>
      </w:pPr>
      <w:r>
        <w:rPr>
          <w:rFonts w:hint="eastAsia" w:ascii="宋体" w:hAnsi="宋体" w:eastAsia="宋体" w:cs="Times New Roman"/>
          <w:color w:val="auto"/>
          <w:szCs w:val="21"/>
          <w:highlight w:val="none"/>
        </w:rPr>
        <w:t>项目联系方式（询问）：</w:t>
      </w:r>
      <w:r>
        <w:rPr>
          <w:rFonts w:hint="eastAsia" w:ascii="宋体" w:hAnsi="宋体" w:eastAsia="宋体" w:cs="宋体"/>
          <w:color w:val="auto"/>
          <w:highlight w:val="none"/>
          <w:lang w:val="en-US" w:eastAsia="zh-CN"/>
        </w:rPr>
        <w:t>13819177954</w:t>
      </w:r>
    </w:p>
    <w:p w14:paraId="209040CA">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14:paraId="6FB9FA8D">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14:paraId="599CCC13">
            <w:pPr>
              <w:adjustRightInd w:val="0"/>
              <w:snapToGrid w:val="0"/>
              <w:spacing w:line="288" w:lineRule="auto"/>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14:paraId="2EAB4A2D">
            <w:pPr>
              <w:adjustRightInd w:val="0"/>
              <w:snapToGrid w:val="0"/>
              <w:spacing w:line="288" w:lineRule="auto"/>
              <w:jc w:val="left"/>
              <w:rPr>
                <w:rFonts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1.合同生效以及具备实施条件后7个工作日内，且中标人已向采购人提交银行、保险公司等金融机构出具的预付款保函的，采购人向中标人支付合同总价的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0%；货物在中标人安装调试完毕并经采购人验收合格后，采购人在收到发票后</w:t>
            </w:r>
            <w:r>
              <w:rPr>
                <w:rFonts w:hint="eastAsia" w:ascii="宋体" w:hAnsi="宋体" w:eastAsia="宋体" w:cs="宋体"/>
                <w:color w:val="auto"/>
                <w:spacing w:val="-6"/>
                <w:kern w:val="0"/>
                <w:szCs w:val="21"/>
                <w:highlight w:val="none"/>
                <w:lang w:val="en-US" w:eastAsia="zh-CN"/>
              </w:rPr>
              <w:t>7个工作日内，</w:t>
            </w:r>
            <w:r>
              <w:rPr>
                <w:rFonts w:hint="eastAsia" w:ascii="宋体" w:hAnsi="宋体" w:eastAsia="宋体" w:cs="宋体"/>
                <w:color w:val="auto"/>
                <w:spacing w:val="-6"/>
                <w:kern w:val="0"/>
                <w:szCs w:val="21"/>
                <w:highlight w:val="none"/>
              </w:rPr>
              <w:t>向中标人支付合同总价的</w:t>
            </w:r>
            <w:r>
              <w:rPr>
                <w:rFonts w:hint="eastAsia" w:ascii="宋体" w:hAnsi="宋体" w:eastAsia="宋体" w:cs="宋体"/>
                <w:color w:val="auto"/>
                <w:spacing w:val="-6"/>
                <w:kern w:val="0"/>
                <w:szCs w:val="21"/>
                <w:highlight w:val="none"/>
                <w:lang w:val="en-US" w:eastAsia="zh-CN"/>
              </w:rPr>
              <w:t>5</w:t>
            </w:r>
            <w:r>
              <w:rPr>
                <w:rFonts w:hint="eastAsia" w:ascii="宋体" w:hAnsi="宋体" w:eastAsia="宋体" w:cs="宋体"/>
                <w:color w:val="auto"/>
                <w:spacing w:val="-6"/>
                <w:kern w:val="0"/>
                <w:szCs w:val="21"/>
                <w:highlight w:val="none"/>
              </w:rPr>
              <w:t>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val="en-US" w:eastAsia="zh-CN"/>
              </w:rPr>
              <w:t>2</w:t>
            </w:r>
            <w:r>
              <w:rPr>
                <w:rFonts w:hint="eastAsia" w:ascii="宋体" w:hAnsi="宋体" w:eastAsia="宋体" w:cs="宋体"/>
                <w:color w:val="auto"/>
                <w:spacing w:val="-6"/>
                <w:kern w:val="0"/>
                <w:szCs w:val="21"/>
                <w:highlight w:val="none"/>
              </w:rPr>
              <w:t>.在签订合同时，中标人明确表示无需预付款或者主动要求降低预付款比例的，可降低预付款比例（预付款保函同步调整）。</w:t>
            </w:r>
          </w:p>
          <w:p w14:paraId="20A951E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lang w:val="en-US" w:eastAsia="zh-CN"/>
              </w:rPr>
            </w:pPr>
            <w:r>
              <w:rPr>
                <w:rFonts w:hint="eastAsia" w:ascii="宋体" w:hAnsi="宋体" w:eastAsia="宋体" w:cs="宋体"/>
                <w:color w:val="auto"/>
                <w:spacing w:val="-6"/>
                <w:kern w:val="0"/>
                <w:szCs w:val="21"/>
                <w:highlight w:val="none"/>
                <w:lang w:val="en-US" w:eastAsia="zh-CN"/>
              </w:rPr>
              <w:t>3.若供应商收取预付款，要求预付款保函有效期覆盖项目验收合格时间；提供了预付款保函则供应商无需再缴纳履约保证金。</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lang w:val="en-US" w:eastAsia="zh-CN"/>
              </w:rPr>
              <w:t>4.</w:t>
            </w:r>
            <w:r>
              <w:rPr>
                <w:rFonts w:hint="eastAsia" w:ascii="宋体" w:hAnsi="宋体" w:eastAsia="宋体" w:cs="宋体"/>
                <w:color w:val="auto"/>
                <w:spacing w:val="-6"/>
                <w:kern w:val="0"/>
                <w:szCs w:val="21"/>
                <w:highlight w:val="none"/>
              </w:rPr>
              <w:t>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开户银行：工行杭州高新支行。账号：1202026209008806216</w:t>
            </w:r>
          </w:p>
        </w:tc>
      </w:tr>
      <w:bookmarkEnd w:id="35"/>
    </w:tbl>
    <w:p w14:paraId="30B4572B">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自合同签订之日起30个工作日内交付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远程技术支持：</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应具有稳定的技术支持队伍和完善的服务支持网络，提供7×24小时技术支持服务，及时响应</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的技术服务支持需求，提出有效的解决方案，解决</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在货物使用过程中遇到的实际问题。</w:t>
            </w:r>
          </w:p>
          <w:p w14:paraId="69B52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lang w:val="en-US" w:eastAsia="zh-CN" w:bidi="ar"/>
              </w:rPr>
              <w:t>5.</w:t>
            </w:r>
            <w:r>
              <w:rPr>
                <w:rFonts w:hint="eastAsia" w:ascii="宋体" w:hAnsi="宋体" w:eastAsia="宋体" w:cs="宋体"/>
                <w:color w:val="auto"/>
                <w:kern w:val="2"/>
                <w:sz w:val="21"/>
                <w:szCs w:val="21"/>
                <w:highlight w:val="none"/>
                <w:u w:val="single"/>
                <w:lang w:val="en-US" w:eastAsia="zh-CN" w:bidi="ar"/>
              </w:rPr>
              <w:t>如在使用过程中发生质量问题，供应商维修响应时间：1小时以内；</w:t>
            </w:r>
          </w:p>
          <w:p w14:paraId="02E376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u w:val="single"/>
              </w:rPr>
            </w:pPr>
            <w:r>
              <w:rPr>
                <w:rFonts w:hint="eastAsia" w:ascii="宋体" w:hAnsi="宋体" w:eastAsia="宋体" w:cs="宋体"/>
                <w:color w:val="auto"/>
                <w:kern w:val="2"/>
                <w:sz w:val="21"/>
                <w:szCs w:val="21"/>
                <w:highlight w:val="none"/>
                <w:u w:val="single"/>
                <w:lang w:val="en-US" w:eastAsia="zh-CN" w:bidi="ar"/>
              </w:rPr>
              <w:t>电话技术支持时间：2小时以内；</w:t>
            </w:r>
          </w:p>
          <w:p w14:paraId="344AF96C">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宋体" w:hAnsi="宋体" w:eastAsia="宋体" w:cs="宋体"/>
                <w:color w:val="auto"/>
                <w:szCs w:val="21"/>
                <w:highlight w:val="none"/>
                <w:u w:val="single"/>
              </w:rPr>
            </w:pPr>
            <w:r>
              <w:rPr>
                <w:rFonts w:hint="eastAsia" w:ascii="宋体" w:hAnsi="宋体" w:eastAsia="宋体" w:cs="宋体"/>
                <w:color w:val="auto"/>
                <w:kern w:val="2"/>
                <w:sz w:val="21"/>
                <w:szCs w:val="21"/>
                <w:highlight w:val="none"/>
                <w:u w:val="single"/>
                <w:lang w:val="en-US" w:eastAsia="zh-CN" w:bidi="ar"/>
              </w:rPr>
              <w:t>对于通过电话、邮件等远程技术支持不能解决的问题，供应商应在48小时内派遣相关人员赶赴现场，72小时内维修完毕；发生紧急抢修事故的，供应商应在接到采购人通知后48小时内到达现场抢修，并于到达现场24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highlight w:val="none"/>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u w:val="none"/>
                <w:lang w:val="en-US" w:eastAsia="zh-CN"/>
              </w:rPr>
              <w:t>供应商应提供详细的</w:t>
            </w:r>
            <w:r>
              <w:rPr>
                <w:rFonts w:hint="eastAsia" w:ascii="宋体" w:hAnsi="宋体" w:eastAsia="宋体" w:cs="宋体"/>
                <w:color w:val="auto"/>
                <w:szCs w:val="21"/>
                <w:highlight w:val="none"/>
              </w:rPr>
              <w:t>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供应商应按招标文件规定向采购人提供全新</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原装合格产品，</w:t>
            </w:r>
            <w:r>
              <w:rPr>
                <w:rFonts w:hint="eastAsia" w:ascii="宋体" w:hAnsi="宋体" w:eastAsia="宋体" w:cs="宋体"/>
                <w:color w:val="auto"/>
                <w:szCs w:val="21"/>
                <w:highlight w:val="none"/>
                <w:lang w:val="en-US" w:eastAsia="zh-CN"/>
              </w:rPr>
              <w:t>产品应</w:t>
            </w:r>
            <w:r>
              <w:rPr>
                <w:rFonts w:hint="eastAsia" w:ascii="宋体" w:hAnsi="宋体" w:eastAsia="宋体" w:cs="宋体"/>
                <w:color w:val="auto"/>
                <w:szCs w:val="21"/>
                <w:highlight w:val="none"/>
              </w:rPr>
              <w:t>符合国家法律法规规定。</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供应商应</w:t>
            </w:r>
            <w:r>
              <w:rPr>
                <w:rFonts w:hint="eastAsia" w:ascii="宋体" w:hAnsi="宋体" w:eastAsia="宋体" w:cs="宋体"/>
                <w:color w:val="auto"/>
                <w:szCs w:val="21"/>
                <w:highlight w:val="none"/>
              </w:rPr>
              <w:t>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w:t>
            </w:r>
            <w:r>
              <w:rPr>
                <w:rFonts w:hint="eastAsia" w:ascii="宋体" w:hAnsi="宋体" w:eastAsia="宋体" w:cs="宋体"/>
                <w:color w:val="auto"/>
                <w:szCs w:val="21"/>
                <w:highlight w:val="none"/>
                <w:lang w:val="en-US" w:eastAsia="zh-CN"/>
              </w:rPr>
              <w:t>和安装调试方案</w:t>
            </w:r>
            <w:r>
              <w:rPr>
                <w:rFonts w:hint="eastAsia" w:ascii="宋体" w:hAnsi="宋体" w:eastAsia="宋体" w:cs="宋体"/>
                <w:color w:val="auto"/>
                <w:szCs w:val="21"/>
                <w:highlight w:val="none"/>
              </w:rPr>
              <w:t>。</w:t>
            </w:r>
          </w:p>
          <w:p w14:paraId="48874C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.技术支持：</w:t>
            </w:r>
          </w:p>
          <w:p w14:paraId="4560E7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.供应商应提供质保期满后主要零部件报价单、质保期满后维护费、软件升级及其相关服务内容；</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rPr>
              <w:t>产品相关配件、附件、备品备件及耗材的准备和保障措施、消耗水平和成本</w:t>
            </w:r>
            <w:r>
              <w:rPr>
                <w:rFonts w:hint="eastAsia" w:ascii="宋体" w:hAnsi="宋体" w:eastAsia="宋体" w:cs="宋体"/>
                <w:color w:val="auto"/>
                <w:szCs w:val="21"/>
                <w:highlight w:val="none"/>
                <w:lang w:val="en-US" w:eastAsia="zh-CN"/>
              </w:rPr>
              <w:t>方案</w:t>
            </w:r>
            <w:r>
              <w:rPr>
                <w:rFonts w:hint="eastAsia" w:ascii="宋体" w:hAnsi="宋体" w:eastAsia="宋体" w:cs="宋体"/>
                <w:color w:val="auto"/>
                <w:szCs w:val="21"/>
                <w:highlight w:val="none"/>
              </w:rPr>
              <w:t>。</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2.培训</w:t>
            </w:r>
            <w:r>
              <w:rPr>
                <w:rFonts w:hint="eastAsia" w:ascii="宋体" w:hAnsi="宋体" w:eastAsia="宋体" w:cs="宋体"/>
                <w:color w:val="auto"/>
                <w:szCs w:val="21"/>
                <w:highlight w:val="none"/>
              </w:rPr>
              <w:t>实现方式、时间、地点、人数应在投标文件中详细说明</w:t>
            </w:r>
            <w:r>
              <w:rPr>
                <w:rFonts w:hint="eastAsia" w:ascii="宋体" w:hAnsi="宋体" w:eastAsia="宋体" w:cs="宋体"/>
                <w:color w:val="auto"/>
                <w:szCs w:val="21"/>
                <w:highlight w:val="none"/>
                <w:lang w:eastAsia="zh-CN"/>
              </w:rPr>
              <w:t>；</w:t>
            </w:r>
          </w:p>
          <w:p w14:paraId="6BD745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供应商应提供相应的培训计划、培训范围，实施方案</w:t>
            </w:r>
            <w:r>
              <w:rPr>
                <w:rFonts w:hint="eastAsia" w:ascii="宋体" w:hAnsi="宋体" w:eastAsia="宋体" w:cs="宋体"/>
                <w:color w:val="auto"/>
                <w:szCs w:val="21"/>
                <w:highlight w:val="none"/>
                <w:lang w:eastAsia="zh-CN"/>
              </w:rPr>
              <w:t>；</w:t>
            </w:r>
          </w:p>
          <w:p w14:paraId="3D36B1A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4.要求技术工程师到现场培训调试不少于2天。</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14:paraId="190978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14:paraId="119E3A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14:paraId="2A04049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14:paraId="1EBC289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14:paraId="3C959A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14:paraId="46C6C0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14:paraId="3C65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14:paraId="1DFD823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14:paraId="32DEFB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14:paraId="7F978AE1">
      <w:pPr>
        <w:adjustRightInd w:val="0"/>
        <w:snapToGrid w:val="0"/>
        <w:spacing w:line="288" w:lineRule="auto"/>
        <w:rPr>
          <w:rFonts w:ascii="宋体" w:hAnsi="宋体" w:eastAsia="宋体" w:cs="Times New Roman"/>
          <w:b/>
          <w:color w:val="auto"/>
          <w:szCs w:val="21"/>
          <w:highlight w:val="none"/>
        </w:rPr>
      </w:pPr>
    </w:p>
    <w:p w14:paraId="155758D7">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满足光场调控全息成像系统的使用需求。</w:t>
      </w:r>
    </w:p>
    <w:p w14:paraId="052E21C8">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10" w:type="dxa"/>
            <w:vAlign w:val="center"/>
          </w:tcPr>
          <w:p w14:paraId="3B9DB4B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1" w:type="dxa"/>
            <w:vAlign w:val="center"/>
          </w:tcPr>
          <w:p w14:paraId="601BB26F">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61" w:type="dxa"/>
            <w:vAlign w:val="center"/>
          </w:tcPr>
          <w:p w14:paraId="302F457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269" w:type="dxa"/>
            <w:vAlign w:val="center"/>
          </w:tcPr>
          <w:p w14:paraId="7F7ED665">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1</w:t>
            </w:r>
          </w:p>
        </w:tc>
        <w:tc>
          <w:tcPr>
            <w:tcW w:w="1810" w:type="dxa"/>
            <w:vAlign w:val="center"/>
          </w:tcPr>
          <w:p w14:paraId="2F9DD2F4">
            <w:pPr>
              <w:adjustRightInd w:val="0"/>
              <w:snapToGrid w:val="0"/>
              <w:spacing w:line="288" w:lineRule="auto"/>
              <w:jc w:val="center"/>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光场调控全息成像系统</w:t>
            </w:r>
          </w:p>
        </w:tc>
        <w:tc>
          <w:tcPr>
            <w:tcW w:w="661" w:type="dxa"/>
            <w:vAlign w:val="center"/>
          </w:tcPr>
          <w:p w14:paraId="77DC8DC0">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14:paraId="66A5AD68">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14:paraId="1B2A66DA">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一、</w:t>
            </w:r>
            <w:r>
              <w:rPr>
                <w:rFonts w:hint="eastAsia" w:ascii="宋体" w:hAnsi="宋体" w:eastAsia="宋体" w:cs="宋体"/>
                <w:b/>
                <w:bCs/>
                <w:color w:val="auto"/>
                <w:szCs w:val="21"/>
                <w:highlight w:val="none"/>
                <w:lang w:eastAsia="zh-CN"/>
              </w:rPr>
              <w:t>反射式空间光场调制模块：</w:t>
            </w:r>
          </w:p>
          <w:p w14:paraId="1573728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像元大小：≤6.4um；</w:t>
            </w:r>
          </w:p>
          <w:p w14:paraId="11ABD67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分辨率≥2048×2048；</w:t>
            </w:r>
          </w:p>
          <w:p w14:paraId="753014F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刷新频率：≥60Hz；</w:t>
            </w:r>
          </w:p>
          <w:p w14:paraId="35EAB58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对角线长度：≤0.73英寸</w:t>
            </w:r>
          </w:p>
          <w:p w14:paraId="7F9C0C1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调制相位：≥2π@420nm-650nm；</w:t>
            </w:r>
          </w:p>
          <w:p w14:paraId="477E72F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损伤阈值：20W/cm</w:t>
            </w:r>
            <w:r>
              <w:rPr>
                <w:rFonts w:hint="eastAsia" w:ascii="宋体" w:hAnsi="宋体" w:eastAsia="宋体" w:cs="宋体"/>
                <w:color w:val="auto"/>
                <w:szCs w:val="21"/>
                <w:highlight w:val="none"/>
                <w:vertAlign w:val="superscript"/>
                <w:lang w:eastAsia="zh-CN"/>
              </w:rPr>
              <w:t>2</w:t>
            </w:r>
            <w:r>
              <w:rPr>
                <w:rFonts w:hint="eastAsia" w:ascii="宋体" w:hAnsi="宋体" w:eastAsia="宋体" w:cs="宋体"/>
                <w:color w:val="auto"/>
                <w:szCs w:val="21"/>
                <w:highlight w:val="none"/>
                <w:vertAlign w:val="baseline"/>
                <w:lang w:eastAsia="zh-CN"/>
              </w:rPr>
              <w:t>；</w:t>
            </w:r>
          </w:p>
          <w:p w14:paraId="0FDB30E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具备控制调制器进行实时图像调制的功能，接口规格为HDMI2.0及以上；</w:t>
            </w:r>
          </w:p>
          <w:p w14:paraId="05C3D33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具备本地存储图片并可加载至调制器进行调制的功能，存储容量≥1TB，缓存容量≥32GB；确保图像加载和调制的流畅性；</w:t>
            </w:r>
          </w:p>
          <w:p w14:paraId="687F42A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内存频率：8533MT/S保证图像处理速度和系统响应速度。</w:t>
            </w:r>
          </w:p>
          <w:p w14:paraId="6D0F8D51">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二、</w:t>
            </w:r>
            <w:r>
              <w:rPr>
                <w:rFonts w:hint="eastAsia" w:ascii="宋体" w:hAnsi="宋体" w:eastAsia="宋体" w:cs="宋体"/>
                <w:b/>
                <w:bCs/>
                <w:color w:val="auto"/>
                <w:szCs w:val="21"/>
                <w:highlight w:val="none"/>
                <w:lang w:eastAsia="zh-CN"/>
              </w:rPr>
              <w:t>透射式空间光场调制模块：</w:t>
            </w:r>
          </w:p>
          <w:p w14:paraId="40182DF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像元大小：≤26um；</w:t>
            </w:r>
          </w:p>
          <w:p w14:paraId="6C14504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分辨率≥1024×768；</w:t>
            </w:r>
          </w:p>
          <w:p w14:paraId="785678C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刷新频率：≥60Hz；</w:t>
            </w:r>
          </w:p>
          <w:p w14:paraId="39AB7EB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对角线长度：≤1.3英寸；</w:t>
            </w:r>
          </w:p>
          <w:p w14:paraId="6F0916F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光谱范围：420-1100nm；</w:t>
            </w:r>
          </w:p>
          <w:p w14:paraId="5BFE0FE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损伤阈值：2W/cm</w:t>
            </w:r>
            <w:r>
              <w:rPr>
                <w:rFonts w:hint="eastAsia" w:ascii="宋体" w:hAnsi="宋体" w:eastAsia="宋体" w:cs="宋体"/>
                <w:color w:val="auto"/>
                <w:szCs w:val="21"/>
                <w:highlight w:val="none"/>
                <w:vertAlign w:val="superscript"/>
                <w:lang w:eastAsia="zh-CN"/>
              </w:rPr>
              <w:t>2</w:t>
            </w:r>
            <w:r>
              <w:rPr>
                <w:rFonts w:hint="eastAsia" w:ascii="宋体" w:hAnsi="宋体" w:eastAsia="宋体" w:cs="宋体"/>
                <w:color w:val="auto"/>
                <w:szCs w:val="21"/>
                <w:highlight w:val="none"/>
                <w:lang w:eastAsia="zh-CN"/>
              </w:rPr>
              <w:t>。</w:t>
            </w:r>
          </w:p>
          <w:p w14:paraId="2EAD1B3F">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三、</w:t>
            </w:r>
            <w:r>
              <w:rPr>
                <w:rFonts w:hint="eastAsia" w:ascii="宋体" w:hAnsi="宋体" w:eastAsia="宋体" w:cs="宋体"/>
                <w:b/>
                <w:bCs/>
                <w:color w:val="auto"/>
                <w:szCs w:val="21"/>
                <w:highlight w:val="none"/>
                <w:lang w:eastAsia="zh-CN"/>
              </w:rPr>
              <w:t>激光扩束模块：</w:t>
            </w:r>
          </w:p>
          <w:p w14:paraId="45C82E8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输出波长：450nm/638nm/520nm；</w:t>
            </w:r>
          </w:p>
          <w:p w14:paraId="3D82E08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功率：250mW（激光器功率），2000mW（电源供电功率）；</w:t>
            </w:r>
          </w:p>
          <w:p w14:paraId="4D467EF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工作电流：＜300mA 1.8A；</w:t>
            </w:r>
          </w:p>
          <w:p w14:paraId="04E1524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功率稳定性：RMS＜1%,M2＜2,TEM00，出光口光斑：1.2mm；</w:t>
            </w:r>
          </w:p>
          <w:p w14:paraId="5729667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发散角＜2mrad，水平偏振：100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1，光斑圆度</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95%；</w:t>
            </w:r>
          </w:p>
          <w:p w14:paraId="2E6A0A7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镀膜波长：450～680nm，入射光斑直径（1/e²）Ø4；</w:t>
            </w:r>
          </w:p>
          <w:p w14:paraId="0097038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外径：Ø53 波前误差（RMS）1/5λ；</w:t>
            </w:r>
          </w:p>
          <w:p w14:paraId="44E9369C">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扩束比2Χ～6Χ，入射光斑直径（1/e²）Ø24。</w:t>
            </w:r>
          </w:p>
          <w:p w14:paraId="3918BAAD">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四、</w:t>
            </w:r>
            <w:r>
              <w:rPr>
                <w:rFonts w:hint="eastAsia" w:ascii="宋体" w:hAnsi="宋体" w:eastAsia="宋体" w:cs="宋体"/>
                <w:b/>
                <w:bCs/>
                <w:color w:val="auto"/>
                <w:szCs w:val="21"/>
                <w:highlight w:val="none"/>
                <w:lang w:eastAsia="zh-CN"/>
              </w:rPr>
              <w:t>光斑检测模块：</w:t>
            </w:r>
          </w:p>
          <w:p w14:paraId="2BF8CD3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探测面积：0.8mm²，小信号带宽：0-150MHz；</w:t>
            </w:r>
          </w:p>
          <w:p w14:paraId="34FE05DA">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带宽：200MHz，实时采样率：2GSa/s；</w:t>
            </w:r>
          </w:p>
          <w:p w14:paraId="7E6273E6">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通道数：4，存储深度：200Mpts；</w:t>
            </w:r>
          </w:p>
          <w:p w14:paraId="632E6A79">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波长范围：320-1320nm，通光孔径：6.8mm×5.4mm，像元尺寸：5.3μm×5.3μm，分辨率：1280×1024；位深：8Bit；动态范围：62dB；</w:t>
            </w:r>
          </w:p>
          <w:p w14:paraId="06169C5E">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像元尺寸：3.2*3.2μm，有效像素：300万，分辨率@帧率2048*1536@12.8FPS；</w:t>
            </w:r>
          </w:p>
          <w:p w14:paraId="3BB82D6C">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像素位深度：10bit，灵敏度：1.0V/lux-s 550nm；</w:t>
            </w:r>
          </w:p>
          <w:p w14:paraId="2C2272D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消色差胶合透镜：N-BK7/SF5，直径：25.4mm，焦距：100.0mm，增透膜：400nm-700nm；</w:t>
            </w:r>
          </w:p>
          <w:p w14:paraId="5D826A4F">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8.半波片：</w:t>
            </w:r>
            <w:r>
              <w:rPr>
                <w:rFonts w:hint="eastAsia" w:ascii="宋体" w:hAnsi="宋体" w:eastAsia="宋体" w:cs="宋体"/>
                <w:color w:val="auto"/>
                <w:szCs w:val="21"/>
                <w:highlight w:val="none"/>
                <w:lang w:eastAsia="zh-CN"/>
              </w:rPr>
              <w:t>材料：石英晶体，类型：空气隙，支架外径：30.0+0.0/-0.2mm，支架厚度：6.0±0.2mm，表面质量：20/10，通光孔径：22.9mm，口径：25.4mm，400-700nm；</w:t>
            </w:r>
          </w:p>
          <w:p w14:paraId="141EBDF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四分之一波片：材料：石英晶体，类型：空气隙，支架外径：30.0+0.0/-0.2mm，支架厚度：6.0±0.2mm，表面质量：20/10，通光孔径：22.9mm；</w:t>
            </w:r>
          </w:p>
          <w:p w14:paraId="536D1852">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eastAsia="zh-CN"/>
              </w:rPr>
              <w:t>傅里叶透镜：口径25.4，f=75mm；</w:t>
            </w:r>
          </w:p>
          <w:p w14:paraId="40254C0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lang w:eastAsia="zh-CN"/>
              </w:rPr>
              <w:t>重构物体F：目标物F。</w:t>
            </w:r>
          </w:p>
          <w:p w14:paraId="75C45194">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五、</w:t>
            </w:r>
            <w:r>
              <w:rPr>
                <w:rFonts w:hint="eastAsia" w:ascii="宋体" w:hAnsi="宋体" w:eastAsia="宋体" w:cs="宋体"/>
                <w:b/>
                <w:bCs/>
                <w:color w:val="auto"/>
                <w:szCs w:val="21"/>
                <w:highlight w:val="none"/>
                <w:lang w:eastAsia="zh-CN"/>
              </w:rPr>
              <w:t>软件控制模块：</w:t>
            </w:r>
          </w:p>
          <w:p w14:paraId="4043BA93">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所生成图像可放大、缩小、保存、平移旋转、水平/垂直/灰度翻转、gamma矫正；</w:t>
            </w:r>
          </w:p>
          <w:p w14:paraId="16476C85">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支持可设定速率的灰度循环递增播放；</w:t>
            </w:r>
          </w:p>
          <w:p w14:paraId="3E01B1A7">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支持导入图片的全息计算和目标光场显示；支持导入图片的整形计算和2D光场显示；</w:t>
            </w:r>
          </w:p>
          <w:p w14:paraId="2DB27C98">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涡旋光束可设置拓扑荷数和阶数，贝塞尔光束可设置光斑直径和径向矢量，菲涅尔可设置焦距；相位图均可叠加1~6种透镜，支持面型矫正；</w:t>
            </w:r>
          </w:p>
          <w:p w14:paraId="7A3E44A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调控软件界面包括：图像显示区、实验功能选择区、实验功能操作说明区、菜单栏、状态栏；支持涡旋光束叠加态、分区域涡旋光束、拉盖尔光束、拉盖尔光束叠加以及在各项实验功能下与菲涅尔透镜、柱面透镜、轴棱锥透镜、闪耀光栅、达曼光栅、泽尼克多项式的叠加功能，支持35项泽尼克多项式；</w:t>
            </w:r>
          </w:p>
          <w:p w14:paraId="08E28934">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成像软件可直接通信CCD（COMS）相机和示波器（桶探测器信号通过示波器来采集），可对CCD相机采集的图片、示波器采集信号进行存储处理；也具有将采集的数据进行导出的功能；带有随机散斑图自动生成功能，可将随机散斑图加载到SLM上；散斑图数量可设置，图像分辨率可调，软件具有关联（重构）计算功能，可将CCD相机采集的图片和示波器采集信号进行关联处理，从而计算（重构）出物体的像。</w:t>
            </w:r>
          </w:p>
        </w:tc>
      </w:tr>
    </w:tbl>
    <w:p w14:paraId="2C639540">
      <w:pPr>
        <w:adjustRightInd w:val="0"/>
        <w:snapToGrid w:val="0"/>
        <w:spacing w:line="288" w:lineRule="auto"/>
        <w:rPr>
          <w:rFonts w:ascii="宋体" w:hAnsi="宋体" w:eastAsia="宋体" w:cs="Times New Roman"/>
          <w:b/>
          <w:bCs/>
          <w:color w:val="auto"/>
          <w:szCs w:val="21"/>
          <w:highlight w:val="none"/>
        </w:rPr>
      </w:pP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杭州电子科技大学光场调控全息成像系统</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ascii="宋体" w:hAnsi="宋体" w:eastAsia="宋体"/>
                <w:color w:val="auto"/>
                <w:szCs w:val="21"/>
                <w:highlight w:val="none"/>
              </w:rPr>
              <w:t>，须提供</w:t>
            </w:r>
            <w:r>
              <w:rPr>
                <w:rFonts w:ascii="宋体" w:hAnsi="宋体" w:eastAsia="宋体"/>
                <w:bCs/>
                <w:color w:val="auto"/>
                <w:szCs w:val="21"/>
                <w:highlight w:val="none"/>
              </w:rPr>
              <w:t>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2025年1月（含）</w:t>
            </w:r>
            <w:r>
              <w:rPr>
                <w:rFonts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1073C959">
            <w:pPr>
              <w:adjustRightInd w:val="0"/>
              <w:snapToGrid w:val="0"/>
              <w:spacing w:line="288" w:lineRule="auto"/>
              <w:rPr>
                <w:rFonts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2BD3C9D6">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63817493">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3877AAAB">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14:paraId="3F923D64">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ascii="宋体" w:hAnsi="宋体" w:eastAsia="宋体"/>
                <w:color w:val="auto"/>
                <w:szCs w:val="21"/>
                <w:highlight w:val="none"/>
              </w:rPr>
              <w:t>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adjustRightInd w:val="0"/>
              <w:snapToGrid w:val="0"/>
              <w:spacing w:line="288" w:lineRule="auto"/>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adjustRightInd w:val="0"/>
              <w:snapToGrid w:val="0"/>
              <w:spacing w:line="288" w:lineRule="auto"/>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adjustRightInd w:val="0"/>
              <w:snapToGrid w:val="0"/>
              <w:spacing w:line="288" w:lineRule="auto"/>
              <w:rPr>
                <w:rFonts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adjustRightInd w:val="0"/>
              <w:snapToGrid w:val="0"/>
              <w:spacing w:line="288"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adjustRightInd w:val="0"/>
              <w:snapToGrid w:val="0"/>
              <w:spacing w:before="0" w:beforeLines="0" w:after="0" w:afterLines="0" w:line="288" w:lineRule="auto"/>
              <w:jc w:val="left"/>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14:paraId="75D18B75">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杭州电子科技大学光场调控全息成像系统</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color w:val="auto"/>
                <w:szCs w:val="21"/>
                <w:highlight w:val="none"/>
                <w:lang w:eastAsia="zh-CN"/>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不足3000元的按3000元计</w:t>
            </w:r>
            <w:r>
              <w:rPr>
                <w:rFonts w:hint="eastAsia" w:ascii="宋体" w:hAnsi="宋体" w:eastAsia="宋体"/>
                <w:color w:val="auto"/>
                <w:szCs w:val="21"/>
                <w:highlight w:val="none"/>
                <w:lang w:eastAsia="zh-CN"/>
              </w:rPr>
              <w:t>）</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1747DD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14:paraId="1B2B8CA9">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5A973184">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79E3587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3875F7BB">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招标文件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15D04C36">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4501DE1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49FA18C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招标文件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，供应商相应的投标产品须提供国家确定的认证机构出具的、处于有效期之内的节能产品认证证书。</w:t>
      </w:r>
    </w:p>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5D9D45AB">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75E2E1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607F047E">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4B4764B">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5B139B56">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6E72C019">
      <w:pPr>
        <w:adjustRightInd w:val="0"/>
        <w:snapToGrid w:val="0"/>
        <w:spacing w:line="288"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14:paraId="5DF650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【客观分】投标人提供自202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标注“★”的</w:t>
            </w:r>
            <w:r>
              <w:rPr>
                <w:rFonts w:hint="eastAsia" w:ascii="宋体" w:hAnsi="宋体" w:eastAsia="宋体" w:cs="宋体"/>
                <w:color w:val="auto"/>
                <w:szCs w:val="21"/>
                <w:highlight w:val="none"/>
              </w:rPr>
              <w:t>每项扣3分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未标注“★”的每项扣2分</w:t>
            </w:r>
            <w:r>
              <w:rPr>
                <w:rFonts w:hint="eastAsia" w:ascii="宋体" w:hAnsi="宋体" w:eastAsia="宋体" w:cs="宋体"/>
                <w:color w:val="auto"/>
                <w:szCs w:val="21"/>
                <w:highlight w:val="none"/>
              </w:rPr>
              <w:t>；</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eastAsia" w:ascii="宋体" w:hAnsi="宋体" w:eastAsia="宋体" w:cs="宋体"/>
                <w:color w:val="auto"/>
                <w:szCs w:val="21"/>
                <w:highlight w:val="none"/>
                <w:lang w:val="en-US" w:eastAsia="zh-CN"/>
              </w:rPr>
              <w:t>扣分30分</w:t>
            </w:r>
            <w:r>
              <w:rPr>
                <w:rFonts w:hint="eastAsia" w:ascii="宋体" w:hAnsi="宋体" w:eastAsia="宋体" w:cs="宋体"/>
                <w:color w:val="auto"/>
                <w:szCs w:val="21"/>
                <w:highlight w:val="none"/>
              </w:rPr>
              <w:t>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14:paraId="76D481BB">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14:paraId="69D78B5C">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032DC66C">
      <w:pPr>
        <w:spacing w:line="288" w:lineRule="auto"/>
        <w:ind w:firstLine="562" w:firstLineChars="200"/>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6ED2EDC">
      <w:pPr>
        <w:spacing w:line="288" w:lineRule="auto"/>
        <w:ind w:firstLine="420" w:firstLineChars="200"/>
        <w:jc w:val="righ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 xml:space="preserve">合同编号_________________ </w:t>
      </w:r>
    </w:p>
    <w:p w14:paraId="163AD724">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确认书号：</w:t>
      </w:r>
    </w:p>
    <w:p w14:paraId="4A715020">
      <w:pPr>
        <w:spacing w:line="288" w:lineRule="auto"/>
        <w:ind w:firstLine="396" w:firstLineChars="200"/>
        <w:jc w:val="left"/>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项目编号：</w:t>
      </w:r>
    </w:p>
    <w:p w14:paraId="35211B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甲方（采购人）：杭州电子科技大学  </w:t>
      </w:r>
    </w:p>
    <w:p w14:paraId="403591E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乙方（供应商）： </w:t>
      </w:r>
    </w:p>
    <w:p w14:paraId="2516D688">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采购代理机构（鉴证方）：</w:t>
      </w:r>
      <w:r>
        <w:rPr>
          <w:rFonts w:hint="eastAsia" w:ascii="宋体" w:hAnsi="宋体" w:eastAsia="宋体" w:cs="宋体"/>
          <w:color w:val="auto"/>
          <w:kern w:val="0"/>
          <w:szCs w:val="21"/>
          <w:highlight w:val="none"/>
        </w:rPr>
        <w:t xml:space="preserve">             </w:t>
      </w:r>
    </w:p>
    <w:p w14:paraId="5868DAB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为了保护甲乙双方合法权益，根据项目</w:t>
      </w:r>
      <w:r>
        <w:rPr>
          <w:rFonts w:hint="eastAsia" w:ascii="宋体" w:hAnsi="宋体" w:eastAsia="宋体" w:cs="宋体"/>
          <w:color w:val="auto"/>
          <w:kern w:val="0"/>
          <w:szCs w:val="21"/>
          <w:highlight w:val="none"/>
          <w:u w:val="single"/>
          <w:lang w:eastAsia="zh-CN"/>
        </w:rPr>
        <w:t>光场调控全息成像系统</w:t>
      </w:r>
      <w:r>
        <w:rPr>
          <w:rFonts w:hint="eastAsia" w:ascii="宋体" w:hAnsi="宋体" w:eastAsia="宋体" w:cs="宋体"/>
          <w:color w:val="auto"/>
          <w:kern w:val="0"/>
          <w:szCs w:val="21"/>
          <w:highlight w:val="none"/>
        </w:rPr>
        <w:t>（项目编号</w:t>
      </w:r>
      <w:r>
        <w:rPr>
          <w:rFonts w:hint="eastAsia" w:ascii="宋体" w:hAnsi="宋体" w:eastAsia="宋体" w:cs="宋体"/>
          <w:color w:val="auto"/>
          <w:kern w:val="0"/>
          <w:szCs w:val="21"/>
          <w:highlight w:val="none"/>
          <w:u w:val="single"/>
          <w:lang w:val="en-US" w:eastAsia="zh-CN"/>
        </w:rPr>
        <w:t>QSZBB250277ZHGK</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公开招标</w:t>
      </w:r>
      <w:r>
        <w:rPr>
          <w:rFonts w:hint="eastAsia" w:ascii="宋体" w:hAnsi="宋体" w:eastAsia="宋体" w:cs="宋体"/>
          <w:color w:val="auto"/>
          <w:kern w:val="0"/>
          <w:szCs w:val="21"/>
          <w:highlight w:val="none"/>
        </w:rPr>
        <w:t>的中标（成交）结果，签署本合同，以资共同遵守。</w:t>
      </w:r>
    </w:p>
    <w:p w14:paraId="70B6BD6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color w:val="auto"/>
                <w:kern w:val="0"/>
                <w:szCs w:val="21"/>
                <w:highlight w:val="none"/>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合同总价（元，人民币）：小写￥              ，大写：</w:t>
            </w:r>
          </w:p>
        </w:tc>
      </w:tr>
    </w:tbl>
    <w:p w14:paraId="04111CE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二、供货范围</w:t>
      </w:r>
    </w:p>
    <w:p w14:paraId="190FD9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合同供货范围包括所有合同货物、相关的技术资料。</w:t>
      </w:r>
    </w:p>
    <w:p w14:paraId="65FAA6E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三、质保期、履约保证金与货款结算</w:t>
      </w:r>
    </w:p>
    <w:p w14:paraId="16BBD8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质保期：自验收合格之日起，整机质保期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年，其中</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（配件名称）质保</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2.履约保证金（如无则删除本条款）</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合同总金额的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eastAsia="宋体" w:cs="宋体"/>
          <w:color w:val="auto"/>
          <w:spacing w:val="-6"/>
          <w:kern w:val="0"/>
          <w:szCs w:val="21"/>
          <w:highlight w:val="none"/>
        </w:rPr>
        <w:t>1</w:t>
      </w:r>
      <w:r>
        <w:rPr>
          <w:rFonts w:hint="eastAsia" w:ascii="宋体" w:hAnsi="宋体" w:eastAsia="宋体" w:cs="宋体"/>
          <w:color w:val="auto"/>
          <w:kern w:val="0"/>
          <w:szCs w:val="21"/>
          <w:highlight w:val="none"/>
        </w:rPr>
        <w:t>）预付款方式：</w:t>
      </w:r>
    </w:p>
    <w:p w14:paraId="079E370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bookmarkStart w:id="55" w:name="OLE_LINK10"/>
      <w:bookmarkStart w:id="56" w:name="OLE_LINK8"/>
      <w:bookmarkStart w:id="57" w:name="OLE_LINK7"/>
      <w:bookmarkStart w:id="58" w:name="OLE_LINK9"/>
      <w:r>
        <w:rPr>
          <w:rFonts w:hint="eastAsia" w:ascii="宋体" w:hAnsi="宋体" w:eastAsia="宋体" w:cs="宋体"/>
          <w:color w:val="auto"/>
          <w:szCs w:val="21"/>
          <w:highlight w:val="none"/>
        </w:rPr>
        <w:t>根据</w:t>
      </w:r>
      <w:bookmarkStart w:id="59" w:name="OLE_LINK5"/>
      <w:bookmarkStart w:id="60" w:name="OLE_LINK6"/>
      <w:r>
        <w:rPr>
          <w:rFonts w:hint="eastAsia" w:ascii="宋体" w:hAnsi="宋体" w:eastAsia="宋体" w:cs="宋体"/>
          <w:color w:val="auto"/>
          <w:szCs w:val="21"/>
          <w:highlight w:val="none"/>
        </w:rPr>
        <w:t>《浙江省财政厅关于进一步发挥政府采购政策功能全力推动经济稳进提质的通知》</w:t>
      </w:r>
      <w:bookmarkEnd w:id="59"/>
      <w:bookmarkEnd w:id="60"/>
      <w:r>
        <w:rPr>
          <w:rFonts w:hint="eastAsia" w:ascii="宋体" w:hAnsi="宋体" w:eastAsia="宋体" w:cs="宋体"/>
          <w:color w:val="auto"/>
          <w:szCs w:val="21"/>
          <w:highlight w:val="none"/>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color w:val="auto"/>
          <w:kern w:val="0"/>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w:t>
      </w:r>
    </w:p>
    <w:p w14:paraId="2E21E67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②在签订合同时，乙方明确表示主动要求降低预付款比例的，可降低预付款比例（预付款保函同步调整）。</w:t>
      </w:r>
    </w:p>
    <w:p w14:paraId="2AB838C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③若乙方收取预付款，要求预付款保函有效期覆盖项目验收合格时间；提供了预付款保函则乙方无需再缴纳履约保证金。</w:t>
      </w:r>
    </w:p>
    <w:p w14:paraId="1AB041C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w:t>
      </w:r>
      <w:r>
        <w:rPr>
          <w:rFonts w:hint="eastAsia" w:ascii="宋体" w:hAnsi="宋体" w:eastAsia="宋体" w:cs="宋体"/>
          <w:bCs/>
          <w:color w:val="auto"/>
          <w:kern w:val="0"/>
          <w:szCs w:val="21"/>
          <w:highlight w:val="none"/>
        </w:rPr>
        <w:t>货到分期付款：</w:t>
      </w:r>
      <w:r>
        <w:rPr>
          <w:rFonts w:hint="eastAsia" w:ascii="宋体" w:hAnsi="宋体" w:eastAsia="宋体" w:cs="宋体"/>
          <w:color w:val="auto"/>
          <w:kern w:val="0"/>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②货到一次性支付：</w:t>
      </w:r>
    </w:p>
    <w:p w14:paraId="3858389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③其它支付形式：                 </w:t>
      </w:r>
    </w:p>
    <w:p w14:paraId="785FA7C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单位名称：杭州电子科技大学。税号：12330000470009026T</w:t>
      </w:r>
    </w:p>
    <w:p w14:paraId="61288A8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开户银行：工行杭州高新支行。账号：1202026209008806216</w:t>
      </w:r>
    </w:p>
    <w:p w14:paraId="61033DB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四、知识产权 </w:t>
      </w:r>
    </w:p>
    <w:p w14:paraId="57063C3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五、转包或分包</w:t>
      </w:r>
    </w:p>
    <w:p w14:paraId="03EEB8D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snapToGrid w:val="0"/>
          <w:color w:val="auto"/>
          <w:spacing w:val="-6"/>
          <w:szCs w:val="21"/>
          <w:highlight w:val="none"/>
        </w:rPr>
        <w:t>.</w:t>
      </w:r>
      <w:r>
        <w:rPr>
          <w:rFonts w:hint="eastAsia" w:ascii="宋体" w:hAnsi="宋体" w:eastAsia="宋体" w:cs="宋体"/>
          <w:snapToGrid w:val="0"/>
          <w:color w:val="auto"/>
          <w:szCs w:val="21"/>
          <w:highlight w:val="none"/>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六、货物交付</w:t>
      </w:r>
    </w:p>
    <w:p w14:paraId="61891480">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交货期：自合同签订之日起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日内。</w:t>
      </w:r>
    </w:p>
    <w:p w14:paraId="19CFAF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交货方式：</w:t>
      </w:r>
      <w:bookmarkStart w:id="62" w:name="_Hlk155602651"/>
      <w:r>
        <w:rPr>
          <w:rFonts w:hint="eastAsia" w:ascii="宋体" w:hAnsi="宋体" w:eastAsia="宋体" w:cs="宋体"/>
          <w:color w:val="auto"/>
          <w:kern w:val="0"/>
          <w:szCs w:val="21"/>
          <w:highlight w:val="none"/>
        </w:rPr>
        <w:t>　　　送货上门　　</w:t>
      </w:r>
      <w:bookmarkStart w:id="63" w:name="_Hlk155602451"/>
      <w:r>
        <w:rPr>
          <w:rFonts w:hint="eastAsia" w:ascii="宋体" w:hAnsi="宋体" w:eastAsia="宋体" w:cs="宋体"/>
          <w:color w:val="auto"/>
          <w:kern w:val="0"/>
          <w:szCs w:val="21"/>
          <w:highlight w:val="none"/>
        </w:rPr>
        <w:t>。</w:t>
      </w:r>
      <w:bookmarkEnd w:id="62"/>
      <w:bookmarkEnd w:id="63"/>
    </w:p>
    <w:p w14:paraId="42ADE7A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交货地点：</w:t>
      </w:r>
      <w:bookmarkStart w:id="64" w:name="_Hlk155602663"/>
      <w:r>
        <w:rPr>
          <w:rFonts w:hint="eastAsia" w:ascii="宋体" w:hAnsi="宋体" w:eastAsia="宋体" w:cs="宋体"/>
          <w:color w:val="auto"/>
          <w:kern w:val="0"/>
          <w:szCs w:val="21"/>
          <w:highlight w:val="none"/>
        </w:rPr>
        <w:t xml:space="preserve"> 　　甲方指定地点　 。</w:t>
      </w:r>
      <w:bookmarkEnd w:id="64"/>
    </w:p>
    <w:p w14:paraId="237CB7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联系人及电话：</w:t>
      </w:r>
      <w:bookmarkStart w:id="65" w:name="_Hlk155181628"/>
      <w:r>
        <w:rPr>
          <w:rFonts w:hint="eastAsia" w:ascii="宋体" w:hAnsi="宋体" w:eastAsia="宋体" w:cs="宋体"/>
          <w:color w:val="auto"/>
          <w:kern w:val="0"/>
          <w:szCs w:val="21"/>
          <w:highlight w:val="none"/>
        </w:rPr>
        <w:t>甲方 姓名_________联系电话</w:t>
      </w:r>
      <w:r>
        <w:rPr>
          <w:rFonts w:hint="eastAsia" w:ascii="宋体" w:hAnsi="宋体" w:eastAsia="宋体" w:cs="宋体"/>
          <w:color w:val="auto"/>
          <w:kern w:val="0"/>
          <w:szCs w:val="21"/>
          <w:highlight w:val="none"/>
          <w:u w:val="single"/>
        </w:rPr>
        <w:t xml:space="preserve">（办公电话及手机号） </w:t>
      </w:r>
      <w:r>
        <w:rPr>
          <w:rFonts w:hint="eastAsia" w:ascii="宋体" w:hAnsi="宋体" w:eastAsia="宋体" w:cs="宋体"/>
          <w:color w:val="auto"/>
          <w:kern w:val="0"/>
          <w:szCs w:val="21"/>
          <w:highlight w:val="none"/>
        </w:rPr>
        <w:t>；乙方 姓名 __________联系电话</w:t>
      </w:r>
      <w:r>
        <w:rPr>
          <w:rFonts w:hint="eastAsia" w:ascii="宋体" w:hAnsi="宋体" w:eastAsia="宋体" w:cs="宋体"/>
          <w:color w:val="auto"/>
          <w:kern w:val="0"/>
          <w:szCs w:val="21"/>
          <w:highlight w:val="none"/>
          <w:u w:val="single"/>
        </w:rPr>
        <w:t xml:space="preserve">（办公电话及手机号） </w:t>
      </w:r>
      <w:bookmarkEnd w:id="65"/>
      <w:r>
        <w:rPr>
          <w:rFonts w:hint="eastAsia" w:ascii="宋体" w:hAnsi="宋体" w:eastAsia="宋体" w:cs="宋体"/>
          <w:color w:val="auto"/>
          <w:kern w:val="0"/>
          <w:szCs w:val="21"/>
          <w:highlight w:val="none"/>
        </w:rPr>
        <w:t>。</w:t>
      </w:r>
    </w:p>
    <w:p w14:paraId="3652BA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七、安装与验收</w:t>
      </w:r>
    </w:p>
    <w:p w14:paraId="5FA2C7D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最终验收：货物经安装调试完成且符合技术要求后，甲方负责在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八、质量保证与售后服务</w:t>
      </w:r>
    </w:p>
    <w:p w14:paraId="4B1F2B82">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w:t>
      </w:r>
      <w:bookmarkStart w:id="67" w:name="_Hlk154577956"/>
      <w:r>
        <w:rPr>
          <w:rFonts w:hint="eastAsia" w:ascii="宋体" w:hAnsi="宋体" w:eastAsia="宋体" w:cs="宋体"/>
          <w:color w:val="auto"/>
          <w:kern w:val="0"/>
          <w:szCs w:val="21"/>
          <w:highlight w:val="none"/>
        </w:rPr>
        <w:t>应按采购文件规定的货物性能、技术要求、质量标准向甲方提供</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售后服务</w:t>
      </w:r>
    </w:p>
    <w:p w14:paraId="5A5C516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2.1远程技术支持：乙方应具有稳定的技术支持队伍和完善的服务支持网络，提供</w:t>
      </w:r>
      <w:r>
        <w:rPr>
          <w:rFonts w:hint="eastAsia" w:ascii="宋体" w:hAnsi="宋体" w:eastAsia="宋体" w:cs="宋体"/>
          <w:color w:val="auto"/>
          <w:kern w:val="0"/>
          <w:szCs w:val="21"/>
          <w:highlight w:val="none"/>
          <w:u w:val="single"/>
        </w:rPr>
        <w:t xml:space="preserve"> 7×24小时 </w:t>
      </w:r>
      <w:r>
        <w:rPr>
          <w:rFonts w:hint="eastAsia" w:ascii="宋体" w:hAnsi="宋体" w:eastAsia="宋体" w:cs="宋体"/>
          <w:color w:val="auto"/>
          <w:kern w:val="0"/>
          <w:szCs w:val="21"/>
          <w:highlight w:val="none"/>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2.2现场技术支持：对于通过电话、邮件等远程技术支持不能解决的问题，乙方应在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小时内派遣相关人员赶赴现场，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小时内维修完毕；发生紧急抢修事故的，乙方应在接到甲方通知后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小时内到达现场抢修，并于到达现场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小时之内排除故障。乙方未在约定时间内修复的或同一货物经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九、保密条款</w:t>
      </w:r>
    </w:p>
    <w:p w14:paraId="3809072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十、违约责任</w:t>
      </w:r>
    </w:p>
    <w:p w14:paraId="04F9E46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甲方无故逾期验收和办理货款支付手续的，每逾期一日，应按逾期付款总额</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向乙方支付违约金。</w:t>
      </w:r>
    </w:p>
    <w:p w14:paraId="460FC2F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乙方逾期交货完工的，每逾期一日，应按合同总价</w:t>
      </w:r>
      <w:r>
        <w:rPr>
          <w:rFonts w:hint="eastAsia" w:ascii="宋体" w:hAnsi="宋体" w:eastAsia="宋体" w:cs="宋体"/>
          <w:color w:val="auto"/>
          <w:kern w:val="0"/>
          <w:szCs w:val="21"/>
          <w:highlight w:val="none"/>
          <w:u w:val="single"/>
        </w:rPr>
        <w:t>千分之一</w:t>
      </w:r>
      <w:r>
        <w:rPr>
          <w:rFonts w:hint="eastAsia" w:ascii="宋体" w:hAnsi="宋体" w:eastAsia="宋体" w:cs="宋体"/>
          <w:color w:val="auto"/>
          <w:kern w:val="0"/>
          <w:szCs w:val="21"/>
          <w:highlight w:val="none"/>
        </w:rPr>
        <w:t>向甲方支付违约金。逾期超过约定日期</w:t>
      </w:r>
      <w:r>
        <w:rPr>
          <w:rFonts w:hint="eastAsia" w:ascii="宋体" w:hAnsi="宋体" w:eastAsia="宋体" w:cs="宋体"/>
          <w:color w:val="auto"/>
          <w:kern w:val="0"/>
          <w:szCs w:val="21"/>
          <w:highlight w:val="none"/>
          <w:u w:val="single"/>
        </w:rPr>
        <w:t xml:space="preserve"> 10 </w:t>
      </w:r>
      <w:r>
        <w:rPr>
          <w:rFonts w:hint="eastAsia" w:ascii="宋体" w:hAnsi="宋体" w:eastAsia="宋体" w:cs="宋体"/>
          <w:color w:val="auto"/>
          <w:kern w:val="0"/>
          <w:szCs w:val="21"/>
          <w:highlight w:val="none"/>
        </w:rPr>
        <w:t>个工作日不能交货完工的，甲方有权解除本合同，并要求乙方支付合同总价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乙方未能按约定要求履行保修义务的，</w:t>
      </w:r>
      <w:bookmarkStart w:id="68" w:name="_Hlk154755811"/>
      <w:r>
        <w:rPr>
          <w:rFonts w:hint="eastAsia" w:ascii="宋体" w:hAnsi="宋体" w:eastAsia="宋体" w:cs="宋体"/>
          <w:color w:val="auto"/>
          <w:kern w:val="0"/>
          <w:szCs w:val="21"/>
          <w:highlight w:val="none"/>
        </w:rPr>
        <w:t>每发生一次应向甲方支付</w:t>
      </w:r>
      <w:r>
        <w:rPr>
          <w:rFonts w:hint="eastAsia" w:ascii="宋体" w:hAnsi="宋体" w:eastAsia="宋体" w:cs="宋体"/>
          <w:color w:val="auto"/>
          <w:kern w:val="0"/>
          <w:szCs w:val="21"/>
          <w:highlight w:val="none"/>
          <w:u w:val="single"/>
          <w:lang w:val="en-US" w:eastAsia="zh-CN"/>
        </w:rPr>
        <w:t>1000</w:t>
      </w:r>
      <w:r>
        <w:rPr>
          <w:rFonts w:hint="eastAsia" w:ascii="宋体" w:hAnsi="宋体" w:eastAsia="宋体" w:cs="宋体"/>
          <w:color w:val="auto"/>
          <w:kern w:val="0"/>
          <w:szCs w:val="21"/>
          <w:highlight w:val="none"/>
        </w:rPr>
        <w:t>元的违约金，同时，甲方有权委托第三方进行保修，所产生的费用由乙方承担。</w:t>
      </w:r>
      <w:bookmarkEnd w:id="68"/>
      <w:r>
        <w:rPr>
          <w:rFonts w:hint="eastAsia" w:ascii="宋体" w:hAnsi="宋体" w:eastAsia="宋体" w:cs="宋体"/>
          <w:color w:val="auto"/>
          <w:kern w:val="0"/>
          <w:szCs w:val="21"/>
          <w:highlight w:val="none"/>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 xml:space="preserve">因乙方其他违约行为导致甲方解除合同的，乙方应向甲方支付合同总价 </w:t>
      </w:r>
      <w:r>
        <w:rPr>
          <w:rFonts w:hint="eastAsia" w:ascii="宋体" w:hAnsi="宋体" w:eastAsia="宋体" w:cs="宋体"/>
          <w:color w:val="auto"/>
          <w:kern w:val="0"/>
          <w:szCs w:val="21"/>
          <w:highlight w:val="none"/>
          <w:u w:val="single"/>
        </w:rPr>
        <w:t>5 %</w:t>
      </w:r>
      <w:r>
        <w:rPr>
          <w:rFonts w:hint="eastAsia" w:ascii="宋体" w:hAnsi="宋体" w:eastAsia="宋体" w:cs="宋体"/>
          <w:color w:val="auto"/>
          <w:kern w:val="0"/>
          <w:szCs w:val="21"/>
          <w:highlight w:val="none"/>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十一、不可抗力</w:t>
      </w:r>
    </w:p>
    <w:p w14:paraId="1DED66C8">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十二、法律适用与争议解决</w:t>
      </w:r>
    </w:p>
    <w:p w14:paraId="2C77E6E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十三、合同生效及其他</w:t>
      </w:r>
    </w:p>
    <w:p w14:paraId="5CAF751C">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本次采购过程中形成的招标（非招标）文件、投标（响应）文件、澄清承诺、补充协议、附件等</w:t>
      </w:r>
      <w:r>
        <w:rPr>
          <w:rFonts w:hint="eastAsia" w:ascii="宋体" w:hAnsi="宋体" w:eastAsia="宋体" w:cs="宋体"/>
          <w:color w:val="auto"/>
          <w:kern w:val="0"/>
          <w:szCs w:val="21"/>
          <w:highlight w:val="none"/>
          <w:lang w:val="zh-CN"/>
        </w:rPr>
        <w:t>为本合同的组成部分，并构成一个整体，需综合解释、相互补充。如果</w:t>
      </w:r>
      <w:r>
        <w:rPr>
          <w:rFonts w:hint="eastAsia" w:ascii="宋体" w:hAnsi="宋体" w:eastAsia="宋体" w:cs="宋体"/>
          <w:color w:val="auto"/>
          <w:kern w:val="0"/>
          <w:szCs w:val="21"/>
          <w:highlight w:val="none"/>
        </w:rPr>
        <w:t>上述</w:t>
      </w:r>
      <w:r>
        <w:rPr>
          <w:rFonts w:hint="eastAsia" w:ascii="宋体" w:hAnsi="宋体" w:eastAsia="宋体" w:cs="宋体"/>
          <w:color w:val="auto"/>
          <w:kern w:val="0"/>
          <w:szCs w:val="21"/>
          <w:highlight w:val="none"/>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（1）本合同及其补充合同、变更协议；</w:t>
      </w:r>
    </w:p>
    <w:p w14:paraId="68417EA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（2）中标（成交）通知书；</w:t>
      </w:r>
    </w:p>
    <w:p w14:paraId="191C4F83">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（3）投标（</w:t>
      </w:r>
      <w:r>
        <w:rPr>
          <w:rFonts w:hint="eastAsia" w:ascii="宋体" w:hAnsi="宋体" w:eastAsia="宋体" w:cs="宋体"/>
          <w:color w:val="auto"/>
          <w:kern w:val="0"/>
          <w:szCs w:val="21"/>
          <w:highlight w:val="none"/>
          <w:lang w:val="zh-CN"/>
        </w:rPr>
        <w:t>响应）文件（含澄清或者说明文件）；</w:t>
      </w:r>
    </w:p>
    <w:p w14:paraId="7A2B1438">
      <w:pPr>
        <w:spacing w:line="288" w:lineRule="auto"/>
        <w:ind w:firstLine="420" w:firstLineChars="2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（4）招标（非招标）</w:t>
      </w:r>
      <w:r>
        <w:rPr>
          <w:rFonts w:hint="eastAsia" w:ascii="宋体" w:hAnsi="宋体" w:eastAsia="宋体" w:cs="宋体"/>
          <w:color w:val="auto"/>
          <w:kern w:val="0"/>
          <w:szCs w:val="21"/>
          <w:highlight w:val="none"/>
          <w:lang w:val="zh-CN"/>
        </w:rPr>
        <w:t>文件（含澄清或者修改文件）；</w:t>
      </w:r>
    </w:p>
    <w:p w14:paraId="78A43767">
      <w:pPr>
        <w:spacing w:line="288" w:lineRule="auto"/>
        <w:ind w:firstLine="420" w:firstLineChars="200"/>
        <w:rPr>
          <w:rFonts w:hint="eastAsia" w:ascii="宋体" w:hAnsi="宋体" w:eastAsia="宋体" w:cs="宋体"/>
          <w:snapToGrid w:val="0"/>
          <w:color w:val="auto"/>
          <w:szCs w:val="21"/>
          <w:highlight w:val="none"/>
        </w:rPr>
      </w:pPr>
      <w:r>
        <w:rPr>
          <w:rFonts w:hint="eastAsia" w:ascii="宋体" w:hAnsi="宋体" w:eastAsia="宋体" w:cs="宋体"/>
          <w:snapToGrid w:val="0"/>
          <w:color w:val="auto"/>
          <w:szCs w:val="21"/>
          <w:highlight w:val="none"/>
        </w:rPr>
        <w:t>（5）</w:t>
      </w:r>
      <w:r>
        <w:rPr>
          <w:rFonts w:hint="eastAsia" w:ascii="宋体" w:hAnsi="宋体" w:eastAsia="宋体" w:cs="宋体"/>
          <w:snapToGrid w:val="0"/>
          <w:color w:val="auto"/>
          <w:szCs w:val="21"/>
          <w:highlight w:val="none"/>
          <w:lang w:val="zh-CN"/>
        </w:rPr>
        <w:t>其他相关采购文件。</w:t>
      </w:r>
    </w:p>
    <w:p w14:paraId="5C87C507">
      <w:pPr>
        <w:spacing w:line="288"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spacing w:val="-6"/>
          <w:kern w:val="0"/>
          <w:szCs w:val="21"/>
          <w:highlight w:val="none"/>
        </w:rPr>
        <w:t>.</w:t>
      </w:r>
      <w:r>
        <w:rPr>
          <w:rFonts w:hint="eastAsia" w:ascii="宋体" w:hAnsi="宋体" w:eastAsia="宋体" w:cs="宋体"/>
          <w:color w:val="auto"/>
          <w:kern w:val="0"/>
          <w:szCs w:val="21"/>
          <w:highlight w:val="none"/>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pacing w:val="-6"/>
          <w:kern w:val="0"/>
          <w:szCs w:val="21"/>
          <w:highlight w:val="none"/>
        </w:rPr>
        <w:t>5.</w:t>
      </w:r>
      <w:r>
        <w:rPr>
          <w:rFonts w:hint="eastAsia" w:ascii="宋体" w:hAnsi="宋体" w:eastAsia="宋体" w:cs="宋体"/>
          <w:color w:val="auto"/>
          <w:kern w:val="0"/>
          <w:szCs w:val="21"/>
          <w:highlight w:val="none"/>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color w:val="auto"/>
          <w:kern w:val="0"/>
          <w:szCs w:val="21"/>
          <w:highlight w:val="none"/>
        </w:rPr>
      </w:pPr>
    </w:p>
    <w:p w14:paraId="77A0E00A">
      <w:pPr>
        <w:spacing w:line="288"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blPrEx>
          <w:tblCellMar>
            <w:top w:w="0" w:type="dxa"/>
            <w:left w:w="108" w:type="dxa"/>
            <w:bottom w:w="0" w:type="dxa"/>
            <w:right w:w="108" w:type="dxa"/>
          </w:tblCellMar>
        </w:tblPrEx>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委托代理人</w:t>
            </w:r>
            <w:r>
              <w:rPr>
                <w:rFonts w:hint="eastAsia" w:ascii="宋体" w:hAnsi="宋体" w:eastAsia="宋体" w:cs="宋体"/>
                <w:color w:val="auto"/>
                <w:kern w:val="0"/>
                <w:szCs w:val="21"/>
                <w:highlight w:val="none"/>
              </w:rPr>
              <w:t>：</w:t>
            </w:r>
          </w:p>
          <w:p w14:paraId="53AA975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w:t>
            </w:r>
            <w:r>
              <w:rPr>
                <w:rFonts w:hint="eastAsia" w:ascii="宋体" w:hAnsi="宋体" w:eastAsia="宋体" w:cs="宋体"/>
                <w:color w:val="auto"/>
                <w:kern w:val="0"/>
                <w:szCs w:val="21"/>
                <w:highlight w:val="none"/>
                <w:lang w:val="en-US" w:eastAsia="zh-CN"/>
              </w:rPr>
              <w:t>或委托代理人</w:t>
            </w:r>
            <w:r>
              <w:rPr>
                <w:rFonts w:hint="eastAsia" w:ascii="宋体" w:hAnsi="宋体" w:eastAsia="宋体" w:cs="宋体"/>
                <w:color w:val="auto"/>
                <w:kern w:val="0"/>
                <w:szCs w:val="21"/>
                <w:highlight w:val="none"/>
              </w:rPr>
              <w:t>：</w:t>
            </w:r>
          </w:p>
          <w:p w14:paraId="00DD47D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合同鉴证方（公章）：</w:t>
            </w:r>
          </w:p>
          <w:p w14:paraId="283B985C">
            <w:pPr>
              <w:keepNext w:val="0"/>
              <w:keepLines w:val="0"/>
              <w:suppressLineNumbers w:val="0"/>
              <w:spacing w:before="0" w:beforeAutospacing="0" w:after="0" w:afterAutospacing="0" w:line="288" w:lineRule="auto"/>
              <w:ind w:left="0" w:right="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p w14:paraId="1150D2A6">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w:t>
            </w:r>
          </w:p>
          <w:p w14:paraId="64ADD9E2">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地址：</w:t>
            </w:r>
          </w:p>
          <w:p w14:paraId="7C8C9A0D">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电话：</w:t>
            </w:r>
          </w:p>
          <w:p w14:paraId="38FED49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签字日期：      年    月    日</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03B1128D">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2025年1月（含）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5FA1CDA2">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标的</w:t>
      </w:r>
      <w:r>
        <w:rPr>
          <w:rFonts w:hint="eastAsia" w:ascii="宋体" w:hAnsi="宋体" w:eastAsia="宋体" w:cs="宋体"/>
          <w:color w:val="auto"/>
          <w:szCs w:val="21"/>
          <w:highlight w:val="none"/>
        </w:rPr>
        <w:t>配置清单</w:t>
      </w:r>
    </w:p>
    <w:p w14:paraId="50E6AA7E">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14:paraId="3869BA3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5C2BCDD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69" w:name="_Hlk81815656"/>
      <w:r>
        <w:rPr>
          <w:rFonts w:hint="eastAsia" w:ascii="宋体" w:hAnsi="宋体" w:eastAsia="宋体" w:cs="Times New Roman"/>
          <w:color w:val="auto"/>
          <w:spacing w:val="-6"/>
          <w:szCs w:val="21"/>
          <w:highlight w:val="none"/>
        </w:rPr>
        <w:t>（若属于中小企业）</w:t>
      </w:r>
      <w:bookmarkEnd w:id="69"/>
    </w:p>
    <w:p w14:paraId="2B8774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70" w:name="_Hlk81815359"/>
      <w:r>
        <w:rPr>
          <w:rFonts w:hint="eastAsia" w:ascii="宋体" w:hAnsi="宋体" w:eastAsia="宋体" w:cs="Times New Roman"/>
          <w:color w:val="auto"/>
          <w:spacing w:val="-6"/>
          <w:szCs w:val="21"/>
          <w:highlight w:val="none"/>
        </w:rPr>
        <w:t>（若属于监狱企业）</w:t>
      </w:r>
      <w:bookmarkEnd w:id="70"/>
    </w:p>
    <w:p w14:paraId="52033B6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71" w:name="OLE_LINK13"/>
      <w:bookmarkStart w:id="72" w:name="OLE_LINK14"/>
      <w:r>
        <w:rPr>
          <w:rFonts w:hint="eastAsia" w:ascii="宋体" w:hAnsi="宋体" w:eastAsia="宋体" w:cs="Times New Roman"/>
          <w:color w:val="auto"/>
          <w:spacing w:val="-6"/>
          <w:szCs w:val="21"/>
          <w:highlight w:val="none"/>
        </w:rPr>
        <w:t>残疾人福利性单位声明函</w:t>
      </w:r>
      <w:bookmarkEnd w:id="71"/>
      <w:bookmarkEnd w:id="72"/>
      <w:bookmarkStart w:id="73" w:name="_Hlk81815372"/>
      <w:r>
        <w:rPr>
          <w:rFonts w:hint="eastAsia" w:ascii="宋体" w:hAnsi="宋体" w:eastAsia="宋体" w:cs="Times New Roman"/>
          <w:color w:val="auto"/>
          <w:spacing w:val="-6"/>
          <w:szCs w:val="21"/>
          <w:highlight w:val="none"/>
        </w:rPr>
        <w:t>（若属于残疾人福利性单位）</w:t>
      </w:r>
      <w:bookmarkEnd w:id="73"/>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评分标准</w:t>
            </w:r>
          </w:p>
        </w:tc>
        <w:tc>
          <w:tcPr>
            <w:tcW w:w="967" w:type="dxa"/>
            <w:vAlign w:val="center"/>
          </w:tcPr>
          <w:p w14:paraId="1010DE04">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自评分</w:t>
            </w:r>
          </w:p>
        </w:tc>
        <w:tc>
          <w:tcPr>
            <w:tcW w:w="1053" w:type="dxa"/>
            <w:vAlign w:val="center"/>
          </w:tcPr>
          <w:p w14:paraId="0337F3B1">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自评依据</w:t>
            </w:r>
          </w:p>
        </w:tc>
        <w:tc>
          <w:tcPr>
            <w:tcW w:w="882" w:type="dxa"/>
            <w:vAlign w:val="center"/>
          </w:tcPr>
          <w:p w14:paraId="73D256A9">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ascii="宋体" w:hAnsi="宋体" w:eastAsia="宋体" w:cs="Times New Roman"/>
                <w:b/>
                <w:color w:val="auto"/>
                <w:spacing w:val="-6"/>
                <w:kern w:val="0"/>
                <w:szCs w:val="21"/>
                <w:highlight w:val="none"/>
              </w:rPr>
            </w:pPr>
            <w:r>
              <w:rPr>
                <w:rFonts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67A061C9">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26CFB74">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EBFEBEF">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371260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96CDE45">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4181745">
            <w:pPr>
              <w:adjustRightInd w:val="0"/>
              <w:snapToGrid w:val="0"/>
              <w:spacing w:line="288" w:lineRule="auto"/>
              <w:jc w:val="center"/>
              <w:rPr>
                <w:rFonts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CCE44BD">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3DA606E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7C8CD8B">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1E23A00">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498B1CA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1DEED49">
            <w:pPr>
              <w:adjustRightInd w:val="0"/>
              <w:snapToGrid w:val="0"/>
              <w:spacing w:line="288" w:lineRule="auto"/>
              <w:jc w:val="center"/>
              <w:rPr>
                <w:rFonts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ascii="宋体" w:hAnsi="宋体" w:eastAsia="宋体" w:cs="Times New Roman"/>
                <w:color w:val="auto"/>
                <w:kern w:val="0"/>
                <w:szCs w:val="21"/>
                <w:highlight w:val="none"/>
              </w:rPr>
            </w:pPr>
          </w:p>
        </w:tc>
        <w:tc>
          <w:tcPr>
            <w:tcW w:w="2091" w:type="dxa"/>
            <w:vAlign w:val="center"/>
          </w:tcPr>
          <w:p w14:paraId="5DBBAE71">
            <w:pPr>
              <w:adjustRightInd w:val="0"/>
              <w:snapToGrid w:val="0"/>
              <w:spacing w:line="288" w:lineRule="auto"/>
              <w:jc w:val="center"/>
              <w:rPr>
                <w:rFonts w:ascii="宋体" w:hAnsi="宋体" w:eastAsia="宋体" w:cs="Times New Roman"/>
                <w:color w:val="auto"/>
                <w:kern w:val="0"/>
                <w:szCs w:val="21"/>
                <w:highlight w:val="none"/>
              </w:rPr>
            </w:pPr>
          </w:p>
        </w:tc>
        <w:tc>
          <w:tcPr>
            <w:tcW w:w="709" w:type="dxa"/>
            <w:vAlign w:val="center"/>
          </w:tcPr>
          <w:p w14:paraId="18E2C739">
            <w:pPr>
              <w:adjustRightInd w:val="0"/>
              <w:snapToGrid w:val="0"/>
              <w:spacing w:line="288" w:lineRule="auto"/>
              <w:jc w:val="center"/>
              <w:rPr>
                <w:rFonts w:ascii="宋体" w:hAnsi="宋体" w:eastAsia="宋体" w:cs="Times New Roman"/>
                <w:color w:val="auto"/>
                <w:kern w:val="0"/>
                <w:szCs w:val="21"/>
                <w:highlight w:val="none"/>
              </w:rPr>
            </w:pPr>
          </w:p>
        </w:tc>
        <w:tc>
          <w:tcPr>
            <w:tcW w:w="3040" w:type="dxa"/>
            <w:vAlign w:val="center"/>
          </w:tcPr>
          <w:p w14:paraId="0CDB96F7">
            <w:pPr>
              <w:adjustRightInd w:val="0"/>
              <w:snapToGrid w:val="0"/>
              <w:spacing w:line="288" w:lineRule="auto"/>
              <w:rPr>
                <w:rFonts w:ascii="宋体" w:hAnsi="宋体" w:eastAsia="宋体" w:cs="Times New Roman"/>
                <w:color w:val="auto"/>
                <w:kern w:val="0"/>
                <w:szCs w:val="21"/>
                <w:highlight w:val="none"/>
              </w:rPr>
            </w:pPr>
          </w:p>
        </w:tc>
        <w:tc>
          <w:tcPr>
            <w:tcW w:w="967" w:type="dxa"/>
            <w:vAlign w:val="center"/>
          </w:tcPr>
          <w:p w14:paraId="7F7F7B25">
            <w:pPr>
              <w:adjustRightInd w:val="0"/>
              <w:snapToGrid w:val="0"/>
              <w:spacing w:line="288" w:lineRule="auto"/>
              <w:jc w:val="center"/>
              <w:rPr>
                <w:rFonts w:ascii="宋体" w:hAnsi="宋体" w:eastAsia="宋体" w:cs="Times New Roman"/>
                <w:color w:val="auto"/>
                <w:szCs w:val="21"/>
                <w:highlight w:val="none"/>
              </w:rPr>
            </w:pPr>
          </w:p>
        </w:tc>
        <w:tc>
          <w:tcPr>
            <w:tcW w:w="1053" w:type="dxa"/>
            <w:vAlign w:val="center"/>
          </w:tcPr>
          <w:p w14:paraId="24ED60E0">
            <w:pPr>
              <w:adjustRightInd w:val="0"/>
              <w:snapToGrid w:val="0"/>
              <w:spacing w:line="288" w:lineRule="auto"/>
              <w:jc w:val="center"/>
              <w:rPr>
                <w:rFonts w:ascii="宋体" w:hAnsi="宋体" w:eastAsia="宋体" w:cs="Times New Roman"/>
                <w:color w:val="auto"/>
                <w:szCs w:val="21"/>
                <w:highlight w:val="none"/>
              </w:rPr>
            </w:pPr>
          </w:p>
        </w:tc>
        <w:tc>
          <w:tcPr>
            <w:tcW w:w="882" w:type="dxa"/>
          </w:tcPr>
          <w:p w14:paraId="6FF943A5">
            <w:pPr>
              <w:adjustRightInd w:val="0"/>
              <w:snapToGrid w:val="0"/>
              <w:spacing w:line="288" w:lineRule="auto"/>
              <w:jc w:val="center"/>
              <w:rPr>
                <w:rFonts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988AA18">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350FAB5">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634BDF2">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B7DCA0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CDE8DFF">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67F5E35">
            <w:pPr>
              <w:adjustRightInd w:val="0"/>
              <w:snapToGrid w:val="0"/>
              <w:spacing w:line="288" w:lineRule="auto"/>
              <w:jc w:val="center"/>
              <w:rPr>
                <w:rFonts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EF86075">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4FC54D08">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EC772B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75267D58">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DF7BCF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6BB06893">
            <w:pPr>
              <w:adjustRightInd w:val="0"/>
              <w:snapToGrid w:val="0"/>
              <w:spacing w:line="288" w:lineRule="auto"/>
              <w:jc w:val="center"/>
              <w:rPr>
                <w:rFonts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CA70FF0">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12895C5B">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2531E7D4">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2D5DBCD">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21794A">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2D7FFBEC">
            <w:pPr>
              <w:adjustRightInd w:val="0"/>
              <w:snapToGrid w:val="0"/>
              <w:spacing w:line="288" w:lineRule="auto"/>
              <w:jc w:val="center"/>
              <w:rPr>
                <w:rFonts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5A035756">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86885CE">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12C7B4F3">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1BADE944">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5C96540D">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325212E9">
            <w:pPr>
              <w:adjustRightInd w:val="0"/>
              <w:snapToGrid w:val="0"/>
              <w:spacing w:line="288" w:lineRule="auto"/>
              <w:jc w:val="center"/>
              <w:rPr>
                <w:rFonts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9105D1E">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87A7F51">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6B782F1E">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5726B91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1A9517CC">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4B47A91">
            <w:pPr>
              <w:adjustRightInd w:val="0"/>
              <w:snapToGrid w:val="0"/>
              <w:spacing w:line="288" w:lineRule="auto"/>
              <w:jc w:val="center"/>
              <w:rPr>
                <w:rFonts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756F83FC">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0D7F238C">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6B1C848">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6E2D0459">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242841C1">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E2E8E77">
            <w:pPr>
              <w:adjustRightInd w:val="0"/>
              <w:snapToGrid w:val="0"/>
              <w:spacing w:line="288" w:lineRule="auto"/>
              <w:jc w:val="center"/>
              <w:rPr>
                <w:rFonts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4F0247A2">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76FEA05A">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3B596F6D">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F8DCEC6">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74BD4DD0">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43CCDCD9">
            <w:pPr>
              <w:adjustRightInd w:val="0"/>
              <w:snapToGrid w:val="0"/>
              <w:spacing w:line="288" w:lineRule="auto"/>
              <w:jc w:val="center"/>
              <w:rPr>
                <w:rFonts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ascii="宋体" w:hAnsi="宋体" w:eastAsia="宋体" w:cs="Times New Roman"/>
                <w:color w:val="auto"/>
                <w:spacing w:val="-6"/>
                <w:szCs w:val="21"/>
                <w:highlight w:val="none"/>
              </w:rPr>
            </w:pPr>
          </w:p>
        </w:tc>
        <w:tc>
          <w:tcPr>
            <w:tcW w:w="2091" w:type="dxa"/>
            <w:vAlign w:val="center"/>
          </w:tcPr>
          <w:p w14:paraId="07EB2B5B">
            <w:pPr>
              <w:adjustRightInd w:val="0"/>
              <w:snapToGrid w:val="0"/>
              <w:spacing w:line="288" w:lineRule="auto"/>
              <w:jc w:val="center"/>
              <w:rPr>
                <w:rFonts w:ascii="宋体" w:hAnsi="宋体" w:eastAsia="宋体" w:cs="Times New Roman"/>
                <w:color w:val="auto"/>
                <w:spacing w:val="-6"/>
                <w:szCs w:val="21"/>
                <w:highlight w:val="none"/>
              </w:rPr>
            </w:pPr>
          </w:p>
        </w:tc>
        <w:tc>
          <w:tcPr>
            <w:tcW w:w="709" w:type="dxa"/>
            <w:vAlign w:val="center"/>
          </w:tcPr>
          <w:p w14:paraId="204746E0">
            <w:pPr>
              <w:adjustRightInd w:val="0"/>
              <w:snapToGrid w:val="0"/>
              <w:spacing w:line="288" w:lineRule="auto"/>
              <w:jc w:val="center"/>
              <w:rPr>
                <w:rFonts w:ascii="宋体" w:hAnsi="宋体" w:eastAsia="宋体" w:cs="Times New Roman"/>
                <w:color w:val="auto"/>
                <w:spacing w:val="-6"/>
                <w:szCs w:val="21"/>
                <w:highlight w:val="none"/>
              </w:rPr>
            </w:pPr>
          </w:p>
        </w:tc>
        <w:tc>
          <w:tcPr>
            <w:tcW w:w="3040" w:type="dxa"/>
            <w:vAlign w:val="center"/>
          </w:tcPr>
          <w:p w14:paraId="597B3C56">
            <w:pPr>
              <w:adjustRightInd w:val="0"/>
              <w:snapToGrid w:val="0"/>
              <w:spacing w:line="288" w:lineRule="auto"/>
              <w:rPr>
                <w:rFonts w:ascii="宋体" w:hAnsi="宋体" w:eastAsia="宋体" w:cs="Times New Roman"/>
                <w:color w:val="auto"/>
                <w:spacing w:val="-6"/>
                <w:szCs w:val="21"/>
                <w:highlight w:val="none"/>
              </w:rPr>
            </w:pPr>
          </w:p>
        </w:tc>
        <w:tc>
          <w:tcPr>
            <w:tcW w:w="967" w:type="dxa"/>
            <w:vAlign w:val="center"/>
          </w:tcPr>
          <w:p w14:paraId="0574F4C5">
            <w:pPr>
              <w:adjustRightInd w:val="0"/>
              <w:snapToGrid w:val="0"/>
              <w:spacing w:line="288" w:lineRule="auto"/>
              <w:jc w:val="center"/>
              <w:rPr>
                <w:rFonts w:ascii="宋体" w:hAnsi="宋体" w:eastAsia="宋体" w:cs="Times New Roman"/>
                <w:color w:val="auto"/>
                <w:spacing w:val="-6"/>
                <w:szCs w:val="21"/>
                <w:highlight w:val="none"/>
              </w:rPr>
            </w:pPr>
          </w:p>
        </w:tc>
        <w:tc>
          <w:tcPr>
            <w:tcW w:w="1053" w:type="dxa"/>
            <w:vAlign w:val="center"/>
          </w:tcPr>
          <w:p w14:paraId="36E7D013">
            <w:pPr>
              <w:adjustRightInd w:val="0"/>
              <w:snapToGrid w:val="0"/>
              <w:spacing w:line="288" w:lineRule="auto"/>
              <w:jc w:val="center"/>
              <w:rPr>
                <w:rFonts w:ascii="宋体" w:hAnsi="宋体" w:eastAsia="宋体" w:cs="Times New Roman"/>
                <w:color w:val="auto"/>
                <w:spacing w:val="-6"/>
                <w:szCs w:val="21"/>
                <w:highlight w:val="none"/>
              </w:rPr>
            </w:pPr>
          </w:p>
        </w:tc>
        <w:tc>
          <w:tcPr>
            <w:tcW w:w="882" w:type="dxa"/>
          </w:tcPr>
          <w:p w14:paraId="57667B72">
            <w:pPr>
              <w:adjustRightInd w:val="0"/>
              <w:snapToGrid w:val="0"/>
              <w:spacing w:line="288" w:lineRule="auto"/>
              <w:jc w:val="center"/>
              <w:rPr>
                <w:rFonts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0E71DE98">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杭州电子科技大学光场调控全息成像系统</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QSZBB250277ZHGK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adjustRightInd w:val="0"/>
              <w:snapToGrid w:val="0"/>
              <w:spacing w:line="288" w:lineRule="auto"/>
              <w:rPr>
                <w:rFonts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adjustRightInd w:val="0"/>
              <w:snapToGrid w:val="0"/>
              <w:spacing w:line="288" w:lineRule="auto"/>
              <w:rPr>
                <w:rFonts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adjustRightInd w:val="0"/>
              <w:snapToGrid w:val="0"/>
              <w:spacing w:line="288" w:lineRule="auto"/>
              <w:rPr>
                <w:rFonts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adjustRightInd w:val="0"/>
              <w:snapToGrid w:val="0"/>
              <w:spacing w:line="288" w:lineRule="auto"/>
              <w:rPr>
                <w:rFonts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adjustRightInd w:val="0"/>
              <w:snapToGrid w:val="0"/>
              <w:spacing w:line="288" w:lineRule="auto"/>
              <w:rPr>
                <w:rFonts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adjustRightInd w:val="0"/>
              <w:snapToGrid w:val="0"/>
              <w:spacing w:line="288" w:lineRule="auto"/>
              <w:rPr>
                <w:rFonts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adjustRightInd w:val="0"/>
              <w:snapToGrid w:val="0"/>
              <w:spacing w:line="288" w:lineRule="auto"/>
              <w:rPr>
                <w:rFonts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杭州电子科技大学光场调控全息成像系统</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QSZBB250277ZHGK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2025年1月（含）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adjustRightInd w:val="0"/>
              <w:snapToGrid w:val="0"/>
              <w:spacing w:line="288" w:lineRule="auto"/>
              <w:rPr>
                <w:rFonts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2025年1月（含）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光场调控全息成像系统</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QSZBB250277ZHGK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adjustRightInd w:val="0"/>
              <w:snapToGrid w:val="0"/>
              <w:spacing w:line="288" w:lineRule="auto"/>
              <w:rPr>
                <w:rFonts w:ascii="宋体" w:hAnsi="宋体" w:eastAsia="宋体" w:cs="宋体"/>
                <w:color w:val="auto"/>
                <w:szCs w:val="21"/>
                <w:highlight w:val="none"/>
              </w:rPr>
            </w:pPr>
          </w:p>
        </w:tc>
        <w:tc>
          <w:tcPr>
            <w:tcW w:w="2574" w:type="dxa"/>
            <w:vAlign w:val="center"/>
          </w:tcPr>
          <w:p w14:paraId="702CD0E8">
            <w:pPr>
              <w:adjustRightInd w:val="0"/>
              <w:snapToGrid w:val="0"/>
              <w:spacing w:line="288" w:lineRule="auto"/>
              <w:rPr>
                <w:rFonts w:ascii="宋体" w:hAnsi="宋体" w:eastAsia="宋体" w:cs="宋体"/>
                <w:color w:val="auto"/>
                <w:szCs w:val="21"/>
                <w:highlight w:val="none"/>
              </w:rPr>
            </w:pPr>
          </w:p>
        </w:tc>
        <w:tc>
          <w:tcPr>
            <w:tcW w:w="2124" w:type="dxa"/>
            <w:vAlign w:val="center"/>
          </w:tcPr>
          <w:p w14:paraId="602EFA5A">
            <w:pPr>
              <w:adjustRightInd w:val="0"/>
              <w:snapToGrid w:val="0"/>
              <w:spacing w:line="288" w:lineRule="auto"/>
              <w:rPr>
                <w:rFonts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adjustRightInd w:val="0"/>
              <w:snapToGrid w:val="0"/>
              <w:spacing w:line="288" w:lineRule="auto"/>
              <w:rPr>
                <w:rFonts w:ascii="宋体" w:hAnsi="宋体" w:eastAsia="宋体" w:cs="宋体"/>
                <w:color w:val="auto"/>
                <w:szCs w:val="21"/>
                <w:highlight w:val="none"/>
              </w:rPr>
            </w:pPr>
          </w:p>
        </w:tc>
        <w:tc>
          <w:tcPr>
            <w:tcW w:w="2574" w:type="dxa"/>
            <w:vAlign w:val="center"/>
          </w:tcPr>
          <w:p w14:paraId="3887E5E7">
            <w:pPr>
              <w:adjustRightInd w:val="0"/>
              <w:snapToGrid w:val="0"/>
              <w:spacing w:line="288" w:lineRule="auto"/>
              <w:rPr>
                <w:rFonts w:ascii="宋体" w:hAnsi="宋体" w:eastAsia="宋体" w:cs="宋体"/>
                <w:color w:val="auto"/>
                <w:szCs w:val="21"/>
                <w:highlight w:val="none"/>
              </w:rPr>
            </w:pPr>
          </w:p>
        </w:tc>
        <w:tc>
          <w:tcPr>
            <w:tcW w:w="2124" w:type="dxa"/>
            <w:vAlign w:val="center"/>
          </w:tcPr>
          <w:p w14:paraId="376258A4">
            <w:pPr>
              <w:adjustRightInd w:val="0"/>
              <w:snapToGrid w:val="0"/>
              <w:spacing w:line="288" w:lineRule="auto"/>
              <w:rPr>
                <w:rFonts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adjustRightInd w:val="0"/>
              <w:snapToGrid w:val="0"/>
              <w:spacing w:line="288" w:lineRule="auto"/>
              <w:rPr>
                <w:rFonts w:ascii="宋体" w:hAnsi="宋体" w:eastAsia="宋体" w:cs="宋体"/>
                <w:color w:val="auto"/>
                <w:szCs w:val="21"/>
                <w:highlight w:val="none"/>
              </w:rPr>
            </w:pPr>
          </w:p>
        </w:tc>
        <w:tc>
          <w:tcPr>
            <w:tcW w:w="2574" w:type="dxa"/>
            <w:vAlign w:val="center"/>
          </w:tcPr>
          <w:p w14:paraId="2E789987">
            <w:pPr>
              <w:adjustRightInd w:val="0"/>
              <w:snapToGrid w:val="0"/>
              <w:spacing w:line="288" w:lineRule="auto"/>
              <w:rPr>
                <w:rFonts w:ascii="宋体" w:hAnsi="宋体" w:eastAsia="宋体" w:cs="宋体"/>
                <w:color w:val="auto"/>
                <w:szCs w:val="21"/>
                <w:highlight w:val="none"/>
              </w:rPr>
            </w:pPr>
          </w:p>
        </w:tc>
        <w:tc>
          <w:tcPr>
            <w:tcW w:w="2124" w:type="dxa"/>
            <w:vAlign w:val="center"/>
          </w:tcPr>
          <w:p w14:paraId="2374EA9A">
            <w:pPr>
              <w:adjustRightInd w:val="0"/>
              <w:snapToGrid w:val="0"/>
              <w:spacing w:line="288" w:lineRule="auto"/>
              <w:rPr>
                <w:rFonts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4AB6CD2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69A44C64">
            <w:pPr>
              <w:adjustRightInd w:val="0"/>
              <w:snapToGrid w:val="0"/>
              <w:spacing w:line="288" w:lineRule="auto"/>
              <w:jc w:val="left"/>
              <w:rPr>
                <w:rFonts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5AC095DC">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9819366">
            <w:pPr>
              <w:adjustRightInd w:val="0"/>
              <w:snapToGrid w:val="0"/>
              <w:spacing w:line="288" w:lineRule="auto"/>
              <w:jc w:val="left"/>
              <w:rPr>
                <w:rFonts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adjustRightInd w:val="0"/>
              <w:snapToGrid w:val="0"/>
              <w:spacing w:line="288" w:lineRule="auto"/>
              <w:jc w:val="left"/>
              <w:rPr>
                <w:rFonts w:ascii="宋体" w:hAnsi="宋体" w:eastAsia="宋体" w:cs="宋体"/>
                <w:color w:val="auto"/>
                <w:szCs w:val="21"/>
                <w:highlight w:val="none"/>
              </w:rPr>
            </w:pPr>
          </w:p>
        </w:tc>
        <w:tc>
          <w:tcPr>
            <w:tcW w:w="2574" w:type="dxa"/>
            <w:vAlign w:val="center"/>
          </w:tcPr>
          <w:p w14:paraId="1BB8933B">
            <w:pPr>
              <w:adjustRightInd w:val="0"/>
              <w:snapToGrid w:val="0"/>
              <w:spacing w:line="288" w:lineRule="auto"/>
              <w:jc w:val="left"/>
              <w:rPr>
                <w:rFonts w:ascii="宋体" w:hAnsi="宋体" w:eastAsia="宋体" w:cs="宋体"/>
                <w:color w:val="auto"/>
                <w:szCs w:val="21"/>
                <w:highlight w:val="none"/>
              </w:rPr>
            </w:pPr>
          </w:p>
        </w:tc>
        <w:tc>
          <w:tcPr>
            <w:tcW w:w="2124" w:type="dxa"/>
            <w:vAlign w:val="center"/>
          </w:tcPr>
          <w:p w14:paraId="4EFFEE27">
            <w:pPr>
              <w:adjustRightInd w:val="0"/>
              <w:snapToGrid w:val="0"/>
              <w:spacing w:line="288" w:lineRule="auto"/>
              <w:jc w:val="left"/>
              <w:rPr>
                <w:rFonts w:ascii="宋体" w:hAnsi="宋体" w:eastAsia="宋体" w:cs="宋体"/>
                <w:color w:val="auto"/>
                <w:szCs w:val="21"/>
                <w:highlight w:val="none"/>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0DB592A0">
            <w:pPr>
              <w:adjustRightInd w:val="0"/>
              <w:snapToGrid w:val="0"/>
              <w:spacing w:line="288" w:lineRule="auto"/>
              <w:rPr>
                <w:rFonts w:ascii="宋体" w:hAnsi="宋体" w:eastAsia="宋体" w:cs="宋体"/>
                <w:color w:val="auto"/>
                <w:szCs w:val="21"/>
                <w:highlight w:val="none"/>
              </w:rPr>
            </w:pPr>
          </w:p>
        </w:tc>
        <w:tc>
          <w:tcPr>
            <w:tcW w:w="2574" w:type="dxa"/>
            <w:vAlign w:val="center"/>
          </w:tcPr>
          <w:p w14:paraId="58B8E02A">
            <w:pPr>
              <w:adjustRightInd w:val="0"/>
              <w:snapToGrid w:val="0"/>
              <w:spacing w:line="288" w:lineRule="auto"/>
              <w:rPr>
                <w:rFonts w:ascii="宋体" w:hAnsi="宋体" w:eastAsia="宋体" w:cs="宋体"/>
                <w:color w:val="auto"/>
                <w:szCs w:val="21"/>
                <w:highlight w:val="none"/>
              </w:rPr>
            </w:pPr>
          </w:p>
        </w:tc>
        <w:tc>
          <w:tcPr>
            <w:tcW w:w="2124" w:type="dxa"/>
            <w:vAlign w:val="center"/>
          </w:tcPr>
          <w:p w14:paraId="4091EEC4">
            <w:pPr>
              <w:adjustRightInd w:val="0"/>
              <w:snapToGrid w:val="0"/>
              <w:spacing w:line="288" w:lineRule="auto"/>
              <w:rPr>
                <w:rFonts w:ascii="宋体" w:hAnsi="宋体" w:eastAsia="宋体" w:cs="宋体"/>
                <w:color w:val="auto"/>
                <w:szCs w:val="21"/>
                <w:highlight w:val="none"/>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DD349F1">
            <w:pPr>
              <w:adjustRightInd w:val="0"/>
              <w:snapToGrid w:val="0"/>
              <w:spacing w:line="288" w:lineRule="auto"/>
              <w:rPr>
                <w:rFonts w:ascii="宋体" w:hAnsi="宋体" w:eastAsia="宋体" w:cs="宋体"/>
                <w:color w:val="auto"/>
                <w:szCs w:val="21"/>
                <w:highlight w:val="none"/>
              </w:rPr>
            </w:pPr>
          </w:p>
        </w:tc>
        <w:tc>
          <w:tcPr>
            <w:tcW w:w="2574" w:type="dxa"/>
            <w:vAlign w:val="center"/>
          </w:tcPr>
          <w:p w14:paraId="486C04ED">
            <w:pPr>
              <w:adjustRightInd w:val="0"/>
              <w:snapToGrid w:val="0"/>
              <w:spacing w:line="288" w:lineRule="auto"/>
              <w:rPr>
                <w:rFonts w:ascii="宋体" w:hAnsi="宋体" w:eastAsia="宋体" w:cs="宋体"/>
                <w:color w:val="auto"/>
                <w:szCs w:val="21"/>
                <w:highlight w:val="none"/>
              </w:rPr>
            </w:pPr>
          </w:p>
        </w:tc>
        <w:tc>
          <w:tcPr>
            <w:tcW w:w="2124" w:type="dxa"/>
            <w:vAlign w:val="center"/>
          </w:tcPr>
          <w:p w14:paraId="558791D1">
            <w:pPr>
              <w:adjustRightInd w:val="0"/>
              <w:snapToGrid w:val="0"/>
              <w:spacing w:line="288" w:lineRule="auto"/>
              <w:rPr>
                <w:rFonts w:ascii="宋体" w:hAnsi="宋体" w:eastAsia="宋体" w:cs="宋体"/>
                <w:color w:val="auto"/>
                <w:szCs w:val="21"/>
                <w:highlight w:val="none"/>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6A6779F5">
            <w:pPr>
              <w:adjustRightInd w:val="0"/>
              <w:snapToGrid w:val="0"/>
              <w:spacing w:line="288" w:lineRule="auto"/>
              <w:rPr>
                <w:rFonts w:ascii="宋体" w:hAnsi="宋体" w:eastAsia="宋体" w:cs="宋体"/>
                <w:color w:val="auto"/>
                <w:szCs w:val="21"/>
                <w:highlight w:val="none"/>
              </w:rPr>
            </w:pPr>
          </w:p>
        </w:tc>
        <w:tc>
          <w:tcPr>
            <w:tcW w:w="2574" w:type="dxa"/>
            <w:vAlign w:val="center"/>
          </w:tcPr>
          <w:p w14:paraId="1C372D07">
            <w:pPr>
              <w:adjustRightInd w:val="0"/>
              <w:snapToGrid w:val="0"/>
              <w:spacing w:line="288" w:lineRule="auto"/>
              <w:rPr>
                <w:rFonts w:ascii="宋体" w:hAnsi="宋体" w:eastAsia="宋体" w:cs="宋体"/>
                <w:color w:val="auto"/>
                <w:szCs w:val="21"/>
                <w:highlight w:val="none"/>
              </w:rPr>
            </w:pPr>
          </w:p>
        </w:tc>
        <w:tc>
          <w:tcPr>
            <w:tcW w:w="2124" w:type="dxa"/>
            <w:vAlign w:val="center"/>
          </w:tcPr>
          <w:p w14:paraId="0680D771">
            <w:pPr>
              <w:adjustRightInd w:val="0"/>
              <w:snapToGrid w:val="0"/>
              <w:spacing w:line="288" w:lineRule="auto"/>
              <w:rPr>
                <w:rFonts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1B73E61F">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标的</w:t>
      </w:r>
      <w:r>
        <w:rPr>
          <w:rFonts w:hint="eastAsia" w:ascii="宋体" w:hAnsi="宋体" w:eastAsia="宋体" w:cs="宋体"/>
          <w:b/>
          <w:color w:val="auto"/>
          <w:spacing w:val="-6"/>
          <w:szCs w:val="21"/>
          <w:highlight w:val="none"/>
        </w:rPr>
        <w:t>配置清单</w:t>
      </w:r>
      <w:r>
        <w:rPr>
          <w:rFonts w:hint="eastAsia" w:ascii="宋体" w:hAnsi="宋体" w:eastAsia="宋体" w:cs="宋体"/>
          <w:color w:val="auto"/>
          <w:spacing w:val="-6"/>
          <w:szCs w:val="21"/>
          <w:highlight w:val="none"/>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ascii="宋体" w:hAnsi="宋体" w:eastAsia="宋体" w:cs="宋体"/>
          <w:color w:val="auto"/>
          <w:spacing w:val="-6"/>
          <w:szCs w:val="21"/>
          <w:highlight w:val="none"/>
        </w:rPr>
      </w:pPr>
    </w:p>
    <w:p w14:paraId="0AC09C55">
      <w:pPr>
        <w:adjustRightInd w:val="0"/>
        <w:snapToGrid w:val="0"/>
        <w:spacing w:line="360"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注：</w:t>
      </w:r>
    </w:p>
    <w:p w14:paraId="54D3D16A">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★2.服务项目不涉及提供货物的，规格型号、品牌、制造商、产地的可不填写；</w:t>
      </w:r>
    </w:p>
    <w:p w14:paraId="43AFC419">
      <w:pPr>
        <w:adjustRightInd w:val="0"/>
        <w:snapToGrid w:val="0"/>
        <w:spacing w:line="288" w:lineRule="auto"/>
        <w:rPr>
          <w:rFonts w:ascii="宋体" w:hAnsi="宋体" w:eastAsia="宋体" w:cs="宋体"/>
          <w:color w:val="auto"/>
          <w:spacing w:val="-6"/>
          <w:szCs w:val="21"/>
          <w:highlight w:val="none"/>
        </w:rPr>
      </w:pPr>
      <w:r>
        <w:rPr>
          <w:rFonts w:hint="eastAsia" w:ascii="宋体" w:hAnsi="宋体" w:eastAsia="宋体" w:cs="宋体"/>
          <w:bCs/>
          <w:color w:val="auto"/>
          <w:spacing w:val="-6"/>
          <w:szCs w:val="21"/>
          <w:highlight w:val="none"/>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highlight w:val="none"/>
        </w:rPr>
      </w:pPr>
    </w:p>
    <w:p w14:paraId="4019593B">
      <w:pPr>
        <w:adjustRightInd w:val="0"/>
        <w:snapToGrid w:val="0"/>
        <w:spacing w:line="288" w:lineRule="auto"/>
        <w:rPr>
          <w:rFonts w:hint="eastAsia" w:ascii="宋体" w:hAnsi="宋体" w:eastAsia="宋体" w:cs="Times New Roman"/>
          <w:b/>
          <w:bCs/>
          <w:color w:val="auto"/>
          <w:spacing w:val="-6"/>
          <w:szCs w:val="21"/>
          <w:highlight w:val="none"/>
        </w:rPr>
      </w:pPr>
    </w:p>
    <w:p w14:paraId="6027D0A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9776EE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8C0123">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14:paraId="4244FB24">
      <w:pPr>
        <w:adjustRightInd w:val="0"/>
        <w:snapToGrid w:val="0"/>
        <w:spacing w:line="288" w:lineRule="auto"/>
        <w:rPr>
          <w:rFonts w:ascii="宋体" w:hAnsi="宋体" w:eastAsia="宋体" w:cs="宋体"/>
          <w:color w:val="auto"/>
          <w:szCs w:val="21"/>
          <w:highlight w:val="none"/>
        </w:rPr>
      </w:pPr>
    </w:p>
    <w:p w14:paraId="3CF17650">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14:paraId="4A3D20F3">
      <w:pPr>
        <w:adjustRightInd w:val="0"/>
        <w:snapToGrid w:val="0"/>
        <w:spacing w:line="288" w:lineRule="auto"/>
        <w:rPr>
          <w:rFonts w:ascii="宋体" w:hAnsi="宋体" w:eastAsia="宋体" w:cs="宋体"/>
          <w:b/>
          <w:color w:val="auto"/>
          <w:spacing w:val="-6"/>
          <w:szCs w:val="21"/>
          <w:highlight w:val="none"/>
        </w:rPr>
      </w:pPr>
    </w:p>
    <w:p w14:paraId="59067040">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14:paraId="7E107322">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14:paraId="7AA3B0DC">
      <w:pPr>
        <w:adjustRightInd w:val="0"/>
        <w:snapToGrid w:val="0"/>
        <w:spacing w:line="288" w:lineRule="auto"/>
        <w:rPr>
          <w:rFonts w:ascii="宋体" w:hAnsi="宋体" w:eastAsia="宋体" w:cs="宋体"/>
          <w:b/>
          <w:color w:val="auto"/>
          <w:spacing w:val="-6"/>
          <w:szCs w:val="21"/>
          <w:highlight w:val="none"/>
        </w:rPr>
      </w:pPr>
    </w:p>
    <w:p w14:paraId="5F957607">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14:paraId="4DCA850A">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ascii="宋体" w:hAnsi="宋体" w:eastAsia="宋体" w:cs="Times New Roman"/>
          <w:b/>
          <w:color w:val="auto"/>
          <w:szCs w:val="21"/>
          <w:highlight w:val="none"/>
        </w:rPr>
      </w:pPr>
    </w:p>
    <w:p w14:paraId="278CC9F6">
      <w:pPr>
        <w:adjustRightInd w:val="0"/>
        <w:snapToGrid w:val="0"/>
        <w:spacing w:line="288" w:lineRule="auto"/>
        <w:rPr>
          <w:rFonts w:ascii="宋体" w:hAnsi="宋体" w:eastAsia="宋体" w:cs="Times New Roman"/>
          <w:b/>
          <w:color w:val="auto"/>
          <w:szCs w:val="21"/>
          <w:highlight w:val="none"/>
        </w:rPr>
      </w:pPr>
    </w:p>
    <w:p w14:paraId="3E31F522">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14:paraId="4C9A83FC">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ascii="宋体" w:hAnsi="宋体" w:eastAsia="宋体" w:cs="宋体"/>
          <w:b/>
          <w:color w:val="auto"/>
          <w:spacing w:val="-6"/>
          <w:szCs w:val="21"/>
          <w:highlight w:val="none"/>
        </w:rPr>
      </w:pPr>
    </w:p>
    <w:p w14:paraId="455EFF2B">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14:paraId="619B5759">
      <w:pPr>
        <w:widowControl/>
        <w:adjustRightInd w:val="0"/>
        <w:snapToGrid w:val="0"/>
        <w:spacing w:line="288" w:lineRule="auto"/>
        <w:jc w:val="left"/>
        <w:rPr>
          <w:rFonts w:ascii="宋体" w:hAnsi="宋体" w:eastAsia="宋体" w:cs="宋体"/>
          <w:b/>
          <w:color w:val="auto"/>
          <w:spacing w:val="-6"/>
          <w:szCs w:val="21"/>
          <w:highlight w:val="none"/>
        </w:rPr>
      </w:pP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光场调控全息成像系统</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QSZBB250277ZHGK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4" w:name="_Hlk177717733"/>
            <w:r>
              <w:rPr>
                <w:rFonts w:hint="eastAsia" w:ascii="宋体" w:hAnsi="宋体" w:eastAsia="宋体" w:cs="宋体"/>
                <w:b/>
                <w:bCs/>
                <w:color w:val="auto"/>
                <w:sz w:val="21"/>
                <w:szCs w:val="21"/>
                <w:highlight w:val="none"/>
              </w:rPr>
              <w:t>规格型号</w:t>
            </w:r>
          </w:p>
          <w:p w14:paraId="6654D31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adjustRightInd w:val="0"/>
              <w:snapToGrid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adjustRightInd w:val="0"/>
              <w:snapToGrid w:val="0"/>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adjustRightInd w:val="0"/>
              <w:snapToGrid w:val="0"/>
              <w:spacing w:line="360" w:lineRule="auto"/>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adjustRightInd w:val="0"/>
              <w:snapToGrid w:val="0"/>
              <w:spacing w:line="360" w:lineRule="auto"/>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adjustRightInd w:val="0"/>
              <w:snapToGrid w:val="0"/>
              <w:spacing w:line="288" w:lineRule="auto"/>
              <w:rPr>
                <w:rFonts w:ascii="宋体" w:hAnsi="宋体" w:eastAsia="宋体" w:cs="宋体"/>
                <w:b/>
                <w:bCs/>
                <w:color w:val="auto"/>
                <w:szCs w:val="21"/>
                <w:highlight w:val="none"/>
              </w:rPr>
            </w:pPr>
          </w:p>
          <w:p w14:paraId="0C631DF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adjustRightInd w:val="0"/>
              <w:snapToGrid w:val="0"/>
              <w:spacing w:line="288" w:lineRule="auto"/>
              <w:rPr>
                <w:rFonts w:ascii="宋体" w:hAnsi="宋体" w:eastAsia="宋体" w:cs="宋体"/>
                <w:b/>
                <w:bCs/>
                <w:color w:val="auto"/>
                <w:szCs w:val="21"/>
                <w:highlight w:val="none"/>
              </w:rPr>
            </w:pPr>
          </w:p>
          <w:p w14:paraId="5FEFE13F">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adjustRightInd w:val="0"/>
              <w:snapToGrid w:val="0"/>
              <w:spacing w:line="288" w:lineRule="auto"/>
              <w:rPr>
                <w:rFonts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5BFEEE6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14:paraId="444F3F7F">
      <w:pPr>
        <w:adjustRightInd w:val="0"/>
        <w:snapToGrid w:val="0"/>
        <w:spacing w:line="288" w:lineRule="auto"/>
        <w:ind w:firstLine="498" w:firstLineChars="236"/>
        <w:rPr>
          <w:rFonts w:ascii="宋体" w:hAnsi="宋体" w:eastAsia="宋体" w:cs="Times New Roman"/>
          <w:b/>
          <w:color w:val="auto"/>
          <w:szCs w:val="21"/>
          <w:highlight w:val="none"/>
        </w:rPr>
      </w:pPr>
    </w:p>
    <w:p w14:paraId="69E4B3B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ascii="宋体" w:hAnsi="宋体" w:eastAsia="宋体" w:cs="Times New Roman"/>
          <w:i/>
          <w:color w:val="auto"/>
          <w:szCs w:val="21"/>
          <w:highlight w:val="none"/>
          <w:u w:val="single"/>
        </w:rPr>
        <w:t>（单位名称）</w:t>
      </w:r>
      <w:r>
        <w:rPr>
          <w:rFonts w:ascii="宋体" w:hAnsi="宋体" w:eastAsia="宋体" w:cs="Times New Roman"/>
          <w:color w:val="auto"/>
          <w:szCs w:val="21"/>
          <w:highlight w:val="none"/>
        </w:rPr>
        <w:t>的</w:t>
      </w:r>
      <w:r>
        <w:rPr>
          <w:rFonts w:ascii="宋体" w:hAnsi="宋体" w:eastAsia="宋体" w:cs="Times New Roman"/>
          <w:i/>
          <w:color w:val="auto"/>
          <w:szCs w:val="21"/>
          <w:highlight w:val="none"/>
          <w:u w:val="single"/>
        </w:rPr>
        <w:t>（</w:t>
      </w:r>
      <w:bookmarkStart w:id="75" w:name="_Hlk118098443"/>
      <w:r>
        <w:rPr>
          <w:rFonts w:ascii="宋体" w:hAnsi="宋体" w:eastAsia="宋体" w:cs="Times New Roman"/>
          <w:i/>
          <w:color w:val="auto"/>
          <w:szCs w:val="21"/>
          <w:highlight w:val="none"/>
          <w:u w:val="single"/>
        </w:rPr>
        <w:t>项目名称</w:t>
      </w:r>
      <w:bookmarkEnd w:id="75"/>
      <w:r>
        <w:rPr>
          <w:rFonts w:ascii="宋体" w:hAnsi="宋体" w:eastAsia="宋体" w:cs="Times New Roman"/>
          <w:i/>
          <w:color w:val="auto"/>
          <w:szCs w:val="21"/>
          <w:highlight w:val="none"/>
          <w:u w:val="single"/>
        </w:rPr>
        <w:t>）</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14:paraId="674F562F">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14:paraId="62EE8991">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14:paraId="76933DCB">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14:paraId="2B7C40FE">
      <w:pPr>
        <w:adjustRightInd w:val="0"/>
        <w:snapToGrid w:val="0"/>
        <w:spacing w:line="288" w:lineRule="auto"/>
        <w:ind w:firstLine="495" w:firstLineChars="236"/>
        <w:rPr>
          <w:rFonts w:ascii="宋体" w:hAnsi="宋体" w:eastAsia="宋体" w:cs="Times New Roman"/>
          <w:color w:val="auto"/>
          <w:szCs w:val="21"/>
          <w:highlight w:val="none"/>
        </w:rPr>
      </w:pPr>
    </w:p>
    <w:p w14:paraId="0619F3D2">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14:paraId="02BA4F93">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099EDE2D">
      <w:pPr>
        <w:adjustRightInd w:val="0"/>
        <w:snapToGrid w:val="0"/>
        <w:spacing w:line="288" w:lineRule="auto"/>
        <w:ind w:firstLine="495" w:firstLineChars="236"/>
        <w:rPr>
          <w:rFonts w:ascii="宋体" w:hAnsi="宋体" w:eastAsia="宋体" w:cs="Times New Roman"/>
          <w:color w:val="auto"/>
          <w:szCs w:val="21"/>
          <w:highlight w:val="none"/>
        </w:rPr>
      </w:pPr>
    </w:p>
    <w:p w14:paraId="000631E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2D713F21">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14:paraId="338CC1CB">
      <w:pPr>
        <w:adjustRightInd w:val="0"/>
        <w:snapToGrid w:val="0"/>
        <w:spacing w:line="288" w:lineRule="auto"/>
        <w:rPr>
          <w:rFonts w:ascii="宋体" w:hAnsi="宋体" w:eastAsia="宋体" w:cs="宋体"/>
          <w:color w:val="auto"/>
          <w:kern w:val="0"/>
          <w:szCs w:val="21"/>
          <w:highlight w:val="none"/>
        </w:rPr>
      </w:pPr>
    </w:p>
    <w:p w14:paraId="5B8617AF">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ascii="宋体" w:hAnsi="宋体" w:eastAsia="宋体"/>
          <w:color w:val="auto"/>
          <w:szCs w:val="21"/>
          <w:highlight w:val="none"/>
        </w:rPr>
      </w:pPr>
    </w:p>
    <w:p w14:paraId="68D881FA">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7BE7FC09">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D5E2DE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14:paraId="1B349927">
      <w:pPr>
        <w:adjustRightInd w:val="0"/>
        <w:snapToGrid w:val="0"/>
        <w:spacing w:line="288" w:lineRule="auto"/>
        <w:rPr>
          <w:rFonts w:ascii="宋体" w:hAnsi="宋体" w:eastAsia="宋体" w:cs="Times New Roman"/>
          <w:b/>
          <w:color w:val="auto"/>
          <w:spacing w:val="6"/>
          <w:szCs w:val="21"/>
          <w:highlight w:val="none"/>
        </w:rPr>
      </w:pPr>
    </w:p>
    <w:p w14:paraId="43A8AA8E">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18ADFBE4">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342851E1">
      <w:pPr>
        <w:adjustRightInd w:val="0"/>
        <w:snapToGrid w:val="0"/>
        <w:spacing w:line="288" w:lineRule="auto"/>
        <w:rPr>
          <w:rFonts w:ascii="宋体" w:hAnsi="宋体" w:eastAsia="宋体"/>
          <w:color w:val="auto"/>
          <w:szCs w:val="21"/>
          <w:highlight w:val="none"/>
        </w:rPr>
      </w:pPr>
    </w:p>
    <w:p w14:paraId="194EFBD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37B0F58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01BBCD5F">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snapToGrid w:val="0"/>
              <w:spacing w:line="288" w:lineRule="auto"/>
              <w:rPr>
                <w:rFonts w:hint="eastAsia" w:ascii="宋体" w:hAnsi="宋体" w:eastAsia="宋体" w:cs="宋体"/>
                <w:color w:val="auto"/>
                <w:spacing w:val="0"/>
                <w:kern w:val="2"/>
                <w:szCs w:val="21"/>
                <w:highlight w:val="none"/>
                <w:vertAlign w:val="baseline"/>
              </w:rPr>
            </w:pPr>
          </w:p>
        </w:tc>
        <w:tc>
          <w:tcPr>
            <w:tcW w:w="4814" w:type="dxa"/>
          </w:tcPr>
          <w:p w14:paraId="6E2B4F3D">
            <w:pPr>
              <w:snapToGrid w:val="0"/>
              <w:spacing w:line="288" w:lineRule="auto"/>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64173FC"/>
    <w:rsid w:val="07650D44"/>
    <w:rsid w:val="07DB5C37"/>
    <w:rsid w:val="08931933"/>
    <w:rsid w:val="0A8F0E99"/>
    <w:rsid w:val="0B4A1776"/>
    <w:rsid w:val="0BD50265"/>
    <w:rsid w:val="0BEB4B5B"/>
    <w:rsid w:val="0BEC010D"/>
    <w:rsid w:val="0C786503"/>
    <w:rsid w:val="0D1A04C9"/>
    <w:rsid w:val="0DA43FD6"/>
    <w:rsid w:val="0DCB77B4"/>
    <w:rsid w:val="0FF539C8"/>
    <w:rsid w:val="100A1485"/>
    <w:rsid w:val="10757130"/>
    <w:rsid w:val="112B34AD"/>
    <w:rsid w:val="118F4216"/>
    <w:rsid w:val="11FF5827"/>
    <w:rsid w:val="18090C43"/>
    <w:rsid w:val="18FB5F15"/>
    <w:rsid w:val="1B321622"/>
    <w:rsid w:val="1E452027"/>
    <w:rsid w:val="1EEB1A56"/>
    <w:rsid w:val="1F9C38D3"/>
    <w:rsid w:val="20767551"/>
    <w:rsid w:val="212705BE"/>
    <w:rsid w:val="21AC2FA2"/>
    <w:rsid w:val="21DB64E2"/>
    <w:rsid w:val="221C4C30"/>
    <w:rsid w:val="22A70B6C"/>
    <w:rsid w:val="22AD65CC"/>
    <w:rsid w:val="23C14303"/>
    <w:rsid w:val="23FF4622"/>
    <w:rsid w:val="24FF7EBF"/>
    <w:rsid w:val="25A217AC"/>
    <w:rsid w:val="27432BC1"/>
    <w:rsid w:val="27F0275A"/>
    <w:rsid w:val="28580092"/>
    <w:rsid w:val="28BC23D4"/>
    <w:rsid w:val="2AA10ED5"/>
    <w:rsid w:val="2ADA0518"/>
    <w:rsid w:val="2C921974"/>
    <w:rsid w:val="2DBE14C9"/>
    <w:rsid w:val="2E2B31E3"/>
    <w:rsid w:val="2ED77388"/>
    <w:rsid w:val="2F380CDF"/>
    <w:rsid w:val="2F6A64D8"/>
    <w:rsid w:val="30616EA9"/>
    <w:rsid w:val="31A44D82"/>
    <w:rsid w:val="320C1026"/>
    <w:rsid w:val="32BE120D"/>
    <w:rsid w:val="330C0EF9"/>
    <w:rsid w:val="33506DE6"/>
    <w:rsid w:val="33B73EB0"/>
    <w:rsid w:val="34004E73"/>
    <w:rsid w:val="34973C0D"/>
    <w:rsid w:val="349B054D"/>
    <w:rsid w:val="35194EAC"/>
    <w:rsid w:val="35A54CED"/>
    <w:rsid w:val="37534CA7"/>
    <w:rsid w:val="37C157A9"/>
    <w:rsid w:val="37D824F1"/>
    <w:rsid w:val="39B918B5"/>
    <w:rsid w:val="3AA456A3"/>
    <w:rsid w:val="3B0C4DFA"/>
    <w:rsid w:val="3C4D26C6"/>
    <w:rsid w:val="3D044EFC"/>
    <w:rsid w:val="3E6946AD"/>
    <w:rsid w:val="3EB60CB3"/>
    <w:rsid w:val="3EC436F9"/>
    <w:rsid w:val="3F740895"/>
    <w:rsid w:val="3FB93DC6"/>
    <w:rsid w:val="400166D8"/>
    <w:rsid w:val="402A691C"/>
    <w:rsid w:val="40EC2DE0"/>
    <w:rsid w:val="422E66F3"/>
    <w:rsid w:val="4275164D"/>
    <w:rsid w:val="430A3262"/>
    <w:rsid w:val="44265D88"/>
    <w:rsid w:val="46A824B9"/>
    <w:rsid w:val="46BB170B"/>
    <w:rsid w:val="47510906"/>
    <w:rsid w:val="495D70F7"/>
    <w:rsid w:val="497349FC"/>
    <w:rsid w:val="498C1364"/>
    <w:rsid w:val="4B6974A4"/>
    <w:rsid w:val="4B7D5F80"/>
    <w:rsid w:val="4BF40741"/>
    <w:rsid w:val="4C5E019B"/>
    <w:rsid w:val="4F64249F"/>
    <w:rsid w:val="4F6E1200"/>
    <w:rsid w:val="4FEE189E"/>
    <w:rsid w:val="500B7C38"/>
    <w:rsid w:val="5345653C"/>
    <w:rsid w:val="53F038EA"/>
    <w:rsid w:val="549F2962"/>
    <w:rsid w:val="54E01333"/>
    <w:rsid w:val="5668599A"/>
    <w:rsid w:val="56B90A77"/>
    <w:rsid w:val="59BA69E3"/>
    <w:rsid w:val="59D256F5"/>
    <w:rsid w:val="5A661DF4"/>
    <w:rsid w:val="5ACF0178"/>
    <w:rsid w:val="5B9E3DE4"/>
    <w:rsid w:val="5BE42A48"/>
    <w:rsid w:val="5C3E17F9"/>
    <w:rsid w:val="5C483ABC"/>
    <w:rsid w:val="5D052980"/>
    <w:rsid w:val="5D3A6920"/>
    <w:rsid w:val="5D8135CC"/>
    <w:rsid w:val="5DF10A2F"/>
    <w:rsid w:val="5ED57F57"/>
    <w:rsid w:val="5EF534F9"/>
    <w:rsid w:val="600446EC"/>
    <w:rsid w:val="600D2EE6"/>
    <w:rsid w:val="61D4087B"/>
    <w:rsid w:val="61F82CFD"/>
    <w:rsid w:val="621760F6"/>
    <w:rsid w:val="62246B60"/>
    <w:rsid w:val="628A2B7E"/>
    <w:rsid w:val="644F1ACD"/>
    <w:rsid w:val="64751744"/>
    <w:rsid w:val="67060D39"/>
    <w:rsid w:val="67FF1998"/>
    <w:rsid w:val="680D1D99"/>
    <w:rsid w:val="69431270"/>
    <w:rsid w:val="6A147DD2"/>
    <w:rsid w:val="6A7F4F75"/>
    <w:rsid w:val="6ACA16F9"/>
    <w:rsid w:val="6B16774A"/>
    <w:rsid w:val="6C467142"/>
    <w:rsid w:val="6CB03B45"/>
    <w:rsid w:val="6D1750D4"/>
    <w:rsid w:val="6ECE2681"/>
    <w:rsid w:val="6ED12033"/>
    <w:rsid w:val="72340F9C"/>
    <w:rsid w:val="763243C9"/>
    <w:rsid w:val="774152C9"/>
    <w:rsid w:val="775D6EE2"/>
    <w:rsid w:val="793070F8"/>
    <w:rsid w:val="79D825C1"/>
    <w:rsid w:val="7B5D131E"/>
    <w:rsid w:val="7BE34FAA"/>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52</Pages>
  <Words>30473</Words>
  <Characters>32534</Characters>
  <Lines>220</Lines>
  <Paragraphs>62</Paragraphs>
  <TotalTime>94</TotalTime>
  <ScaleCrop>false</ScaleCrop>
  <LinksUpToDate>false</LinksUpToDate>
  <CharactersWithSpaces>33011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2025-10-09T08:15:05Z</dcterms:modified>
  <cp:revision>1036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