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457CCC">
      <w:pPr>
        <w:spacing w:line="360" w:lineRule="auto"/>
        <w:jc w:val="both"/>
        <w:rPr>
          <w:rFonts w:hint="eastAsia" w:ascii="宋体" w:hAnsi="宋体" w:cs="宋体"/>
          <w:b/>
          <w:bCs/>
          <w:sz w:val="52"/>
          <w:szCs w:val="52"/>
          <w:lang w:val="en-US" w:eastAsia="zh-CN"/>
        </w:rPr>
      </w:pPr>
    </w:p>
    <w:p w14:paraId="08168AAA">
      <w:pPr>
        <w:spacing w:line="360" w:lineRule="auto"/>
        <w:ind w:left="480"/>
        <w:jc w:val="center"/>
        <w:rPr>
          <w:rFonts w:hint="eastAsia" w:ascii="宋体" w:hAnsi="宋体" w:cs="宋体"/>
          <w:b/>
          <w:bCs/>
          <w:sz w:val="52"/>
          <w:szCs w:val="52"/>
        </w:rPr>
      </w:pPr>
      <w:r>
        <w:rPr>
          <w:rFonts w:hint="eastAsia" w:ascii="宋体" w:hAnsi="宋体" w:cs="宋体"/>
          <w:b/>
          <w:bCs/>
          <w:sz w:val="52"/>
          <w:szCs w:val="52"/>
        </w:rPr>
        <w:t>杭州电子科技大学G区36、38号楼卫生间水管改造工程</w:t>
      </w:r>
    </w:p>
    <w:p w14:paraId="25D1F44B">
      <w:pPr>
        <w:spacing w:line="360" w:lineRule="auto"/>
        <w:ind w:left="480"/>
        <w:jc w:val="center"/>
        <w:rPr>
          <w:rFonts w:hint="eastAsia" w:ascii="宋体" w:hAnsi="宋体" w:cs="宋体"/>
          <w:b/>
          <w:bCs/>
          <w:sz w:val="52"/>
          <w:szCs w:val="52"/>
        </w:rPr>
      </w:pPr>
    </w:p>
    <w:p w14:paraId="7A8C84E4">
      <w:pPr>
        <w:spacing w:line="360" w:lineRule="auto"/>
        <w:ind w:left="480"/>
        <w:jc w:val="center"/>
        <w:rPr>
          <w:rFonts w:ascii="宋体" w:hAnsi="宋体" w:cs="宋体"/>
          <w:b/>
          <w:bCs/>
          <w:sz w:val="52"/>
          <w:szCs w:val="52"/>
        </w:rPr>
      </w:pPr>
      <w:r>
        <w:rPr>
          <w:rFonts w:hint="eastAsia" w:ascii="宋体" w:hAnsi="宋体" w:cs="宋体"/>
          <w:b/>
          <w:bCs/>
          <w:sz w:val="52"/>
          <w:szCs w:val="52"/>
        </w:rPr>
        <w:t>工 程 量 清 单</w:t>
      </w:r>
    </w:p>
    <w:p w14:paraId="59926DBD">
      <w:pPr>
        <w:pStyle w:val="4"/>
      </w:pPr>
    </w:p>
    <w:p w14:paraId="3AF1EEF1">
      <w:pPr>
        <w:spacing w:line="360" w:lineRule="auto"/>
        <w:ind w:left="480"/>
        <w:jc w:val="center"/>
        <w:rPr>
          <w:rFonts w:ascii="宋体" w:hAnsi="宋体" w:cs="宋体"/>
          <w:b/>
          <w:sz w:val="72"/>
          <w:szCs w:val="44"/>
        </w:rPr>
      </w:pPr>
    </w:p>
    <w:p w14:paraId="62F8D305">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招标人：</w:t>
      </w:r>
      <w:r>
        <w:rPr>
          <w:rFonts w:hint="eastAsia" w:ascii="宋体" w:hAnsi="宋体" w:cs="宋体"/>
          <w:b/>
          <w:bCs/>
          <w:sz w:val="32"/>
          <w:szCs w:val="32"/>
          <w:u w:val="single"/>
        </w:rPr>
        <w:t xml:space="preserve">                                        </w:t>
      </w:r>
      <w:r>
        <w:rPr>
          <w:rFonts w:hint="eastAsia" w:ascii="宋体" w:hAnsi="宋体" w:cs="宋体"/>
          <w:b/>
          <w:bCs/>
          <w:sz w:val="24"/>
        </w:rPr>
        <w:t>（单位盖章）</w:t>
      </w:r>
    </w:p>
    <w:p w14:paraId="1276C22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6E13CD86">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中介机构：</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（单位盖章）</w:t>
      </w:r>
    </w:p>
    <w:p w14:paraId="5C1AF75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7ADB236F">
      <w:pPr>
        <w:widowControl/>
        <w:autoSpaceDE w:val="0"/>
        <w:autoSpaceDN w:val="0"/>
        <w:spacing w:before="360" w:after="360" w:line="360" w:lineRule="auto"/>
        <w:jc w:val="left"/>
        <w:textAlignment w:val="bottom"/>
        <w:rPr>
          <w:rFonts w:ascii="宋体" w:hAnsi="宋体" w:cs="宋体"/>
          <w:b/>
          <w:bCs/>
          <w:sz w:val="24"/>
        </w:rPr>
      </w:pPr>
      <w:r>
        <w:rPr>
          <w:rFonts w:hint="eastAsia" w:ascii="宋体" w:hAnsi="宋体" w:cs="宋体"/>
          <w:b/>
          <w:bCs/>
          <w:sz w:val="32"/>
          <w:szCs w:val="32"/>
        </w:rPr>
        <w:t>编制人：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w:t>
      </w:r>
      <w:bookmarkStart w:id="0" w:name="OLE_LINK1"/>
      <w:r>
        <w:rPr>
          <w:rFonts w:hint="eastAsia" w:ascii="宋体" w:hAnsi="宋体" w:cs="宋体"/>
          <w:b/>
          <w:bCs/>
          <w:sz w:val="24"/>
        </w:rPr>
        <w:t>造价</w:t>
      </w:r>
      <w:bookmarkEnd w:id="0"/>
      <w:r>
        <w:rPr>
          <w:rFonts w:hint="eastAsia" w:ascii="宋体" w:hAnsi="宋体" w:cs="宋体"/>
          <w:b/>
          <w:bCs/>
          <w:sz w:val="24"/>
          <w:lang w:val="en-US" w:eastAsia="zh-CN"/>
        </w:rPr>
        <w:t>工程师</w:t>
      </w:r>
      <w:r>
        <w:rPr>
          <w:rFonts w:hint="eastAsia" w:ascii="宋体" w:hAnsi="宋体" w:cs="宋体"/>
          <w:b/>
          <w:bCs/>
          <w:sz w:val="24"/>
        </w:rPr>
        <w:t>签字盖专用章）</w:t>
      </w:r>
    </w:p>
    <w:p w14:paraId="089F9C2F">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复核人：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（造价</w:t>
      </w:r>
      <w:r>
        <w:rPr>
          <w:rFonts w:hint="eastAsia" w:ascii="宋体" w:hAnsi="宋体" w:cs="宋体"/>
          <w:b/>
          <w:bCs/>
          <w:sz w:val="24"/>
          <w:lang w:val="en-US" w:eastAsia="zh-CN"/>
        </w:rPr>
        <w:t>工程师</w:t>
      </w:r>
      <w:r>
        <w:rPr>
          <w:rFonts w:hint="eastAsia" w:ascii="宋体" w:hAnsi="宋体" w:cs="宋体"/>
          <w:b/>
          <w:bCs/>
          <w:sz w:val="24"/>
        </w:rPr>
        <w:t>签字盖专用章）</w:t>
      </w:r>
    </w:p>
    <w:p w14:paraId="150D75B6">
      <w:pPr>
        <w:widowControl/>
        <w:autoSpaceDE w:val="0"/>
        <w:autoSpaceDN w:val="0"/>
        <w:spacing w:before="360" w:after="360" w:line="360" w:lineRule="auto"/>
        <w:jc w:val="left"/>
        <w:textAlignment w:val="bottom"/>
        <w:rPr>
          <w:rFonts w:ascii="宋体" w:hAnsi="宋体" w:cs="宋体"/>
          <w:b/>
          <w:bCs/>
          <w:sz w:val="32"/>
          <w:szCs w:val="32"/>
        </w:rPr>
      </w:pPr>
    </w:p>
    <w:p w14:paraId="04787832">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编制时间：</w:t>
      </w:r>
      <w:r>
        <w:rPr>
          <w:rFonts w:hint="eastAsia" w:ascii="宋体" w:hAnsi="宋体" w:cs="宋体"/>
          <w:b/>
          <w:bCs/>
          <w:sz w:val="32"/>
          <w:szCs w:val="32"/>
          <w:u w:val="none"/>
        </w:rPr>
        <w:t>202</w:t>
      </w:r>
      <w:r>
        <w:rPr>
          <w:rFonts w:hint="eastAsia" w:ascii="宋体" w:hAnsi="宋体" w:cs="宋体"/>
          <w:b/>
          <w:bCs/>
          <w:sz w:val="32"/>
          <w:szCs w:val="32"/>
          <w:u w:val="none"/>
          <w:lang w:val="en-US" w:eastAsia="zh-CN"/>
        </w:rPr>
        <w:t>6</w:t>
      </w:r>
      <w:r>
        <w:rPr>
          <w:rFonts w:hint="eastAsia" w:ascii="宋体" w:hAnsi="宋体" w:cs="宋体"/>
          <w:b/>
          <w:bCs/>
          <w:sz w:val="32"/>
          <w:szCs w:val="32"/>
          <w:u w:val="none"/>
        </w:rPr>
        <w:t>年</w:t>
      </w:r>
      <w:r>
        <w:rPr>
          <w:rFonts w:hint="eastAsia" w:ascii="宋体" w:hAnsi="宋体" w:cs="宋体"/>
          <w:b/>
          <w:bCs/>
          <w:sz w:val="32"/>
          <w:szCs w:val="32"/>
          <w:u w:val="none"/>
          <w:lang w:val="en-US" w:eastAsia="zh-CN"/>
        </w:rPr>
        <w:t xml:space="preserve">  </w:t>
      </w:r>
      <w:r>
        <w:rPr>
          <w:rFonts w:hint="eastAsia" w:ascii="宋体" w:hAnsi="宋体" w:cs="宋体"/>
          <w:b/>
          <w:bCs/>
          <w:sz w:val="32"/>
          <w:szCs w:val="32"/>
          <w:u w:val="none"/>
        </w:rPr>
        <w:t xml:space="preserve">月  日  </w:t>
      </w:r>
      <w:r>
        <w:rPr>
          <w:rFonts w:hint="eastAsia" w:ascii="宋体" w:hAnsi="宋体" w:cs="宋体"/>
          <w:b/>
          <w:bCs/>
          <w:sz w:val="32"/>
          <w:szCs w:val="32"/>
        </w:rPr>
        <w:t xml:space="preserve">    </w:t>
      </w:r>
      <w:r>
        <w:rPr>
          <w:rFonts w:hint="eastAsia" w:ascii="宋体" w:hAnsi="宋体" w:cs="宋体"/>
          <w:b/>
          <w:bCs/>
          <w:sz w:val="32"/>
          <w:szCs w:val="32"/>
          <w:lang w:val="en-US" w:eastAsia="zh-CN"/>
        </w:rPr>
        <w:t xml:space="preserve">   </w:t>
      </w:r>
      <w:r>
        <w:rPr>
          <w:rFonts w:hint="eastAsia" w:ascii="宋体" w:hAnsi="宋体" w:cs="宋体"/>
          <w:b/>
          <w:bCs/>
          <w:sz w:val="32"/>
          <w:szCs w:val="32"/>
        </w:rPr>
        <w:t xml:space="preserve">  </w:t>
      </w:r>
      <w:r>
        <w:rPr>
          <w:rFonts w:hint="eastAsia" w:ascii="宋体" w:hAnsi="宋体" w:cs="宋体"/>
          <w:b/>
          <w:bCs/>
          <w:strike w:val="0"/>
          <w:dstrike w:val="0"/>
          <w:sz w:val="32"/>
          <w:szCs w:val="32"/>
          <w:lang w:val="en-US" w:eastAsia="zh-CN"/>
        </w:rPr>
        <w:t>复</w:t>
      </w:r>
      <w:r>
        <w:rPr>
          <w:rFonts w:hint="eastAsia" w:ascii="宋体" w:hAnsi="宋体" w:cs="宋体"/>
          <w:b/>
          <w:bCs/>
          <w:strike w:val="0"/>
          <w:dstrike w:val="0"/>
          <w:sz w:val="32"/>
          <w:szCs w:val="32"/>
        </w:rPr>
        <w:t>核时间：</w:t>
      </w:r>
      <w:r>
        <w:rPr>
          <w:rFonts w:hint="eastAsia" w:ascii="宋体" w:hAnsi="宋体" w:cs="宋体"/>
          <w:b/>
          <w:bCs/>
          <w:strike w:val="0"/>
          <w:dstrike w:val="0"/>
          <w:sz w:val="32"/>
          <w:szCs w:val="32"/>
          <w:u w:val="none"/>
        </w:rPr>
        <w:t>202</w:t>
      </w:r>
      <w:r>
        <w:rPr>
          <w:rFonts w:hint="eastAsia" w:ascii="宋体" w:hAnsi="宋体" w:cs="宋体"/>
          <w:b/>
          <w:bCs/>
          <w:strike w:val="0"/>
          <w:dstrike w:val="0"/>
          <w:sz w:val="32"/>
          <w:szCs w:val="32"/>
          <w:u w:val="none"/>
          <w:lang w:val="en-US" w:eastAsia="zh-CN"/>
        </w:rPr>
        <w:t>6</w:t>
      </w:r>
      <w:r>
        <w:rPr>
          <w:rFonts w:hint="eastAsia" w:ascii="宋体" w:hAnsi="宋体" w:cs="宋体"/>
          <w:b/>
          <w:bCs/>
          <w:strike w:val="0"/>
          <w:dstrike w:val="0"/>
          <w:sz w:val="32"/>
          <w:szCs w:val="32"/>
          <w:u w:val="none"/>
        </w:rPr>
        <w:t>年</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 xml:space="preserve">月 </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日</w:t>
      </w: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667B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8" w:hRule="atLeast"/>
        </w:trPr>
        <w:tc>
          <w:tcPr>
            <w:tcW w:w="9240" w:type="dxa"/>
            <w:shd w:val="clear" w:color="auto" w:fill="auto"/>
            <w:noWrap/>
          </w:tcPr>
          <w:p w14:paraId="4F28CE86">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一、工程概况</w:t>
            </w:r>
          </w:p>
          <w:p w14:paraId="29E627F5">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宋体" w:hAnsi="宋体" w:eastAsia="宋体" w:cs="宋体"/>
                <w:sz w:val="21"/>
                <w:szCs w:val="21"/>
              </w:rPr>
            </w:pPr>
            <w:r>
              <w:rPr>
                <w:rFonts w:hint="eastAsia" w:ascii="宋体" w:hAnsi="宋体" w:eastAsia="宋体" w:cs="宋体"/>
                <w:sz w:val="21"/>
                <w:szCs w:val="21"/>
              </w:rPr>
              <w:t>1、工程名称：</w:t>
            </w:r>
            <w:r>
              <w:rPr>
                <w:rFonts w:hint="eastAsia" w:ascii="宋体" w:hAnsi="宋体" w:cs="宋体"/>
                <w:sz w:val="21"/>
                <w:szCs w:val="21"/>
                <w:lang w:val="en-US" w:eastAsia="zh-CN"/>
              </w:rPr>
              <w:t>杭州电子科技大学G区36、38号楼卫生间水管改造工程</w:t>
            </w:r>
            <w:r>
              <w:rPr>
                <w:rFonts w:hint="eastAsia" w:ascii="宋体" w:hAnsi="宋体" w:eastAsia="宋体" w:cs="宋体"/>
                <w:sz w:val="21"/>
                <w:szCs w:val="21"/>
              </w:rPr>
              <w:t>。</w:t>
            </w:r>
          </w:p>
          <w:p w14:paraId="33B36F93">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default" w:ascii="宋体" w:hAnsi="宋体" w:eastAsia="宋体" w:cs="宋体"/>
                <w:sz w:val="21"/>
                <w:szCs w:val="21"/>
                <w:lang w:val="en-US" w:eastAsia="zh-CN"/>
              </w:rPr>
            </w:pPr>
            <w:r>
              <w:rPr>
                <w:rFonts w:hint="eastAsia" w:ascii="宋体" w:hAnsi="宋体" w:eastAsia="宋体" w:cs="宋体"/>
                <w:sz w:val="21"/>
                <w:szCs w:val="21"/>
              </w:rPr>
              <w:t>2、工程地点：浙江省杭州市。</w:t>
            </w:r>
          </w:p>
          <w:p w14:paraId="58E98DB3">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二、工程招标范围</w:t>
            </w:r>
          </w:p>
          <w:p w14:paraId="4D38250E">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rPr>
              <w:t>本次招标范围主要包括：杭州电子科技大学G区36、38号楼卫生间管道、角阀、球阀以及开孔等内容；具体内容详见招标文件等。</w:t>
            </w:r>
          </w:p>
          <w:p w14:paraId="45C1AF07">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三、招标工程量清单编制依据</w:t>
            </w:r>
          </w:p>
          <w:p w14:paraId="0E4D652E">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1、业主提供的资料。</w:t>
            </w:r>
          </w:p>
          <w:p w14:paraId="0118D7AC">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2、《建设工程工程量清单计价规范》（GB50500—2013）。</w:t>
            </w:r>
          </w:p>
          <w:p w14:paraId="3557D5F5">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3、《房屋建筑与装饰工程工程量计算规范》（GB50854—2013）。</w:t>
            </w:r>
          </w:p>
          <w:p w14:paraId="316CBF41">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4、《通用安装工程工程量计算规范》（GB50856—2013）。</w:t>
            </w:r>
          </w:p>
          <w:p w14:paraId="6AE5015E">
            <w:pPr>
              <w:keepNext w:val="0"/>
              <w:keepLines w:val="0"/>
              <w:widowControl w:val="0"/>
              <w:suppressLineNumbers w:val="0"/>
              <w:spacing w:before="0" w:beforeAutospacing="0" w:after="0" w:afterAutospacing="0" w:line="360" w:lineRule="auto"/>
              <w:ind w:left="0" w:right="0" w:firstLine="420" w:firstLineChars="200"/>
              <w:jc w:val="both"/>
              <w:rPr>
                <w:rFonts w:hint="eastAsia" w:asciiTheme="minorEastAsia" w:hAnsiTheme="minorEastAsia" w:eastAsiaTheme="minorEastAsia" w:cstheme="minorEastAsia"/>
                <w:bCs/>
                <w:kern w:val="2"/>
                <w:sz w:val="21"/>
                <w:szCs w:val="21"/>
              </w:rPr>
            </w:pPr>
            <w:r>
              <w:rPr>
                <w:rFonts w:hint="eastAsia" w:asciiTheme="minorEastAsia" w:hAnsiTheme="minorEastAsia" w:eastAsiaTheme="minorEastAsia" w:cstheme="minorEastAsia"/>
                <w:bCs/>
                <w:kern w:val="2"/>
                <w:sz w:val="21"/>
                <w:szCs w:val="21"/>
                <w:lang w:val="en-US" w:eastAsia="zh-CN" w:bidi="ar"/>
              </w:rPr>
              <w:t>5、</w:t>
            </w:r>
            <w:bookmarkStart w:id="1" w:name="OLE_LINK2"/>
            <w:r>
              <w:rPr>
                <w:rFonts w:hint="eastAsia" w:asciiTheme="minorEastAsia" w:hAnsiTheme="minorEastAsia" w:eastAsiaTheme="minorEastAsia" w:cstheme="minorEastAsia"/>
                <w:bCs/>
                <w:kern w:val="2"/>
                <w:sz w:val="21"/>
                <w:szCs w:val="21"/>
                <w:lang w:val="en-US" w:eastAsia="zh-CN" w:bidi="ar"/>
              </w:rPr>
              <w:t>《浙江省建设工程计价规则》（2018版）</w:t>
            </w:r>
            <w:bookmarkEnd w:id="1"/>
            <w:r>
              <w:rPr>
                <w:rFonts w:hint="eastAsia" w:asciiTheme="minorEastAsia" w:hAnsiTheme="minorEastAsia" w:eastAsiaTheme="minorEastAsia" w:cstheme="minorEastAsia"/>
                <w:bCs/>
                <w:kern w:val="2"/>
                <w:sz w:val="21"/>
                <w:szCs w:val="21"/>
                <w:lang w:val="en-US" w:eastAsia="zh-CN" w:bidi="ar"/>
              </w:rPr>
              <w:t>。</w:t>
            </w:r>
          </w:p>
          <w:p w14:paraId="5643E4E1">
            <w:pPr>
              <w:keepNext w:val="0"/>
              <w:keepLines w:val="0"/>
              <w:widowControl w:val="0"/>
              <w:suppressLineNumbers w:val="0"/>
              <w:spacing w:before="0" w:beforeAutospacing="0" w:after="0" w:afterAutospacing="0" w:line="360" w:lineRule="auto"/>
              <w:ind w:left="0" w:right="0" w:firstLine="420" w:firstLineChars="200"/>
              <w:jc w:val="both"/>
              <w:rPr>
                <w:rFonts w:hint="eastAsia" w:asciiTheme="minorEastAsia" w:hAnsiTheme="minorEastAsia" w:eastAsiaTheme="minorEastAsia" w:cstheme="minorEastAsia"/>
                <w:bCs/>
                <w:kern w:val="2"/>
                <w:sz w:val="21"/>
                <w:szCs w:val="21"/>
              </w:rPr>
            </w:pPr>
            <w:r>
              <w:rPr>
                <w:rFonts w:hint="eastAsia" w:asciiTheme="minorEastAsia" w:hAnsiTheme="minorEastAsia" w:eastAsiaTheme="minorEastAsia" w:cstheme="minorEastAsia"/>
                <w:bCs/>
                <w:kern w:val="2"/>
                <w:sz w:val="21"/>
                <w:szCs w:val="21"/>
                <w:lang w:val="en-US" w:eastAsia="zh-CN" w:bidi="ar"/>
              </w:rPr>
              <w:t>6、《杭州市建设工程工程量清单计价实施细则》（2018年修订）。</w:t>
            </w:r>
          </w:p>
          <w:p w14:paraId="3C8C09DB">
            <w:pPr>
              <w:keepNext w:val="0"/>
              <w:keepLines w:val="0"/>
              <w:widowControl w:val="0"/>
              <w:suppressLineNumbers w:val="0"/>
              <w:spacing w:before="0" w:beforeAutospacing="0" w:after="0" w:afterAutospacing="0" w:line="360" w:lineRule="auto"/>
              <w:ind w:left="0" w:right="0" w:firstLine="420" w:firstLineChars="200"/>
              <w:jc w:val="both"/>
              <w:rPr>
                <w:rFonts w:hint="eastAsia" w:asciiTheme="minorEastAsia" w:hAnsiTheme="minorEastAsia" w:eastAsiaTheme="minorEastAsia" w:cstheme="minorEastAsia"/>
                <w:bCs/>
                <w:kern w:val="2"/>
                <w:sz w:val="21"/>
                <w:szCs w:val="21"/>
              </w:rPr>
            </w:pPr>
            <w:r>
              <w:rPr>
                <w:rFonts w:hint="eastAsia" w:asciiTheme="minorEastAsia" w:hAnsiTheme="minorEastAsia" w:eastAsiaTheme="minorEastAsia" w:cstheme="minorEastAsia"/>
                <w:bCs/>
                <w:kern w:val="2"/>
                <w:sz w:val="21"/>
                <w:szCs w:val="21"/>
                <w:lang w:val="en-US" w:eastAsia="zh-CN" w:bidi="ar"/>
              </w:rPr>
              <w:t>7、《关于颁发浙江省建设工程计价依据（2018版）的通知》（浙建建﹝2018﹞61号）。</w:t>
            </w:r>
          </w:p>
          <w:p w14:paraId="69CCA6D3">
            <w:pPr>
              <w:keepNext w:val="0"/>
              <w:keepLines w:val="0"/>
              <w:widowControl w:val="0"/>
              <w:suppressLineNumbers w:val="0"/>
              <w:spacing w:before="0" w:beforeAutospacing="0" w:after="0" w:afterAutospacing="0" w:line="360" w:lineRule="auto"/>
              <w:ind w:left="0" w:right="0" w:firstLine="420" w:firstLineChars="200"/>
              <w:jc w:val="both"/>
              <w:rPr>
                <w:rFonts w:hint="eastAsia" w:asciiTheme="minorEastAsia" w:hAnsiTheme="minorEastAsia" w:eastAsiaTheme="minorEastAsia" w:cstheme="minorEastAsia"/>
                <w:bCs/>
                <w:kern w:val="2"/>
                <w:sz w:val="21"/>
                <w:szCs w:val="21"/>
              </w:rPr>
            </w:pPr>
            <w:r>
              <w:rPr>
                <w:rFonts w:hint="eastAsia" w:asciiTheme="minorEastAsia" w:hAnsiTheme="minorEastAsia" w:eastAsiaTheme="minorEastAsia" w:cstheme="minorEastAsia"/>
                <w:bCs/>
                <w:kern w:val="2"/>
                <w:sz w:val="21"/>
                <w:szCs w:val="21"/>
                <w:lang w:val="en-US" w:eastAsia="zh-CN" w:bidi="ar"/>
              </w:rPr>
              <w:t>8、《关于印发《杭州市建设工程工程量清单计价实施细则》（2018年修订）的通知》（杭建市发（2018）578号）。</w:t>
            </w:r>
          </w:p>
          <w:p w14:paraId="76870813">
            <w:pPr>
              <w:keepNext w:val="0"/>
              <w:keepLines w:val="0"/>
              <w:widowControl w:val="0"/>
              <w:suppressLineNumbers w:val="0"/>
              <w:spacing w:before="0" w:beforeAutospacing="0" w:after="0" w:afterAutospacing="0" w:line="360" w:lineRule="auto"/>
              <w:ind w:left="0" w:right="0" w:firstLine="420" w:firstLineChars="200"/>
              <w:jc w:val="both"/>
              <w:rPr>
                <w:rFonts w:hint="eastAsia" w:asciiTheme="minorEastAsia" w:hAnsiTheme="minorEastAsia" w:eastAsiaTheme="minorEastAsia" w:cstheme="minorEastAsia"/>
                <w:bCs/>
                <w:kern w:val="2"/>
                <w:sz w:val="21"/>
                <w:szCs w:val="21"/>
              </w:rPr>
            </w:pPr>
            <w:r>
              <w:rPr>
                <w:rFonts w:hint="eastAsia" w:asciiTheme="minorEastAsia" w:hAnsiTheme="minorEastAsia" w:eastAsiaTheme="minorEastAsia" w:cstheme="minorEastAsia"/>
                <w:bCs/>
                <w:kern w:val="2"/>
                <w:sz w:val="21"/>
                <w:szCs w:val="21"/>
                <w:lang w:val="en-US" w:eastAsia="zh-CN" w:bidi="ar"/>
              </w:rPr>
              <w:t>9、《关于增值税调整后我省建设工程计价依据增值税税率及有关计价调整的通知》（浙建建发【2019】92号）。</w:t>
            </w:r>
          </w:p>
          <w:p w14:paraId="689FF2DA">
            <w:pPr>
              <w:keepNext w:val="0"/>
              <w:keepLines w:val="0"/>
              <w:widowControl w:val="0"/>
              <w:suppressLineNumbers w:val="0"/>
              <w:spacing w:before="0" w:beforeAutospacing="0" w:after="0" w:afterAutospacing="0" w:line="360" w:lineRule="auto"/>
              <w:ind w:left="0" w:right="0" w:firstLine="420" w:firstLineChars="200"/>
              <w:jc w:val="both"/>
              <w:rPr>
                <w:rFonts w:hint="eastAsia" w:asciiTheme="minorEastAsia" w:hAnsiTheme="minorEastAsia" w:eastAsiaTheme="minorEastAsia" w:cstheme="minorEastAsia"/>
                <w:bCs/>
                <w:kern w:val="2"/>
                <w:sz w:val="21"/>
                <w:szCs w:val="21"/>
                <w:lang w:val="en-US" w:eastAsia="zh-CN" w:bidi="ar"/>
              </w:rPr>
            </w:pPr>
            <w:r>
              <w:rPr>
                <w:rFonts w:hint="eastAsia" w:asciiTheme="minorEastAsia" w:hAnsiTheme="minorEastAsia" w:eastAsiaTheme="minorEastAsia" w:cstheme="minorEastAsia"/>
                <w:bCs/>
                <w:kern w:val="2"/>
                <w:sz w:val="21"/>
                <w:szCs w:val="21"/>
                <w:lang w:val="en-US" w:eastAsia="zh-CN" w:bidi="ar"/>
              </w:rPr>
              <w:t>10、《省建设厅关于调整我省 2018 版建筑安装工程安全文明施工费的通知》（浙建建函〔2025〕320 号）</w:t>
            </w:r>
          </w:p>
          <w:p w14:paraId="4F677DFD">
            <w:pPr>
              <w:keepNext w:val="0"/>
              <w:keepLines w:val="0"/>
              <w:widowControl w:val="0"/>
              <w:suppressLineNumbers w:val="0"/>
              <w:spacing w:before="0" w:beforeAutospacing="0" w:after="0" w:afterAutospacing="0" w:line="360" w:lineRule="auto"/>
              <w:ind w:left="0" w:right="0" w:firstLine="420" w:firstLineChars="200"/>
              <w:jc w:val="both"/>
              <w:rPr>
                <w:rFonts w:hint="eastAsia" w:asciiTheme="minorEastAsia" w:hAnsiTheme="minorEastAsia" w:eastAsiaTheme="minorEastAsia" w:cstheme="minorEastAsia"/>
                <w:bCs/>
                <w:kern w:val="2"/>
                <w:sz w:val="21"/>
                <w:szCs w:val="21"/>
                <w:lang w:val="en-US" w:eastAsia="zh-CN" w:bidi="ar"/>
              </w:rPr>
            </w:pPr>
            <w:r>
              <w:rPr>
                <w:rFonts w:hint="eastAsia" w:asciiTheme="minorEastAsia" w:hAnsiTheme="minorEastAsia" w:eastAsiaTheme="minorEastAsia" w:cstheme="minorEastAsia"/>
                <w:bCs/>
                <w:kern w:val="2"/>
                <w:sz w:val="21"/>
                <w:szCs w:val="21"/>
                <w:lang w:val="en-US" w:eastAsia="zh-CN" w:bidi="ar"/>
              </w:rPr>
              <w:t>11、《杭州市城乡建设委员会关于落实省建设厅调整2018版建筑安装工程安全文明施工费有关事项的通知》（杭建市通知〔2025〕98号）</w:t>
            </w:r>
          </w:p>
          <w:p w14:paraId="45FD22D8">
            <w:pPr>
              <w:keepNext w:val="0"/>
              <w:keepLines w:val="0"/>
              <w:widowControl w:val="0"/>
              <w:suppressLineNumbers w:val="0"/>
              <w:spacing w:before="0" w:beforeAutospacing="0" w:after="0" w:afterAutospacing="0" w:line="360" w:lineRule="auto"/>
              <w:ind w:left="0" w:right="0" w:firstLine="420" w:firstLineChars="200"/>
              <w:jc w:val="both"/>
              <w:rPr>
                <w:rFonts w:hint="eastAsia" w:asciiTheme="minorEastAsia" w:hAnsiTheme="minorEastAsia" w:eastAsiaTheme="minorEastAsia" w:cstheme="minorEastAsia"/>
                <w:bCs/>
                <w:kern w:val="2"/>
                <w:sz w:val="21"/>
                <w:szCs w:val="21"/>
              </w:rPr>
            </w:pPr>
            <w:r>
              <w:rPr>
                <w:rFonts w:hint="eastAsia" w:asciiTheme="minorEastAsia" w:hAnsiTheme="minorEastAsia" w:eastAsiaTheme="minorEastAsia" w:cstheme="minorEastAsia"/>
                <w:bCs/>
                <w:kern w:val="2"/>
                <w:sz w:val="21"/>
                <w:szCs w:val="21"/>
                <w:lang w:val="en-US" w:eastAsia="zh-CN" w:bidi="ar"/>
              </w:rPr>
              <w:t>12、招标文件。</w:t>
            </w:r>
          </w:p>
          <w:p w14:paraId="0528845F">
            <w:pPr>
              <w:keepNext w:val="0"/>
              <w:keepLines w:val="0"/>
              <w:widowControl w:val="0"/>
              <w:suppressLineNumbers w:val="0"/>
              <w:spacing w:before="0" w:beforeAutospacing="0" w:after="0" w:afterAutospacing="0" w:line="360" w:lineRule="auto"/>
              <w:ind w:left="0" w:right="0" w:firstLine="420" w:firstLineChars="200"/>
              <w:jc w:val="both"/>
              <w:rPr>
                <w:rFonts w:hint="eastAsia" w:asciiTheme="minorEastAsia" w:hAnsiTheme="minorEastAsia" w:eastAsiaTheme="minorEastAsia" w:cstheme="minorEastAsia"/>
                <w:bCs/>
                <w:kern w:val="2"/>
                <w:sz w:val="21"/>
                <w:szCs w:val="21"/>
              </w:rPr>
            </w:pPr>
            <w:r>
              <w:rPr>
                <w:rFonts w:hint="eastAsia" w:asciiTheme="minorEastAsia" w:hAnsiTheme="minorEastAsia" w:eastAsiaTheme="minorEastAsia" w:cstheme="minorEastAsia"/>
                <w:bCs/>
                <w:kern w:val="2"/>
                <w:sz w:val="21"/>
                <w:szCs w:val="21"/>
                <w:lang w:val="en-US" w:eastAsia="zh-CN" w:bidi="ar"/>
              </w:rPr>
              <w:t>13、与建设项目相关的标准、图集、规范、技术资料、文件、法律法规和综合解释。</w:t>
            </w:r>
          </w:p>
          <w:p w14:paraId="6C0B4494">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四、工程质量、工期、材料、施工等要求</w:t>
            </w:r>
          </w:p>
          <w:p w14:paraId="0010E50D">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1、工程质量：根据招标文件要求。</w:t>
            </w:r>
          </w:p>
          <w:p w14:paraId="7A060BEB">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2、工期：根据招标文件要求。</w:t>
            </w:r>
          </w:p>
          <w:p w14:paraId="03586755">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3、施工要求详见招标文件及技术规范。</w:t>
            </w:r>
          </w:p>
          <w:p w14:paraId="128CC088">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五、安全文明施工措施费用的取费计算基数和最低费率标准</w:t>
            </w:r>
          </w:p>
          <w:p w14:paraId="54C26181">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安全文明施工费由文明施工费、环境保护费、临时设施费、安全施工费组成。以实施标准划分，可分为安全文明施工基本费和创建安全文明施工标准化工地增加费（以下简称“标化工地增加费”）。</w:t>
            </w:r>
          </w:p>
          <w:p w14:paraId="38BCAD6F">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机械费”之和。</w:t>
            </w:r>
          </w:p>
          <w:p w14:paraId="4D1893F7">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安全文明基本费分档累进等全部取费内容，中标后不再调整费率，安全文明基本费按中标价一次性包干。</w:t>
            </w:r>
          </w:p>
          <w:p w14:paraId="3BE20BF7">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房屋建筑装饰</w:t>
            </w:r>
            <w:r>
              <w:rPr>
                <w:rFonts w:hint="eastAsia" w:asciiTheme="minorEastAsia" w:hAnsiTheme="minorEastAsia" w:eastAsiaTheme="minorEastAsia" w:cstheme="minorEastAsia"/>
                <w:color w:val="auto"/>
                <w:sz w:val="21"/>
                <w:szCs w:val="21"/>
                <w:highlight w:val="none"/>
              </w:rPr>
              <w:t>最低标准费率为</w:t>
            </w:r>
            <w:r>
              <w:rPr>
                <w:rFonts w:hint="eastAsia" w:asciiTheme="minorEastAsia" w:hAnsiTheme="minorEastAsia" w:eastAsiaTheme="minorEastAsia" w:cstheme="minorEastAsia"/>
                <w:b/>
                <w:bCs/>
                <w:color w:val="auto"/>
                <w:sz w:val="21"/>
                <w:szCs w:val="21"/>
                <w:highlight w:val="none"/>
                <w:lang w:val="en-US" w:eastAsia="zh-CN"/>
              </w:rPr>
              <w:t>6.43</w:t>
            </w:r>
            <w:r>
              <w:rPr>
                <w:rFonts w:hint="eastAsia" w:asciiTheme="minorEastAsia" w:hAnsiTheme="minorEastAsia" w:eastAsiaTheme="minorEastAsia" w:cstheme="minorEastAsia"/>
                <w:b/>
                <w:bCs/>
                <w:color w:val="auto"/>
                <w:sz w:val="21"/>
                <w:szCs w:val="21"/>
                <w:highlight w:val="none"/>
              </w:rPr>
              <w:t>%</w:t>
            </w:r>
            <w:bookmarkStart w:id="2" w:name="OLE_LINK9"/>
            <w:bookmarkStart w:id="3" w:name="OLE_LINK6"/>
            <w:r>
              <w:rPr>
                <w:rFonts w:hint="eastAsia" w:asciiTheme="minorEastAsia" w:hAnsiTheme="minorEastAsia" w:eastAsiaTheme="minorEastAsia" w:cstheme="minorEastAsia"/>
                <w:b/>
                <w:bCs/>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通用</w:t>
            </w:r>
            <w:r>
              <w:rPr>
                <w:rFonts w:hint="eastAsia" w:asciiTheme="minorEastAsia" w:hAnsiTheme="minorEastAsia" w:eastAsiaTheme="minorEastAsia" w:cstheme="minorEastAsia"/>
                <w:color w:val="auto"/>
                <w:sz w:val="21"/>
                <w:szCs w:val="21"/>
                <w:highlight w:val="none"/>
              </w:rPr>
              <w:t>安装工程最低取费费率为</w:t>
            </w:r>
            <w:r>
              <w:rPr>
                <w:rFonts w:hint="eastAsia" w:asciiTheme="minorEastAsia" w:hAnsiTheme="minorEastAsia" w:eastAsiaTheme="minorEastAsia" w:cstheme="minorEastAsia"/>
                <w:b/>
                <w:bCs/>
                <w:color w:val="auto"/>
                <w:sz w:val="21"/>
                <w:szCs w:val="21"/>
                <w:highlight w:val="none"/>
              </w:rPr>
              <w:t>7.</w:t>
            </w:r>
            <w:bookmarkEnd w:id="2"/>
            <w:bookmarkEnd w:id="3"/>
            <w:r>
              <w:rPr>
                <w:rFonts w:hint="eastAsia" w:asciiTheme="minorEastAsia" w:hAnsiTheme="minorEastAsia" w:eastAsiaTheme="minorEastAsia" w:cstheme="minorEastAsia"/>
                <w:b/>
                <w:bCs/>
                <w:color w:val="auto"/>
                <w:sz w:val="21"/>
                <w:szCs w:val="21"/>
                <w:highlight w:val="none"/>
                <w:lang w:val="en-US" w:eastAsia="zh-CN"/>
              </w:rPr>
              <w:t>99</w:t>
            </w:r>
            <w:r>
              <w:rPr>
                <w:rFonts w:hint="eastAsia" w:asciiTheme="minorEastAsia" w:hAnsiTheme="minorEastAsia" w:eastAsiaTheme="minorEastAsia" w:cstheme="minorEastAsia"/>
                <w:b/>
                <w:bCs/>
                <w:color w:val="auto"/>
                <w:sz w:val="21"/>
                <w:szCs w:val="21"/>
                <w:highlight w:val="none"/>
              </w:rPr>
              <w:t>%</w:t>
            </w:r>
            <w:r>
              <w:rPr>
                <w:rFonts w:hint="eastAsia" w:asciiTheme="minorEastAsia" w:hAnsiTheme="minorEastAsia" w:eastAsiaTheme="minorEastAsia" w:cstheme="minorEastAsia"/>
                <w:b/>
                <w:bCs/>
                <w:color w:val="auto"/>
                <w:sz w:val="21"/>
                <w:szCs w:val="21"/>
                <w:highlight w:val="none"/>
                <w:lang w:eastAsia="zh-CN"/>
              </w:rPr>
              <w:t>。</w:t>
            </w:r>
          </w:p>
          <w:p w14:paraId="028EA98F">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标化工地增加费：</w:t>
            </w:r>
            <w:r>
              <w:rPr>
                <w:rFonts w:hint="eastAsia" w:asciiTheme="minorEastAsia" w:hAnsiTheme="minorEastAsia" w:eastAsiaTheme="minorEastAsia" w:cstheme="minorEastAsia"/>
                <w:color w:val="auto"/>
                <w:sz w:val="21"/>
                <w:szCs w:val="21"/>
                <w:highlight w:val="none"/>
                <w:lang w:val="en-US" w:eastAsia="zh-CN"/>
              </w:rPr>
              <w:t>无。</w:t>
            </w:r>
          </w:p>
          <w:p w14:paraId="3E336B32">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六、企业管理费用的取费计算基数和最低费率标准</w:t>
            </w:r>
          </w:p>
          <w:p w14:paraId="3B82DC50">
            <w:pPr>
              <w:keepNext w:val="0"/>
              <w:keepLines w:val="0"/>
              <w:suppressLineNumbers w:val="0"/>
              <w:spacing w:before="0" w:beforeAutospacing="0" w:after="0" w:afterAutospacing="0" w:line="360" w:lineRule="auto"/>
              <w:ind w:left="0" w:right="0" w:firstLine="420" w:firstLineChars="200"/>
              <w:rPr>
                <w:rFonts w:hint="eastAsia" w:asciiTheme="minorEastAsia" w:hAnsiTheme="minorEastAsia" w:eastAsiaTheme="minorEastAsia" w:cstheme="minorEastAsia"/>
                <w:color w:val="auto"/>
                <w:sz w:val="21"/>
                <w:szCs w:val="21"/>
                <w:highlight w:val="none"/>
              </w:rPr>
            </w:pPr>
            <w:bookmarkStart w:id="4" w:name="OLE_LINK11"/>
            <w:r>
              <w:rPr>
                <w:rFonts w:hint="eastAsia" w:asciiTheme="minorEastAsia" w:hAnsiTheme="minorEastAsia" w:eastAsiaTheme="minorEastAsia" w:cstheme="minorEastAsia"/>
                <w:color w:val="auto"/>
                <w:sz w:val="21"/>
                <w:szCs w:val="21"/>
                <w:highlight w:val="none"/>
              </w:rPr>
              <w:t>根据《杭州市建设工程工程量清单计价实施细则（2018年修订）》文件规定，</w:t>
            </w:r>
            <w:bookmarkEnd w:id="4"/>
            <w:r>
              <w:rPr>
                <w:rFonts w:hint="eastAsia" w:asciiTheme="minorEastAsia" w:hAnsiTheme="minorEastAsia" w:eastAsiaTheme="minorEastAsia" w:cstheme="minorEastAsia"/>
                <w:color w:val="auto"/>
                <w:sz w:val="21"/>
                <w:szCs w:val="21"/>
                <w:highlight w:val="none"/>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机械费”之和。</w:t>
            </w:r>
          </w:p>
          <w:p w14:paraId="3D12BC78">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房屋建筑装饰</w:t>
            </w:r>
            <w:r>
              <w:rPr>
                <w:rFonts w:hint="eastAsia" w:asciiTheme="minorEastAsia" w:hAnsiTheme="minorEastAsia" w:eastAsiaTheme="minorEastAsia" w:cstheme="minorEastAsia"/>
                <w:color w:val="auto"/>
                <w:sz w:val="21"/>
                <w:szCs w:val="21"/>
                <w:highlight w:val="none"/>
              </w:rPr>
              <w:t>最低取费费率为</w:t>
            </w:r>
            <w:r>
              <w:rPr>
                <w:rFonts w:hint="eastAsia" w:asciiTheme="minorEastAsia" w:hAnsiTheme="minorEastAsia" w:eastAsiaTheme="minorEastAsia" w:cstheme="minorEastAsia"/>
                <w:b/>
                <w:bCs/>
                <w:color w:val="auto"/>
                <w:sz w:val="21"/>
                <w:szCs w:val="21"/>
                <w:highlight w:val="none"/>
                <w:lang w:val="en-US" w:eastAsia="zh-CN"/>
              </w:rPr>
              <w:t>11.37%*20%=</w:t>
            </w:r>
            <w:r>
              <w:rPr>
                <w:rFonts w:hint="eastAsia" w:asciiTheme="minorEastAsia" w:hAnsiTheme="minorEastAsia" w:eastAsiaTheme="minorEastAsia" w:cstheme="minorEastAsia"/>
                <w:b/>
                <w:bCs/>
                <w:color w:val="auto"/>
                <w:sz w:val="21"/>
                <w:szCs w:val="21"/>
                <w:highlight w:val="none"/>
              </w:rPr>
              <w:t>2.27%</w:t>
            </w:r>
            <w:r>
              <w:rPr>
                <w:rFonts w:hint="eastAsia" w:asciiTheme="minorEastAsia" w:hAnsiTheme="minorEastAsia" w:eastAsiaTheme="minorEastAsia" w:cstheme="minorEastAsia"/>
                <w:b/>
                <w:bCs/>
                <w:color w:val="auto"/>
                <w:sz w:val="21"/>
                <w:szCs w:val="21"/>
                <w:highlight w:val="none"/>
                <w:lang w:eastAsia="zh-CN"/>
              </w:rPr>
              <w:t>；</w:t>
            </w:r>
          </w:p>
          <w:p w14:paraId="65E15623">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通用</w:t>
            </w:r>
            <w:r>
              <w:rPr>
                <w:rFonts w:hint="eastAsia" w:asciiTheme="minorEastAsia" w:hAnsiTheme="minorEastAsia" w:eastAsiaTheme="minorEastAsia" w:cstheme="minorEastAsia"/>
                <w:color w:val="auto"/>
                <w:sz w:val="21"/>
                <w:szCs w:val="21"/>
                <w:highlight w:val="none"/>
              </w:rPr>
              <w:t>安装工程最低取费费率</w:t>
            </w:r>
            <w:r>
              <w:rPr>
                <w:rFonts w:hint="eastAsia" w:asciiTheme="minorEastAsia" w:hAnsiTheme="minorEastAsia" w:eastAsiaTheme="minorEastAsia" w:cstheme="minorEastAsia"/>
                <w:color w:val="auto"/>
                <w:sz w:val="21"/>
                <w:szCs w:val="21"/>
                <w:highlight w:val="none"/>
                <w:lang w:val="en-US" w:eastAsia="zh-CN"/>
              </w:rPr>
              <w:t>为</w:t>
            </w:r>
            <w:r>
              <w:rPr>
                <w:rFonts w:hint="eastAsia" w:asciiTheme="minorEastAsia" w:hAnsiTheme="minorEastAsia" w:eastAsiaTheme="minorEastAsia" w:cstheme="minorEastAsia"/>
                <w:b/>
                <w:bCs/>
                <w:color w:val="auto"/>
                <w:sz w:val="21"/>
                <w:szCs w:val="21"/>
                <w:highlight w:val="none"/>
                <w:lang w:val="en-US" w:eastAsia="zh-CN"/>
              </w:rPr>
              <w:t>16.29%*20%=</w:t>
            </w:r>
            <w:r>
              <w:rPr>
                <w:rFonts w:hint="eastAsia" w:asciiTheme="minorEastAsia" w:hAnsiTheme="minorEastAsia" w:eastAsiaTheme="minorEastAsia" w:cstheme="minorEastAsia"/>
                <w:b/>
                <w:bCs/>
                <w:color w:val="auto"/>
                <w:sz w:val="21"/>
                <w:szCs w:val="21"/>
                <w:highlight w:val="none"/>
              </w:rPr>
              <w:t>3.26%</w:t>
            </w:r>
            <w:r>
              <w:rPr>
                <w:rFonts w:hint="eastAsia" w:asciiTheme="minorEastAsia" w:hAnsiTheme="minorEastAsia" w:eastAsiaTheme="minorEastAsia" w:cstheme="minorEastAsia"/>
                <w:b/>
                <w:bCs/>
                <w:color w:val="auto"/>
                <w:sz w:val="21"/>
                <w:szCs w:val="21"/>
                <w:highlight w:val="none"/>
                <w:lang w:eastAsia="zh-CN"/>
              </w:rPr>
              <w:t>。</w:t>
            </w:r>
          </w:p>
          <w:p w14:paraId="39A09B2A">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七、规费、税金的取费要求</w:t>
            </w:r>
          </w:p>
          <w:p w14:paraId="08DCA10F">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机械费”之和，报价按《浙江省建设工程施工取费定额（2018）》不得低于费率乘以30%的规定执行。</w:t>
            </w:r>
          </w:p>
          <w:p w14:paraId="10068917">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房屋建筑装饰</w:t>
            </w:r>
            <w:r>
              <w:rPr>
                <w:rFonts w:hint="eastAsia" w:asciiTheme="minorEastAsia" w:hAnsiTheme="minorEastAsia" w:eastAsiaTheme="minorEastAsia" w:cstheme="minorEastAsia"/>
                <w:color w:val="auto"/>
                <w:sz w:val="21"/>
                <w:szCs w:val="21"/>
                <w:highlight w:val="none"/>
              </w:rPr>
              <w:t>最低取费费率为</w:t>
            </w:r>
            <w:r>
              <w:rPr>
                <w:rFonts w:hint="eastAsia" w:asciiTheme="minorEastAsia" w:hAnsiTheme="minorEastAsia" w:eastAsiaTheme="minorEastAsia" w:cstheme="minorEastAsia"/>
                <w:b/>
                <w:bCs/>
                <w:color w:val="auto"/>
                <w:sz w:val="21"/>
                <w:szCs w:val="21"/>
                <w:highlight w:val="none"/>
                <w:lang w:val="en-US" w:eastAsia="zh-CN"/>
              </w:rPr>
              <w:t>27.92%*30%=</w:t>
            </w:r>
            <w:r>
              <w:rPr>
                <w:rFonts w:hint="eastAsia" w:asciiTheme="minorEastAsia" w:hAnsiTheme="minorEastAsia" w:eastAsiaTheme="minorEastAsia" w:cstheme="minorEastAsia"/>
                <w:b/>
                <w:bCs/>
                <w:color w:val="auto"/>
                <w:sz w:val="21"/>
                <w:szCs w:val="21"/>
                <w:highlight w:val="none"/>
              </w:rPr>
              <w:t>8.38%</w:t>
            </w:r>
            <w:r>
              <w:rPr>
                <w:rFonts w:hint="eastAsia" w:asciiTheme="minorEastAsia" w:hAnsiTheme="minorEastAsia" w:eastAsiaTheme="minorEastAsia" w:cstheme="minorEastAsia"/>
                <w:b/>
                <w:bCs/>
                <w:color w:val="auto"/>
                <w:sz w:val="21"/>
                <w:szCs w:val="21"/>
                <w:highlight w:val="none"/>
                <w:lang w:eastAsia="zh-CN"/>
              </w:rPr>
              <w:t>；</w:t>
            </w:r>
          </w:p>
          <w:p w14:paraId="061472F8">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通用</w:t>
            </w:r>
            <w:r>
              <w:rPr>
                <w:rFonts w:hint="eastAsia" w:asciiTheme="minorEastAsia" w:hAnsiTheme="minorEastAsia" w:eastAsiaTheme="minorEastAsia" w:cstheme="minorEastAsia"/>
                <w:color w:val="auto"/>
                <w:sz w:val="21"/>
                <w:szCs w:val="21"/>
                <w:highlight w:val="none"/>
              </w:rPr>
              <w:t>安装工程最低取费费率为</w:t>
            </w:r>
            <w:r>
              <w:rPr>
                <w:rFonts w:hint="eastAsia" w:asciiTheme="minorEastAsia" w:hAnsiTheme="minorEastAsia" w:eastAsiaTheme="minorEastAsia" w:cstheme="minorEastAsia"/>
                <w:b/>
                <w:bCs/>
                <w:color w:val="auto"/>
                <w:sz w:val="21"/>
                <w:szCs w:val="21"/>
                <w:highlight w:val="none"/>
                <w:lang w:val="en-US" w:eastAsia="zh-CN"/>
              </w:rPr>
              <w:t>30.63%*30%=</w:t>
            </w:r>
            <w:r>
              <w:rPr>
                <w:rFonts w:hint="eastAsia" w:asciiTheme="minorEastAsia" w:hAnsiTheme="minorEastAsia" w:eastAsiaTheme="minorEastAsia" w:cstheme="minorEastAsia"/>
                <w:b/>
                <w:bCs/>
                <w:color w:val="auto"/>
                <w:sz w:val="21"/>
                <w:szCs w:val="21"/>
                <w:highlight w:val="none"/>
              </w:rPr>
              <w:t>9.19%</w:t>
            </w:r>
            <w:r>
              <w:rPr>
                <w:rFonts w:hint="eastAsia" w:asciiTheme="minorEastAsia" w:hAnsiTheme="minorEastAsia" w:eastAsiaTheme="minorEastAsia" w:cstheme="minorEastAsia"/>
                <w:b/>
                <w:bCs/>
                <w:color w:val="auto"/>
                <w:sz w:val="21"/>
                <w:szCs w:val="21"/>
                <w:highlight w:val="none"/>
                <w:lang w:eastAsia="zh-CN"/>
              </w:rPr>
              <w:t>。</w:t>
            </w:r>
          </w:p>
          <w:p w14:paraId="302D8620">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Theme="minorEastAsia" w:hAnsiTheme="minorEastAsia" w:eastAsiaTheme="minorEastAsia" w:cstheme="minorEastAsia"/>
                <w:b/>
                <w:bCs/>
                <w:color w:val="auto"/>
                <w:sz w:val="21"/>
                <w:szCs w:val="21"/>
                <w:highlight w:val="none"/>
              </w:rPr>
              <w:t>9%</w:t>
            </w:r>
            <w:r>
              <w:rPr>
                <w:rFonts w:hint="eastAsia" w:asciiTheme="minorEastAsia" w:hAnsiTheme="minorEastAsia" w:eastAsiaTheme="minorEastAsia" w:cstheme="minorEastAsia"/>
                <w:color w:val="auto"/>
                <w:sz w:val="21"/>
                <w:szCs w:val="21"/>
                <w:highlight w:val="none"/>
              </w:rPr>
              <w:t>。</w:t>
            </w:r>
          </w:p>
          <w:p w14:paraId="4C134055">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八、暂列金额的数量</w:t>
            </w:r>
          </w:p>
          <w:p w14:paraId="416E932A">
            <w:pPr>
              <w:keepNext w:val="0"/>
              <w:keepLines w:val="0"/>
              <w:widowControl/>
              <w:suppressLineNumbers w:val="0"/>
              <w:tabs>
                <w:tab w:val="left" w:pos="720"/>
              </w:tabs>
              <w:spacing w:before="0" w:beforeAutospacing="0" w:after="0" w:afterAutospacing="0" w:line="360" w:lineRule="auto"/>
              <w:ind w:left="420" w:right="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本工程</w:t>
            </w:r>
            <w:r>
              <w:rPr>
                <w:rFonts w:hint="eastAsia" w:asciiTheme="minorEastAsia" w:hAnsiTheme="minorEastAsia" w:eastAsiaTheme="minorEastAsia" w:cstheme="minorEastAsia"/>
                <w:color w:val="auto"/>
                <w:sz w:val="21"/>
                <w:szCs w:val="21"/>
                <w:highlight w:val="none"/>
                <w:lang w:val="en-US" w:eastAsia="zh-CN"/>
              </w:rPr>
              <w:t>暂列</w:t>
            </w:r>
            <w:r>
              <w:rPr>
                <w:rFonts w:hint="eastAsia" w:asciiTheme="minorEastAsia" w:hAnsiTheme="minorEastAsia" w:eastAsiaTheme="minorEastAsia" w:cstheme="minorEastAsia"/>
                <w:color w:val="auto"/>
                <w:sz w:val="21"/>
                <w:szCs w:val="21"/>
                <w:highlight w:val="none"/>
              </w:rPr>
              <w:t>金额：</w:t>
            </w:r>
            <w:r>
              <w:rPr>
                <w:rFonts w:hint="eastAsia" w:asciiTheme="minorEastAsia" w:hAnsiTheme="minorEastAsia" w:eastAsiaTheme="minorEastAsia" w:cstheme="minorEastAsia"/>
                <w:color w:val="auto"/>
                <w:sz w:val="21"/>
                <w:szCs w:val="21"/>
                <w:highlight w:val="none"/>
                <w:lang w:val="en-US" w:eastAsia="zh-CN"/>
              </w:rPr>
              <w:t>无</w:t>
            </w:r>
            <w:r>
              <w:rPr>
                <w:rFonts w:hint="eastAsia" w:asciiTheme="minorEastAsia" w:hAnsiTheme="minorEastAsia" w:eastAsiaTheme="minorEastAsia" w:cstheme="minorEastAsia"/>
                <w:color w:val="auto"/>
                <w:sz w:val="21"/>
                <w:szCs w:val="21"/>
                <w:highlight w:val="none"/>
              </w:rPr>
              <w:t>。</w:t>
            </w:r>
          </w:p>
          <w:p w14:paraId="381F20EE">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九、招标人自行采购材料的名称、规格型号、数量，要求总承包人提供的服务内容</w:t>
            </w:r>
          </w:p>
          <w:p w14:paraId="026D4E8A">
            <w:pPr>
              <w:keepNext w:val="0"/>
              <w:keepLines w:val="0"/>
              <w:widowControl/>
              <w:suppressLineNumbers w:val="0"/>
              <w:tabs>
                <w:tab w:val="left" w:pos="720"/>
              </w:tabs>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1、总承包服务（配合）内容：</w:t>
            </w:r>
            <w:r>
              <w:rPr>
                <w:rFonts w:hint="eastAsia" w:asciiTheme="minorEastAsia" w:hAnsiTheme="minorEastAsia" w:eastAsiaTheme="minorEastAsia" w:cstheme="minorEastAsia"/>
                <w:color w:val="auto"/>
                <w:sz w:val="21"/>
                <w:szCs w:val="21"/>
                <w:highlight w:val="none"/>
                <w:lang w:val="en-US" w:eastAsia="zh-CN"/>
              </w:rPr>
              <w:t>详见招标文件要求</w:t>
            </w:r>
            <w:r>
              <w:rPr>
                <w:rFonts w:hint="eastAsia" w:asciiTheme="minorEastAsia" w:hAnsiTheme="minorEastAsia" w:eastAsiaTheme="minorEastAsia" w:cstheme="minorEastAsia"/>
                <w:color w:val="auto"/>
                <w:sz w:val="21"/>
                <w:szCs w:val="21"/>
                <w:highlight w:val="none"/>
              </w:rPr>
              <w:t>。</w:t>
            </w:r>
          </w:p>
          <w:p w14:paraId="7EC805AA">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十、其他需要说明的问题</w:t>
            </w:r>
          </w:p>
          <w:p w14:paraId="1C94E6C2">
            <w:pPr>
              <w:keepNext w:val="0"/>
              <w:keepLines w:val="0"/>
              <w:suppressLineNumbers w:val="0"/>
              <w:spacing w:before="0" w:beforeAutospacing="0" w:after="0" w:afterAutospacing="0" w:line="360" w:lineRule="auto"/>
              <w:ind w:left="0" w:right="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 xml:space="preserve"> （一）整体</w:t>
            </w:r>
          </w:p>
          <w:p w14:paraId="1775C77E">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分部分项工程量清单中的工程量是按实物净量计算的，一切损耗均应在投标报价的综合单价中考虑。</w:t>
            </w:r>
          </w:p>
          <w:p w14:paraId="208BC551">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各投标单位在进行综合单价报价时必须结合施工图、相关图集、文件等进行编制</w:t>
            </w:r>
            <w:r>
              <w:rPr>
                <w:rFonts w:hint="eastAsia" w:asciiTheme="minorEastAsia" w:hAnsiTheme="minorEastAsia" w:eastAsiaTheme="minorEastAsia" w:cstheme="minorEastAsia"/>
                <w:color w:val="auto"/>
                <w:sz w:val="21"/>
                <w:szCs w:val="21"/>
                <w:highlight w:val="none"/>
                <w:lang w:eastAsia="zh-CN"/>
              </w:rPr>
              <w:t>。</w:t>
            </w:r>
          </w:p>
          <w:p w14:paraId="6DC6F35B">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投标人应在综合单价中充分考虑施工中的各种损耗和需要增加的工程量，所报综合单价应包含该清单子目的所有工作内容，并考虑风险因素。</w:t>
            </w:r>
          </w:p>
          <w:p w14:paraId="3431FAC6">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以“项”为单位的分部分项工程量清单项目及措施项目为总价子目，合价固定包干，在招标范围内不作调整，投标人报价时应考虑设计方案优化、施工方案调整等风险因素，后期图纸引起的变更及技术联系单变更造成的技术措施费用均不再计算费用</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但工程实施过程中经批准甩项的工程量的措施费按投标口径扣除。</w:t>
            </w:r>
          </w:p>
          <w:p w14:paraId="75A0B24F">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本工程的所有材料进场前中标单位先提供样品由建设单位、设计和监理方确认后方可进场，请充分考虑风险后报价。</w:t>
            </w:r>
          </w:p>
          <w:p w14:paraId="5A9218E3">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投标报价应综合考虑各项技术规范所涉及的各项要求进行报价，若国家/省级/地方技术规范发生冲突，以最高标准执行。</w:t>
            </w:r>
          </w:p>
          <w:p w14:paraId="44C6F1E0">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投标人应先到工地踏勘以充分了解工地位置、现状、交通运输、空间局限及任何其它足以影响报价的情况，任何因忽视或误解工地情况而导致的索赔或工期延长申请将不获批准。</w:t>
            </w:r>
          </w:p>
          <w:p w14:paraId="51690F96">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请投标人充分考虑本工程所有设备单体调试和系统调试完成且经甲方验收后所需的相关调试费用（如水电费等）、满足设备运行环境和储存环境产生的费用，并计入投标总价内，各投标单位需要在相应的子目中综合考虑费用。</w:t>
            </w:r>
          </w:p>
          <w:p w14:paraId="124A110F">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工程量清单及其计价依据格式中的任何内容不得随意删除或涂改，若有错误，在招标答疑时及时提出，以“补充答疑”资料为准。</w:t>
            </w:r>
          </w:p>
          <w:p w14:paraId="3F58CFAF">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本清单项目特征内未注明的单位均为mm（毫米）。</w:t>
            </w:r>
          </w:p>
          <w:p w14:paraId="35A96616">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若施工场地无法满足投标人临时设施布置需求，由投标人自行就近解决（场地租赁费用及场地到施工现场间的用水用电管线接通、道路接通、人材机的短驳转运</w:t>
            </w:r>
            <w:r>
              <w:rPr>
                <w:rFonts w:hint="eastAsia" w:asciiTheme="minorEastAsia" w:hAnsiTheme="minorEastAsia" w:eastAsiaTheme="minorEastAsia" w:cstheme="minorEastAsia"/>
                <w:sz w:val="21"/>
                <w:szCs w:val="21"/>
                <w:lang w:val="en-US" w:eastAsia="zh-CN"/>
              </w:rPr>
              <w:t>等</w:t>
            </w:r>
            <w:r>
              <w:rPr>
                <w:rFonts w:hint="eastAsia" w:asciiTheme="minorEastAsia" w:hAnsiTheme="minorEastAsia" w:eastAsiaTheme="minorEastAsia" w:cstheme="minorEastAsia"/>
                <w:sz w:val="21"/>
                <w:szCs w:val="21"/>
              </w:rPr>
              <w:t>费</w:t>
            </w:r>
            <w:r>
              <w:rPr>
                <w:rFonts w:hint="eastAsia" w:asciiTheme="minorEastAsia" w:hAnsiTheme="minorEastAsia" w:eastAsiaTheme="minorEastAsia" w:cstheme="minorEastAsia"/>
                <w:sz w:val="21"/>
                <w:szCs w:val="21"/>
                <w:lang w:val="en-US" w:eastAsia="zh-CN"/>
              </w:rPr>
              <w:t>用</w:t>
            </w:r>
            <w:r>
              <w:rPr>
                <w:rFonts w:hint="eastAsia" w:asciiTheme="minorEastAsia" w:hAnsiTheme="minorEastAsia" w:eastAsiaTheme="minorEastAsia" w:cstheme="minorEastAsia"/>
                <w:sz w:val="21"/>
                <w:szCs w:val="21"/>
              </w:rPr>
              <w:t>由投标人在组织措施费考虑包干），中标后招标人不再另行支付相关费用。</w:t>
            </w:r>
          </w:p>
          <w:p w14:paraId="7C7F2D2D">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投标人根据自行确定的施工方案及招标文件相关要求，认为有必要增加的技术措施费，计入</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其他措施费</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当中，并提供相应的措施项目清单综合单价计算表及工料机分析表</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一旦中标不再调整。</w:t>
            </w:r>
          </w:p>
          <w:p w14:paraId="62235FC4">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与其它相关工程配合所产生的开孔、防水密封等费用均应列入相应清单项目综合报价中，结算时不作调整。</w:t>
            </w:r>
          </w:p>
          <w:p w14:paraId="1D978BB1">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施工工期低于定额工期的赶工费用请投标人在综合单价中考虑。</w:t>
            </w:r>
          </w:p>
          <w:p w14:paraId="5682689C">
            <w:pPr>
              <w:keepNext w:val="0"/>
              <w:keepLines w:val="0"/>
              <w:widowControl/>
              <w:numPr>
                <w:ilvl w:val="0"/>
                <w:numId w:val="1"/>
              </w:numPr>
              <w:suppressLineNumbers w:val="0"/>
              <w:spacing w:before="0" w:beforeAutospacing="0" w:after="0" w:afterAutospacing="0" w:line="360" w:lineRule="auto"/>
              <w:ind w:left="0" w:right="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施工单位需要考虑工程移交前工程范围内的卫生保洁费用，以及施工现场配备保安人员做好防盗、防损工作所需的费用，计入措施项目费中，否则视作优惠。</w:t>
            </w:r>
          </w:p>
          <w:p w14:paraId="09BB5F5F">
            <w:pPr>
              <w:keepNext w:val="0"/>
              <w:keepLines w:val="0"/>
              <w:widowControl/>
              <w:numPr>
                <w:ilvl w:val="0"/>
                <w:numId w:val="0"/>
              </w:numPr>
              <w:suppressLineNumbers w:val="0"/>
              <w:spacing w:before="0" w:beforeAutospacing="0" w:after="0" w:afterAutospacing="0" w:line="360" w:lineRule="auto"/>
              <w:ind w:left="0" w:right="0" w:firstLine="420" w:firstLineChars="200"/>
              <w:jc w:val="left"/>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16、经明确，36号楼边套51套，中套31套；38号楼边套61套，中套68套。</w:t>
            </w:r>
            <w:bookmarkStart w:id="5" w:name="_GoBack"/>
            <w:bookmarkEnd w:id="5"/>
          </w:p>
          <w:p w14:paraId="404407FB">
            <w:pPr>
              <w:keepNext w:val="0"/>
              <w:keepLines w:val="0"/>
              <w:suppressLineNumbers w:val="0"/>
              <w:spacing w:before="0" w:beforeAutospacing="0" w:after="0" w:afterAutospacing="0" w:line="360" w:lineRule="auto"/>
              <w:ind w:left="631" w:leftChars="200" w:right="0" w:hanging="211" w:hangingChars="100"/>
              <w:rPr>
                <w:rFonts w:hint="default" w:ascii="宋体" w:hAnsi="宋体" w:cs="宋体"/>
                <w:bCs/>
                <w:szCs w:val="21"/>
              </w:rPr>
            </w:pPr>
            <w:r>
              <w:rPr>
                <w:rFonts w:hint="eastAsia" w:ascii="宋体" w:hAnsi="宋体" w:cs="宋体"/>
                <w:b/>
                <w:bCs/>
                <w:szCs w:val="21"/>
              </w:rPr>
              <w:t>（二）主要材料品牌推荐表</w:t>
            </w:r>
          </w:p>
          <w:tbl>
            <w:tblPr>
              <w:tblStyle w:val="17"/>
              <w:tblpPr w:leftFromText="180" w:rightFromText="180" w:vertAnchor="text" w:horzAnchor="page" w:tblpX="552" w:tblpY="141"/>
              <w:tblOverlap w:val="never"/>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72"/>
              <w:gridCol w:w="4860"/>
            </w:tblGrid>
            <w:tr w14:paraId="01717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tcPr>
                <w:p w14:paraId="11FB39F4">
                  <w:pPr>
                    <w:keepNext w:val="0"/>
                    <w:keepLines w:val="0"/>
                    <w:suppressLineNumbers w:val="0"/>
                    <w:spacing w:before="0" w:beforeAutospacing="0" w:after="0" w:afterAutospacing="0" w:line="360" w:lineRule="auto"/>
                    <w:ind w:left="0" w:right="0"/>
                    <w:jc w:val="center"/>
                    <w:rPr>
                      <w:rFonts w:hint="default" w:ascii="宋体" w:hAnsi="宋体" w:cs="宋体"/>
                      <w:szCs w:val="21"/>
                    </w:rPr>
                  </w:pPr>
                  <w:r>
                    <w:rPr>
                      <w:rFonts w:hint="eastAsia" w:ascii="宋体" w:hAnsi="宋体" w:cs="宋体"/>
                      <w:szCs w:val="21"/>
                    </w:rPr>
                    <w:t>序号</w:t>
                  </w:r>
                </w:p>
              </w:tc>
              <w:tc>
                <w:tcPr>
                  <w:tcW w:w="2772" w:type="dxa"/>
                  <w:noWrap/>
                </w:tcPr>
                <w:p w14:paraId="3D7357E6">
                  <w:pPr>
                    <w:keepNext w:val="0"/>
                    <w:keepLines w:val="0"/>
                    <w:suppressLineNumbers w:val="0"/>
                    <w:spacing w:before="0" w:beforeAutospacing="0" w:after="0" w:afterAutospacing="0" w:line="360" w:lineRule="auto"/>
                    <w:ind w:left="0" w:right="0"/>
                    <w:jc w:val="center"/>
                    <w:rPr>
                      <w:rFonts w:hint="default" w:ascii="宋体" w:hAnsi="宋体" w:cs="宋体"/>
                      <w:szCs w:val="21"/>
                    </w:rPr>
                  </w:pPr>
                  <w:r>
                    <w:rPr>
                      <w:rFonts w:hint="eastAsia" w:ascii="宋体" w:hAnsi="宋体" w:cs="宋体"/>
                      <w:szCs w:val="21"/>
                    </w:rPr>
                    <w:t>主要设备材料名称</w:t>
                  </w:r>
                </w:p>
              </w:tc>
              <w:tc>
                <w:tcPr>
                  <w:tcW w:w="4860" w:type="dxa"/>
                  <w:noWrap/>
                </w:tcPr>
                <w:p w14:paraId="508A7381">
                  <w:pPr>
                    <w:keepNext w:val="0"/>
                    <w:keepLines w:val="0"/>
                    <w:suppressLineNumbers w:val="0"/>
                    <w:spacing w:before="0" w:beforeAutospacing="0" w:after="0" w:afterAutospacing="0" w:line="360" w:lineRule="auto"/>
                    <w:ind w:left="0" w:right="0"/>
                    <w:jc w:val="center"/>
                    <w:rPr>
                      <w:rFonts w:hint="default" w:ascii="宋体" w:hAnsi="宋体" w:cs="宋体"/>
                      <w:szCs w:val="21"/>
                    </w:rPr>
                  </w:pPr>
                  <w:r>
                    <w:rPr>
                      <w:rFonts w:hint="eastAsia" w:ascii="宋体" w:hAnsi="宋体" w:cs="宋体"/>
                      <w:szCs w:val="21"/>
                    </w:rPr>
                    <w:t>推荐品牌</w:t>
                  </w:r>
                </w:p>
              </w:tc>
            </w:tr>
            <w:tr w14:paraId="12BA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tcPr>
                <w:p w14:paraId="1A0DB1AC">
                  <w:pPr>
                    <w:keepNext w:val="0"/>
                    <w:keepLines w:val="0"/>
                    <w:suppressLineNumbers w:val="0"/>
                    <w:spacing w:before="0" w:beforeAutospacing="0" w:after="0" w:afterAutospacing="0" w:line="360" w:lineRule="auto"/>
                    <w:ind w:left="0" w:right="0"/>
                    <w:jc w:val="center"/>
                    <w:rPr>
                      <w:rFonts w:hint="default" w:ascii="宋体" w:hAnsi="宋体" w:cs="宋体"/>
                      <w:szCs w:val="21"/>
                    </w:rPr>
                  </w:pPr>
                  <w:r>
                    <w:rPr>
                      <w:rFonts w:hint="eastAsia" w:ascii="宋体" w:hAnsi="宋体" w:cs="宋体"/>
                      <w:szCs w:val="21"/>
                    </w:rPr>
                    <w:t>1</w:t>
                  </w:r>
                </w:p>
              </w:tc>
              <w:tc>
                <w:tcPr>
                  <w:tcW w:w="2772" w:type="dxa"/>
                  <w:noWrap/>
                </w:tcPr>
                <w:p w14:paraId="762F6199">
                  <w:pPr>
                    <w:keepNext w:val="0"/>
                    <w:keepLines w:val="0"/>
                    <w:suppressLineNumbers w:val="0"/>
                    <w:spacing w:before="0" w:beforeAutospacing="0" w:after="0" w:afterAutospacing="0" w:line="360" w:lineRule="auto"/>
                    <w:ind w:left="0" w:right="0"/>
                    <w:jc w:val="left"/>
                    <w:rPr>
                      <w:rFonts w:hint="eastAsia" w:ascii="宋体" w:hAnsi="宋体" w:eastAsia="宋体" w:cs="宋体"/>
                      <w:szCs w:val="21"/>
                      <w:lang w:eastAsia="zh-CN"/>
                    </w:rPr>
                  </w:pPr>
                  <w:r>
                    <w:rPr>
                      <w:rFonts w:hint="eastAsia" w:ascii="宋体" w:hAnsi="宋体" w:cs="宋体"/>
                      <w:szCs w:val="21"/>
                      <w:lang w:val="en-US" w:eastAsia="zh-CN"/>
                    </w:rPr>
                    <w:t>塑料管</w:t>
                  </w:r>
                </w:p>
              </w:tc>
              <w:tc>
                <w:tcPr>
                  <w:tcW w:w="4860" w:type="dxa"/>
                  <w:noWrap/>
                </w:tcPr>
                <w:p w14:paraId="54C4F342">
                  <w:pPr>
                    <w:keepNext w:val="0"/>
                    <w:keepLines w:val="0"/>
                    <w:suppressLineNumbers w:val="0"/>
                    <w:spacing w:before="0" w:beforeAutospacing="0" w:after="0" w:afterAutospacing="0" w:line="360" w:lineRule="auto"/>
                    <w:ind w:left="0" w:right="0"/>
                    <w:jc w:val="left"/>
                    <w:rPr>
                      <w:rFonts w:hint="default" w:ascii="宋体" w:hAnsi="宋体" w:cs="宋体"/>
                      <w:szCs w:val="21"/>
                    </w:rPr>
                  </w:pPr>
                  <w:r>
                    <w:rPr>
                      <w:rFonts w:hint="eastAsia" w:ascii="宋体" w:hAnsi="宋体" w:cs="宋体"/>
                      <w:szCs w:val="21"/>
                      <w:lang w:val="en-US" w:eastAsia="zh-CN"/>
                    </w:rPr>
                    <w:t>伟星</w:t>
                  </w:r>
                  <w:r>
                    <w:rPr>
                      <w:rFonts w:hint="eastAsia" w:ascii="宋体" w:hAnsi="宋体" w:cs="宋体"/>
                      <w:szCs w:val="21"/>
                    </w:rPr>
                    <w:t>、</w:t>
                  </w:r>
                  <w:r>
                    <w:rPr>
                      <w:rFonts w:hint="default" w:ascii="宋体" w:hAnsi="宋体" w:eastAsia="宋体" w:cs="宋体"/>
                      <w:b w:val="0"/>
                      <w:bCs w:val="0"/>
                      <w:sz w:val="20"/>
                      <w:szCs w:val="20"/>
                      <w:vertAlign w:val="baseline"/>
                      <w:lang w:eastAsia="zh-CN"/>
                    </w:rPr>
                    <w:t>联塑</w:t>
                  </w:r>
                  <w:r>
                    <w:rPr>
                      <w:rFonts w:hint="eastAsia" w:ascii="宋体" w:hAnsi="宋体" w:cs="宋体"/>
                      <w:szCs w:val="21"/>
                    </w:rPr>
                    <w:t>、</w:t>
                  </w:r>
                  <w:r>
                    <w:rPr>
                      <w:rFonts w:hint="default" w:ascii="宋体" w:hAnsi="宋体" w:eastAsia="宋体" w:cs="宋体"/>
                      <w:b w:val="0"/>
                      <w:bCs w:val="0"/>
                      <w:sz w:val="20"/>
                      <w:szCs w:val="20"/>
                      <w:vertAlign w:val="baseline"/>
                      <w:lang w:eastAsia="zh-CN"/>
                    </w:rPr>
                    <w:t>中财</w:t>
                  </w:r>
                  <w:r>
                    <w:rPr>
                      <w:rFonts w:hint="eastAsia" w:ascii="宋体" w:hAnsi="宋体" w:cs="宋体"/>
                      <w:kern w:val="0"/>
                      <w:szCs w:val="21"/>
                    </w:rPr>
                    <w:t>或同档次及以上</w:t>
                  </w:r>
                </w:p>
              </w:tc>
            </w:tr>
            <w:tr w14:paraId="66FB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6A8631D1">
                  <w:pPr>
                    <w:pStyle w:val="47"/>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2</w:t>
                  </w:r>
                </w:p>
              </w:tc>
              <w:tc>
                <w:tcPr>
                  <w:tcW w:w="2772" w:type="dxa"/>
                  <w:noWrap/>
                  <w:vAlign w:val="center"/>
                </w:tcPr>
                <w:p w14:paraId="75EC461E">
                  <w:pPr>
                    <w:pStyle w:val="47"/>
                    <w:keepNext w:val="0"/>
                    <w:keepLines w:val="0"/>
                    <w:widowControl/>
                    <w:suppressLineNumbers w:val="0"/>
                    <w:spacing w:before="0" w:beforeAutospacing="0" w:after="0" w:afterAutospacing="0" w:line="360" w:lineRule="auto"/>
                    <w:ind w:left="0" w:right="0"/>
                    <w:rPr>
                      <w:rFonts w:hint="eastAsia" w:ascii="宋体" w:hAnsi="宋体" w:eastAsia="宋体" w:cs="宋体"/>
                      <w:kern w:val="0"/>
                      <w:szCs w:val="21"/>
                      <w:lang w:eastAsia="zh-CN"/>
                    </w:rPr>
                  </w:pPr>
                  <w:r>
                    <w:rPr>
                      <w:rFonts w:hint="eastAsia" w:ascii="宋体" w:hAnsi="宋体" w:cs="宋体"/>
                      <w:kern w:val="0"/>
                      <w:szCs w:val="21"/>
                      <w:lang w:val="en-US" w:eastAsia="zh-CN"/>
                    </w:rPr>
                    <w:t>三角阀、水龙头</w:t>
                  </w:r>
                </w:p>
              </w:tc>
              <w:tc>
                <w:tcPr>
                  <w:tcW w:w="4860" w:type="dxa"/>
                  <w:noWrap/>
                  <w:vAlign w:val="center"/>
                </w:tcPr>
                <w:p w14:paraId="3494B7EF">
                  <w:pPr>
                    <w:pStyle w:val="47"/>
                    <w:keepNext w:val="0"/>
                    <w:keepLines w:val="0"/>
                    <w:widowControl/>
                    <w:suppressLineNumbers w:val="0"/>
                    <w:spacing w:before="0" w:beforeAutospacing="0" w:after="0" w:afterAutospacing="0" w:line="360" w:lineRule="auto"/>
                    <w:ind w:left="0" w:right="0"/>
                    <w:rPr>
                      <w:rFonts w:hint="default" w:ascii="宋体" w:hAnsi="宋体" w:cs="宋体"/>
                      <w:kern w:val="0"/>
                      <w:szCs w:val="21"/>
                    </w:rPr>
                  </w:pPr>
                  <w:r>
                    <w:rPr>
                      <w:rFonts w:hint="eastAsia" w:ascii="宋体" w:hAnsi="宋体" w:cs="宋体"/>
                      <w:kern w:val="0"/>
                      <w:szCs w:val="21"/>
                    </w:rPr>
                    <w:t>杭特、埃美柯、</w:t>
                  </w:r>
                  <w:r>
                    <w:rPr>
                      <w:rFonts w:hint="eastAsia" w:ascii="宋体" w:hAnsi="宋体" w:cs="宋体"/>
                      <w:kern w:val="0"/>
                      <w:szCs w:val="21"/>
                      <w:lang w:val="en-US" w:eastAsia="zh-CN"/>
                    </w:rPr>
                    <w:t>箭牌</w:t>
                  </w:r>
                  <w:r>
                    <w:rPr>
                      <w:rFonts w:hint="eastAsia" w:ascii="宋体" w:hAnsi="宋体" w:cs="宋体"/>
                      <w:kern w:val="0"/>
                      <w:szCs w:val="21"/>
                    </w:rPr>
                    <w:t>或同档次及以上</w:t>
                  </w:r>
                </w:p>
              </w:tc>
            </w:tr>
            <w:tr w14:paraId="3786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2FC6D9E2">
                  <w:pPr>
                    <w:pStyle w:val="47"/>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3</w:t>
                  </w:r>
                </w:p>
              </w:tc>
              <w:tc>
                <w:tcPr>
                  <w:tcW w:w="2772" w:type="dxa"/>
                  <w:noWrap/>
                  <w:vAlign w:val="center"/>
                </w:tcPr>
                <w:p w14:paraId="22DBFF46">
                  <w:pPr>
                    <w:pStyle w:val="47"/>
                    <w:keepNext w:val="0"/>
                    <w:keepLines w:val="0"/>
                    <w:widowControl/>
                    <w:suppressLineNumbers w:val="0"/>
                    <w:tabs>
                      <w:tab w:val="left" w:pos="667"/>
                    </w:tabs>
                    <w:spacing w:before="0" w:beforeAutospacing="0" w:after="0" w:afterAutospacing="0" w:line="360" w:lineRule="auto"/>
                    <w:ind w:left="0" w:right="0"/>
                    <w:rPr>
                      <w:rFonts w:hint="eastAsia" w:ascii="宋体" w:hAnsi="宋体" w:eastAsia="宋体" w:cs="宋体"/>
                      <w:kern w:val="0"/>
                      <w:szCs w:val="21"/>
                      <w:lang w:eastAsia="zh-CN"/>
                    </w:rPr>
                  </w:pPr>
                  <w:r>
                    <w:rPr>
                      <w:rFonts w:hint="eastAsia" w:ascii="宋体" w:hAnsi="宋体" w:cs="宋体"/>
                      <w:kern w:val="0"/>
                      <w:szCs w:val="21"/>
                      <w:lang w:val="en-US" w:eastAsia="zh-CN"/>
                    </w:rPr>
                    <w:t>阀门</w:t>
                  </w:r>
                </w:p>
              </w:tc>
              <w:tc>
                <w:tcPr>
                  <w:tcW w:w="4860" w:type="dxa"/>
                  <w:noWrap/>
                  <w:vAlign w:val="center"/>
                </w:tcPr>
                <w:p w14:paraId="428E7710">
                  <w:pPr>
                    <w:pStyle w:val="47"/>
                    <w:keepNext w:val="0"/>
                    <w:keepLines w:val="0"/>
                    <w:widowControl/>
                    <w:suppressLineNumbers w:val="0"/>
                    <w:spacing w:before="0" w:beforeAutospacing="0" w:after="0" w:afterAutospacing="0" w:line="360" w:lineRule="auto"/>
                    <w:ind w:left="0" w:right="0"/>
                    <w:rPr>
                      <w:rFonts w:hint="default" w:ascii="宋体" w:hAnsi="宋体" w:cs="宋体"/>
                      <w:kern w:val="0"/>
                      <w:szCs w:val="21"/>
                    </w:rPr>
                  </w:pPr>
                  <w:r>
                    <w:rPr>
                      <w:rFonts w:hint="eastAsia" w:ascii="宋体" w:hAnsi="宋体" w:cs="宋体"/>
                      <w:kern w:val="0"/>
                      <w:szCs w:val="21"/>
                    </w:rPr>
                    <w:t>埃美柯、</w:t>
                  </w:r>
                  <w:r>
                    <w:rPr>
                      <w:rFonts w:hint="default" w:ascii="宋体" w:hAnsi="宋体" w:eastAsia="宋体" w:cs="宋体"/>
                      <w:b w:val="0"/>
                      <w:bCs w:val="0"/>
                      <w:sz w:val="20"/>
                      <w:szCs w:val="20"/>
                      <w:vertAlign w:val="baseline"/>
                      <w:lang w:eastAsia="zh-CN"/>
                    </w:rPr>
                    <w:t>上海冠龙</w:t>
                  </w:r>
                  <w:r>
                    <w:rPr>
                      <w:rFonts w:hint="eastAsia" w:ascii="宋体" w:hAnsi="宋体" w:cs="宋体"/>
                      <w:kern w:val="0"/>
                      <w:szCs w:val="21"/>
                    </w:rPr>
                    <w:t>、</w:t>
                  </w:r>
                  <w:r>
                    <w:rPr>
                      <w:rFonts w:hint="default" w:ascii="宋体" w:hAnsi="宋体" w:eastAsia="宋体" w:cs="宋体"/>
                      <w:b w:val="0"/>
                      <w:bCs w:val="0"/>
                      <w:sz w:val="20"/>
                      <w:szCs w:val="20"/>
                      <w:vertAlign w:val="baseline"/>
                      <w:lang w:eastAsia="zh-CN"/>
                    </w:rPr>
                    <w:t>杭州春江</w:t>
                  </w:r>
                  <w:r>
                    <w:rPr>
                      <w:rFonts w:hint="eastAsia" w:ascii="宋体" w:hAnsi="宋体" w:cs="宋体"/>
                      <w:kern w:val="0"/>
                      <w:szCs w:val="21"/>
                    </w:rPr>
                    <w:t>或同档次及以上</w:t>
                  </w:r>
                </w:p>
              </w:tc>
            </w:tr>
          </w:tbl>
          <w:p w14:paraId="312AA80A">
            <w:pPr>
              <w:keepNext w:val="0"/>
              <w:keepLines w:val="0"/>
              <w:widowControl/>
              <w:numPr>
                <w:ilvl w:val="0"/>
                <w:numId w:val="0"/>
              </w:numPr>
              <w:suppressLineNumbers w:val="0"/>
              <w:spacing w:before="0" w:beforeAutospacing="0" w:after="0" w:afterAutospacing="0" w:line="360" w:lineRule="auto"/>
              <w:ind w:left="0" w:right="0" w:firstLine="420" w:firstLineChars="200"/>
              <w:jc w:val="left"/>
              <w:rPr>
                <w:rFonts w:hint="default" w:ascii="宋体" w:hAnsi="宋体" w:cs="宋体"/>
                <w:b w:val="0"/>
                <w:bCs w:val="0"/>
                <w:color w:val="auto"/>
                <w:sz w:val="21"/>
                <w:szCs w:val="21"/>
                <w:highlight w:val="none"/>
                <w:lang w:val="en-US" w:eastAsia="zh-CN"/>
              </w:rPr>
            </w:pPr>
          </w:p>
        </w:tc>
      </w:tr>
    </w:tbl>
    <w:p w14:paraId="110A57CA">
      <w:pPr>
        <w:spacing w:line="240" w:lineRule="auto"/>
        <w:rPr>
          <w:rFonts w:hint="eastAsia" w:asciiTheme="minorEastAsia" w:hAnsiTheme="minorEastAsia" w:eastAsiaTheme="minorEastAsia" w:cstheme="minorEastAsia"/>
          <w:sz w:val="21"/>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14C00">
    <w:pPr>
      <w:pStyle w:val="13"/>
      <w:framePr w:wrap="around" w:vAnchor="text" w:hAnchor="margin" w:xAlign="center" w:y="1"/>
      <w:rPr>
        <w:rStyle w:val="20"/>
      </w:rPr>
    </w:pPr>
    <w:r>
      <w:fldChar w:fldCharType="begin"/>
    </w:r>
    <w:r>
      <w:rPr>
        <w:rStyle w:val="20"/>
      </w:rPr>
      <w:instrText xml:space="preserve">PAGE  </w:instrText>
    </w:r>
    <w:r>
      <w:fldChar w:fldCharType="end"/>
    </w:r>
  </w:p>
  <w:p w14:paraId="2C61691B">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3CBFE">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53A6B710">
    <w:pPr>
      <w:pStyle w:val="4"/>
      <w:ind w:left="0" w:leftChars="0" w:firstLine="0" w:firstLineChars="0"/>
      <w:jc w:val="both"/>
      <w:rPr>
        <w:rFonts w:ascii="宋体" w:hAnsi="宋体"/>
        <w:szCs w:val="21"/>
      </w:rPr>
    </w:pPr>
    <w:r>
      <w:rPr>
        <w:rStyle w:val="20"/>
        <w:rFonts w:hint="eastAsia" w:ascii="宋体" w:hAnsi="宋体"/>
        <w:kern w:val="0"/>
        <w:szCs w:val="21"/>
      </w:rPr>
      <w:t>工程名称：</w:t>
    </w:r>
    <w:r>
      <w:rPr>
        <w:rFonts w:hint="eastAsia" w:ascii="宋体" w:hAnsi="宋体" w:cs="宋体"/>
        <w:sz w:val="21"/>
        <w:szCs w:val="21"/>
        <w:lang w:val="en-US" w:eastAsia="zh-CN"/>
      </w:rPr>
      <w:t xml:space="preserve">杭州电子科技大学G区36、38号楼卫生间水管改造工程                </w:t>
    </w:r>
    <w:r>
      <w:rPr>
        <w:rStyle w:val="20"/>
        <w:rFonts w:hint="eastAsia" w:ascii="宋体" w:hAnsi="宋体"/>
        <w:szCs w:val="21"/>
      </w:rPr>
      <w:t>第</w:t>
    </w:r>
    <w:r>
      <w:rPr>
        <w:rFonts w:ascii="宋体" w:hAnsi="宋体"/>
        <w:szCs w:val="21"/>
      </w:rPr>
      <w:fldChar w:fldCharType="begin"/>
    </w:r>
    <w:r>
      <w:rPr>
        <w:rStyle w:val="20"/>
        <w:rFonts w:ascii="宋体" w:hAnsi="宋体"/>
        <w:szCs w:val="21"/>
      </w:rPr>
      <w:instrText xml:space="preserve"> PAGE </w:instrText>
    </w:r>
    <w:r>
      <w:rPr>
        <w:rFonts w:ascii="宋体" w:hAnsi="宋体"/>
        <w:szCs w:val="21"/>
      </w:rPr>
      <w:fldChar w:fldCharType="separate"/>
    </w:r>
    <w:r>
      <w:rPr>
        <w:rStyle w:val="20"/>
        <w:rFonts w:ascii="宋体" w:hAnsi="宋体"/>
        <w:szCs w:val="21"/>
      </w:rPr>
      <w:t>9</w:t>
    </w:r>
    <w:r>
      <w:rPr>
        <w:rFonts w:ascii="宋体" w:hAnsi="宋体"/>
        <w:szCs w:val="21"/>
      </w:rPr>
      <w:fldChar w:fldCharType="end"/>
    </w:r>
    <w:r>
      <w:rPr>
        <w:rStyle w:val="20"/>
        <w:rFonts w:hint="eastAsia" w:ascii="宋体" w:hAnsi="宋体"/>
        <w:szCs w:val="21"/>
      </w:rPr>
      <w:t>页  共</w:t>
    </w:r>
    <w:r>
      <w:rPr>
        <w:rStyle w:val="20"/>
        <w:rFonts w:hint="eastAsia" w:ascii="宋体" w:hAnsi="宋体"/>
        <w:szCs w:val="21"/>
        <w:lang w:val="en-US" w:eastAsia="zh-CN"/>
      </w:rPr>
      <w:t>4</w:t>
    </w:r>
    <w:r>
      <w:rPr>
        <w:rStyle w:val="20"/>
        <w:rFonts w:hint="eastAsia" w:ascii="宋体" w:hAnsi="宋体"/>
        <w:szCs w:val="21"/>
      </w:rPr>
      <w:t>页</w:t>
    </w:r>
    <w:r>
      <w:rPr>
        <w:rFonts w:hint="eastAsia" w:ascii="宋体" w:hAnsi="宋体" w:cs="宋体"/>
        <w:szCs w:val="21"/>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6E8DE">
    <w:pPr>
      <w:pStyle w:val="14"/>
      <w:framePr w:wrap="around" w:vAnchor="text" w:hAnchor="margin" w:xAlign="right" w:y="1"/>
      <w:rPr>
        <w:rStyle w:val="20"/>
      </w:rPr>
    </w:pPr>
    <w:r>
      <w:fldChar w:fldCharType="begin"/>
    </w:r>
    <w:r>
      <w:rPr>
        <w:rStyle w:val="20"/>
      </w:rPr>
      <w:instrText xml:space="preserve">PAGE  </w:instrText>
    </w:r>
    <w:r>
      <w:fldChar w:fldCharType="end"/>
    </w:r>
  </w:p>
  <w:p w14:paraId="0F827FE7">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6632BB"/>
    <w:multiLevelType w:val="singleLevel"/>
    <w:tmpl w:val="206632B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NGEwMTYyMWQ4MTNiYjFkNDYwMTUwOWE0MzJmNDcifQ=="/>
  </w:docVars>
  <w:rsids>
    <w:rsidRoot w:val="7F87223B"/>
    <w:rsid w:val="00005CA0"/>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35F07"/>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5C1"/>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93B04"/>
    <w:rsid w:val="013963C4"/>
    <w:rsid w:val="01457570"/>
    <w:rsid w:val="018140A2"/>
    <w:rsid w:val="01AC6BBB"/>
    <w:rsid w:val="01BC5CE3"/>
    <w:rsid w:val="01C64D9E"/>
    <w:rsid w:val="01D47C4B"/>
    <w:rsid w:val="01F178BE"/>
    <w:rsid w:val="021716AC"/>
    <w:rsid w:val="022E73C5"/>
    <w:rsid w:val="0239317A"/>
    <w:rsid w:val="02844960"/>
    <w:rsid w:val="02854787"/>
    <w:rsid w:val="028C11CF"/>
    <w:rsid w:val="02902A6D"/>
    <w:rsid w:val="02A04CCC"/>
    <w:rsid w:val="02CE29EB"/>
    <w:rsid w:val="02FD0397"/>
    <w:rsid w:val="03140261"/>
    <w:rsid w:val="032D26B9"/>
    <w:rsid w:val="033D795F"/>
    <w:rsid w:val="034436BF"/>
    <w:rsid w:val="0386710D"/>
    <w:rsid w:val="03B16165"/>
    <w:rsid w:val="03BF4AF2"/>
    <w:rsid w:val="03D570C1"/>
    <w:rsid w:val="03DC64A7"/>
    <w:rsid w:val="03F27CA5"/>
    <w:rsid w:val="03FA07F1"/>
    <w:rsid w:val="040947E8"/>
    <w:rsid w:val="04233C24"/>
    <w:rsid w:val="044D70CF"/>
    <w:rsid w:val="045D2E23"/>
    <w:rsid w:val="047724A6"/>
    <w:rsid w:val="047E5495"/>
    <w:rsid w:val="0490044D"/>
    <w:rsid w:val="04C61382"/>
    <w:rsid w:val="04DF3B89"/>
    <w:rsid w:val="05023A2C"/>
    <w:rsid w:val="051F37F2"/>
    <w:rsid w:val="054001D4"/>
    <w:rsid w:val="0549354B"/>
    <w:rsid w:val="05611787"/>
    <w:rsid w:val="057B3BD4"/>
    <w:rsid w:val="05914C99"/>
    <w:rsid w:val="05B358E1"/>
    <w:rsid w:val="05C57529"/>
    <w:rsid w:val="06036541"/>
    <w:rsid w:val="06053772"/>
    <w:rsid w:val="06112117"/>
    <w:rsid w:val="061A04E2"/>
    <w:rsid w:val="06345E06"/>
    <w:rsid w:val="069E3E25"/>
    <w:rsid w:val="06B7622E"/>
    <w:rsid w:val="06FC215A"/>
    <w:rsid w:val="072A27EA"/>
    <w:rsid w:val="074847CC"/>
    <w:rsid w:val="07A011BF"/>
    <w:rsid w:val="07AA27D5"/>
    <w:rsid w:val="07C01FDB"/>
    <w:rsid w:val="07C5140B"/>
    <w:rsid w:val="07C71AB7"/>
    <w:rsid w:val="07EC4DE7"/>
    <w:rsid w:val="07ED5ED3"/>
    <w:rsid w:val="08210711"/>
    <w:rsid w:val="084303D1"/>
    <w:rsid w:val="085D56CD"/>
    <w:rsid w:val="085E458D"/>
    <w:rsid w:val="086C1E32"/>
    <w:rsid w:val="08973053"/>
    <w:rsid w:val="08BF37D8"/>
    <w:rsid w:val="08D538D0"/>
    <w:rsid w:val="09131BC8"/>
    <w:rsid w:val="0936530C"/>
    <w:rsid w:val="095C664F"/>
    <w:rsid w:val="09760B47"/>
    <w:rsid w:val="097E3FAF"/>
    <w:rsid w:val="099729C1"/>
    <w:rsid w:val="09D75426"/>
    <w:rsid w:val="09ED142F"/>
    <w:rsid w:val="09FB45DE"/>
    <w:rsid w:val="0A1246B0"/>
    <w:rsid w:val="0A1E7616"/>
    <w:rsid w:val="0A2E173F"/>
    <w:rsid w:val="0A474C47"/>
    <w:rsid w:val="0A6417D9"/>
    <w:rsid w:val="0A914248"/>
    <w:rsid w:val="0AB47515"/>
    <w:rsid w:val="0AC73FC8"/>
    <w:rsid w:val="0AD96E7C"/>
    <w:rsid w:val="0ADD2F10"/>
    <w:rsid w:val="0AE528C1"/>
    <w:rsid w:val="0AE7621C"/>
    <w:rsid w:val="0AF65D7F"/>
    <w:rsid w:val="0B137D59"/>
    <w:rsid w:val="0B3F14D4"/>
    <w:rsid w:val="0B552A49"/>
    <w:rsid w:val="0B610F40"/>
    <w:rsid w:val="0B923EC8"/>
    <w:rsid w:val="0B9A0515"/>
    <w:rsid w:val="0B9E0194"/>
    <w:rsid w:val="0BAA2595"/>
    <w:rsid w:val="0BAF35AE"/>
    <w:rsid w:val="0BD9091B"/>
    <w:rsid w:val="0BE14F5F"/>
    <w:rsid w:val="0BEE6D79"/>
    <w:rsid w:val="0BF16386"/>
    <w:rsid w:val="0C0B50B6"/>
    <w:rsid w:val="0C366727"/>
    <w:rsid w:val="0C3A4D7D"/>
    <w:rsid w:val="0C814FA5"/>
    <w:rsid w:val="0C9040A9"/>
    <w:rsid w:val="0C9E13B3"/>
    <w:rsid w:val="0CA27616"/>
    <w:rsid w:val="0CC442D7"/>
    <w:rsid w:val="0CD66CF7"/>
    <w:rsid w:val="0CEC092A"/>
    <w:rsid w:val="0CF62067"/>
    <w:rsid w:val="0D3945D5"/>
    <w:rsid w:val="0D3C216F"/>
    <w:rsid w:val="0D4233A4"/>
    <w:rsid w:val="0D4234FE"/>
    <w:rsid w:val="0D4D0AF9"/>
    <w:rsid w:val="0D5D4163"/>
    <w:rsid w:val="0D900586"/>
    <w:rsid w:val="0DBF06AB"/>
    <w:rsid w:val="0DF26469"/>
    <w:rsid w:val="0E2E5089"/>
    <w:rsid w:val="0E490011"/>
    <w:rsid w:val="0E68518B"/>
    <w:rsid w:val="0E6D7A2A"/>
    <w:rsid w:val="0E786FF3"/>
    <w:rsid w:val="0E8B33BD"/>
    <w:rsid w:val="0EB93D1B"/>
    <w:rsid w:val="0ED11E9F"/>
    <w:rsid w:val="0ED2203C"/>
    <w:rsid w:val="0EDA77C7"/>
    <w:rsid w:val="0EE14EC6"/>
    <w:rsid w:val="0F0569E4"/>
    <w:rsid w:val="0F0617B7"/>
    <w:rsid w:val="0F4532A6"/>
    <w:rsid w:val="0F615969"/>
    <w:rsid w:val="0F955B67"/>
    <w:rsid w:val="0FA1275E"/>
    <w:rsid w:val="0FC329CB"/>
    <w:rsid w:val="0FD91EF8"/>
    <w:rsid w:val="0FFB6F69"/>
    <w:rsid w:val="0FFC514B"/>
    <w:rsid w:val="10253F95"/>
    <w:rsid w:val="10466E69"/>
    <w:rsid w:val="10486792"/>
    <w:rsid w:val="104B0030"/>
    <w:rsid w:val="106272E9"/>
    <w:rsid w:val="10855BDB"/>
    <w:rsid w:val="10B0262C"/>
    <w:rsid w:val="10B97383"/>
    <w:rsid w:val="10C2298C"/>
    <w:rsid w:val="10D76103"/>
    <w:rsid w:val="10F7015B"/>
    <w:rsid w:val="110B7BF5"/>
    <w:rsid w:val="111616F3"/>
    <w:rsid w:val="11264990"/>
    <w:rsid w:val="114D089C"/>
    <w:rsid w:val="11500281"/>
    <w:rsid w:val="118906F7"/>
    <w:rsid w:val="11917CF5"/>
    <w:rsid w:val="11BE5E0C"/>
    <w:rsid w:val="11D101EE"/>
    <w:rsid w:val="12117D8F"/>
    <w:rsid w:val="121A2E99"/>
    <w:rsid w:val="12400D96"/>
    <w:rsid w:val="12525F91"/>
    <w:rsid w:val="12870CB0"/>
    <w:rsid w:val="12942106"/>
    <w:rsid w:val="12AE6A32"/>
    <w:rsid w:val="12B33BA8"/>
    <w:rsid w:val="12E52506"/>
    <w:rsid w:val="130265BC"/>
    <w:rsid w:val="1323348A"/>
    <w:rsid w:val="134275A5"/>
    <w:rsid w:val="13482EF0"/>
    <w:rsid w:val="13622204"/>
    <w:rsid w:val="138B0F37"/>
    <w:rsid w:val="13C27393"/>
    <w:rsid w:val="13C80442"/>
    <w:rsid w:val="13D630FB"/>
    <w:rsid w:val="13E963DC"/>
    <w:rsid w:val="13F97879"/>
    <w:rsid w:val="13FD1F2D"/>
    <w:rsid w:val="14037D5A"/>
    <w:rsid w:val="14045568"/>
    <w:rsid w:val="14213E6D"/>
    <w:rsid w:val="14364068"/>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FB70AD"/>
    <w:rsid w:val="161F063E"/>
    <w:rsid w:val="16424E3B"/>
    <w:rsid w:val="164863B3"/>
    <w:rsid w:val="1651030E"/>
    <w:rsid w:val="16614A43"/>
    <w:rsid w:val="169E3974"/>
    <w:rsid w:val="16AE0D1D"/>
    <w:rsid w:val="16BF0C68"/>
    <w:rsid w:val="16DC5F4C"/>
    <w:rsid w:val="17046594"/>
    <w:rsid w:val="171F47AE"/>
    <w:rsid w:val="17254630"/>
    <w:rsid w:val="17737C26"/>
    <w:rsid w:val="177C5C52"/>
    <w:rsid w:val="17871D41"/>
    <w:rsid w:val="17C84600"/>
    <w:rsid w:val="17E25150"/>
    <w:rsid w:val="17EF28C2"/>
    <w:rsid w:val="17FF2717"/>
    <w:rsid w:val="180E64B6"/>
    <w:rsid w:val="1820704F"/>
    <w:rsid w:val="185A0B59"/>
    <w:rsid w:val="186D1464"/>
    <w:rsid w:val="18747971"/>
    <w:rsid w:val="18860743"/>
    <w:rsid w:val="188B347D"/>
    <w:rsid w:val="189A41EE"/>
    <w:rsid w:val="18C069F5"/>
    <w:rsid w:val="18D436C7"/>
    <w:rsid w:val="18DB5F9C"/>
    <w:rsid w:val="190B1D6C"/>
    <w:rsid w:val="193C0062"/>
    <w:rsid w:val="19572F04"/>
    <w:rsid w:val="1973044E"/>
    <w:rsid w:val="19782D58"/>
    <w:rsid w:val="198E357D"/>
    <w:rsid w:val="19960E59"/>
    <w:rsid w:val="19981DED"/>
    <w:rsid w:val="19F64A80"/>
    <w:rsid w:val="1A071EB4"/>
    <w:rsid w:val="1A1401D9"/>
    <w:rsid w:val="1A582EC0"/>
    <w:rsid w:val="1A5A090E"/>
    <w:rsid w:val="1A6F39D0"/>
    <w:rsid w:val="1A9C47ED"/>
    <w:rsid w:val="1AA82C77"/>
    <w:rsid w:val="1AA90ECC"/>
    <w:rsid w:val="1ABF551B"/>
    <w:rsid w:val="1AC216A6"/>
    <w:rsid w:val="1AD17C72"/>
    <w:rsid w:val="1AD42C55"/>
    <w:rsid w:val="1B027E29"/>
    <w:rsid w:val="1B252BAB"/>
    <w:rsid w:val="1B383951"/>
    <w:rsid w:val="1B4D5548"/>
    <w:rsid w:val="1B5B5FC5"/>
    <w:rsid w:val="1B781073"/>
    <w:rsid w:val="1B7E7DF7"/>
    <w:rsid w:val="1B804ED5"/>
    <w:rsid w:val="1B8B11CF"/>
    <w:rsid w:val="1BA3289E"/>
    <w:rsid w:val="1BCF3AA0"/>
    <w:rsid w:val="1BD81810"/>
    <w:rsid w:val="1BDB41C0"/>
    <w:rsid w:val="1BF37FC4"/>
    <w:rsid w:val="1C4247F3"/>
    <w:rsid w:val="1C442942"/>
    <w:rsid w:val="1C5648D0"/>
    <w:rsid w:val="1C6634CC"/>
    <w:rsid w:val="1C7F4030"/>
    <w:rsid w:val="1CA94A00"/>
    <w:rsid w:val="1CB10719"/>
    <w:rsid w:val="1CBE3E3B"/>
    <w:rsid w:val="1D17619B"/>
    <w:rsid w:val="1D334A9D"/>
    <w:rsid w:val="1D34630C"/>
    <w:rsid w:val="1D410307"/>
    <w:rsid w:val="1D4D519E"/>
    <w:rsid w:val="1D703946"/>
    <w:rsid w:val="1DCE2499"/>
    <w:rsid w:val="1DE06B47"/>
    <w:rsid w:val="1DEE2FE7"/>
    <w:rsid w:val="1E5643DA"/>
    <w:rsid w:val="1E5B339F"/>
    <w:rsid w:val="1E5F2CA4"/>
    <w:rsid w:val="1E6D6AE7"/>
    <w:rsid w:val="1E775256"/>
    <w:rsid w:val="1E850FCE"/>
    <w:rsid w:val="1EAC6A29"/>
    <w:rsid w:val="1EC52E28"/>
    <w:rsid w:val="1ED0096A"/>
    <w:rsid w:val="1EEA5137"/>
    <w:rsid w:val="1EF65206"/>
    <w:rsid w:val="1EF8115B"/>
    <w:rsid w:val="1EF82641"/>
    <w:rsid w:val="1EFA5449"/>
    <w:rsid w:val="1F214CFC"/>
    <w:rsid w:val="1F2A7F6D"/>
    <w:rsid w:val="1F5453B1"/>
    <w:rsid w:val="1F5A349A"/>
    <w:rsid w:val="1F775289"/>
    <w:rsid w:val="1F7C2F3A"/>
    <w:rsid w:val="1F886294"/>
    <w:rsid w:val="1FA752D0"/>
    <w:rsid w:val="1FCC5EE2"/>
    <w:rsid w:val="1FE21A71"/>
    <w:rsid w:val="1FFC435A"/>
    <w:rsid w:val="203565E4"/>
    <w:rsid w:val="205B5145"/>
    <w:rsid w:val="207442AA"/>
    <w:rsid w:val="207D2F38"/>
    <w:rsid w:val="208838AF"/>
    <w:rsid w:val="20AC33B0"/>
    <w:rsid w:val="20F2162B"/>
    <w:rsid w:val="21004E58"/>
    <w:rsid w:val="211F1C26"/>
    <w:rsid w:val="2141734C"/>
    <w:rsid w:val="214E76C3"/>
    <w:rsid w:val="21515083"/>
    <w:rsid w:val="21554DCC"/>
    <w:rsid w:val="215D400B"/>
    <w:rsid w:val="216A5107"/>
    <w:rsid w:val="21817CF9"/>
    <w:rsid w:val="21BB3EAA"/>
    <w:rsid w:val="21E77C8A"/>
    <w:rsid w:val="21EA1F43"/>
    <w:rsid w:val="222372B4"/>
    <w:rsid w:val="22515A59"/>
    <w:rsid w:val="226A4C6C"/>
    <w:rsid w:val="22781D83"/>
    <w:rsid w:val="227A4FB1"/>
    <w:rsid w:val="228C547B"/>
    <w:rsid w:val="22B967CD"/>
    <w:rsid w:val="22C36DC2"/>
    <w:rsid w:val="22D62E78"/>
    <w:rsid w:val="22DF3955"/>
    <w:rsid w:val="23225693"/>
    <w:rsid w:val="23447230"/>
    <w:rsid w:val="23483CF2"/>
    <w:rsid w:val="236B278C"/>
    <w:rsid w:val="236C5411"/>
    <w:rsid w:val="237B7324"/>
    <w:rsid w:val="23810BE7"/>
    <w:rsid w:val="23C25CB5"/>
    <w:rsid w:val="241F42DD"/>
    <w:rsid w:val="2424126C"/>
    <w:rsid w:val="243946D8"/>
    <w:rsid w:val="24692809"/>
    <w:rsid w:val="248912C3"/>
    <w:rsid w:val="24CC1F3A"/>
    <w:rsid w:val="24DA61F4"/>
    <w:rsid w:val="24F93948"/>
    <w:rsid w:val="251A2000"/>
    <w:rsid w:val="25404A75"/>
    <w:rsid w:val="254104DF"/>
    <w:rsid w:val="25504061"/>
    <w:rsid w:val="25524FEF"/>
    <w:rsid w:val="25AD6677"/>
    <w:rsid w:val="25CB511A"/>
    <w:rsid w:val="25D738C6"/>
    <w:rsid w:val="25F76954"/>
    <w:rsid w:val="25F909D8"/>
    <w:rsid w:val="25FF1B34"/>
    <w:rsid w:val="26C07516"/>
    <w:rsid w:val="26D7172C"/>
    <w:rsid w:val="26E1630F"/>
    <w:rsid w:val="26E25A8D"/>
    <w:rsid w:val="26E5175C"/>
    <w:rsid w:val="26E85FF8"/>
    <w:rsid w:val="26FB054E"/>
    <w:rsid w:val="270B6C75"/>
    <w:rsid w:val="270E6119"/>
    <w:rsid w:val="27175E99"/>
    <w:rsid w:val="27200C69"/>
    <w:rsid w:val="272F7AD6"/>
    <w:rsid w:val="274673D6"/>
    <w:rsid w:val="27555E87"/>
    <w:rsid w:val="277B51EB"/>
    <w:rsid w:val="27884C7A"/>
    <w:rsid w:val="28213FE4"/>
    <w:rsid w:val="282916BA"/>
    <w:rsid w:val="282E3934"/>
    <w:rsid w:val="28AD4154"/>
    <w:rsid w:val="28B37A5E"/>
    <w:rsid w:val="28C332ED"/>
    <w:rsid w:val="28D463C1"/>
    <w:rsid w:val="28DC7F0B"/>
    <w:rsid w:val="28E42977"/>
    <w:rsid w:val="28F41FD5"/>
    <w:rsid w:val="29002F8B"/>
    <w:rsid w:val="291D0C4F"/>
    <w:rsid w:val="29585436"/>
    <w:rsid w:val="29CE10A4"/>
    <w:rsid w:val="29FE3164"/>
    <w:rsid w:val="2A082718"/>
    <w:rsid w:val="2A202079"/>
    <w:rsid w:val="2A257F5A"/>
    <w:rsid w:val="2A2B4192"/>
    <w:rsid w:val="2A415E87"/>
    <w:rsid w:val="2A44045E"/>
    <w:rsid w:val="2A7056D4"/>
    <w:rsid w:val="2A7209EF"/>
    <w:rsid w:val="2A9E6EED"/>
    <w:rsid w:val="2AA1189E"/>
    <w:rsid w:val="2AA831E5"/>
    <w:rsid w:val="2AB06E6A"/>
    <w:rsid w:val="2B091443"/>
    <w:rsid w:val="2B18248E"/>
    <w:rsid w:val="2B190002"/>
    <w:rsid w:val="2B203D75"/>
    <w:rsid w:val="2B2B57E6"/>
    <w:rsid w:val="2B513774"/>
    <w:rsid w:val="2B654023"/>
    <w:rsid w:val="2B7563E9"/>
    <w:rsid w:val="2B7A28AC"/>
    <w:rsid w:val="2B97486B"/>
    <w:rsid w:val="2BAC15CB"/>
    <w:rsid w:val="2BC12B6B"/>
    <w:rsid w:val="2BD575BF"/>
    <w:rsid w:val="2C001BF6"/>
    <w:rsid w:val="2C1A28FB"/>
    <w:rsid w:val="2C717B03"/>
    <w:rsid w:val="2C8B478B"/>
    <w:rsid w:val="2CAF3CD6"/>
    <w:rsid w:val="2CE931FA"/>
    <w:rsid w:val="2CFD5A53"/>
    <w:rsid w:val="2D1E3314"/>
    <w:rsid w:val="2D26209C"/>
    <w:rsid w:val="2D6B1749"/>
    <w:rsid w:val="2D742E08"/>
    <w:rsid w:val="2D7A4D28"/>
    <w:rsid w:val="2D950D76"/>
    <w:rsid w:val="2D9D77C0"/>
    <w:rsid w:val="2DB46A4E"/>
    <w:rsid w:val="2DC17114"/>
    <w:rsid w:val="2DCC2C44"/>
    <w:rsid w:val="2DD01A31"/>
    <w:rsid w:val="2E0C1370"/>
    <w:rsid w:val="2E2064F4"/>
    <w:rsid w:val="2E5371F9"/>
    <w:rsid w:val="2E547B86"/>
    <w:rsid w:val="2E6028A0"/>
    <w:rsid w:val="2E681A1B"/>
    <w:rsid w:val="2E7A5191"/>
    <w:rsid w:val="2E8013E7"/>
    <w:rsid w:val="2E8B0409"/>
    <w:rsid w:val="2EA66FF1"/>
    <w:rsid w:val="2EAC2EC6"/>
    <w:rsid w:val="2ED56D13"/>
    <w:rsid w:val="2F436812"/>
    <w:rsid w:val="2FB92FCB"/>
    <w:rsid w:val="2FC710B8"/>
    <w:rsid w:val="2FE0269D"/>
    <w:rsid w:val="2FE211B0"/>
    <w:rsid w:val="300739FF"/>
    <w:rsid w:val="300B186C"/>
    <w:rsid w:val="30146D72"/>
    <w:rsid w:val="301D7AE1"/>
    <w:rsid w:val="3038170D"/>
    <w:rsid w:val="30595F39"/>
    <w:rsid w:val="30831BB9"/>
    <w:rsid w:val="309129E9"/>
    <w:rsid w:val="30944265"/>
    <w:rsid w:val="30BA3C90"/>
    <w:rsid w:val="30BC6051"/>
    <w:rsid w:val="30E3273D"/>
    <w:rsid w:val="314C266A"/>
    <w:rsid w:val="315B54ED"/>
    <w:rsid w:val="31674E11"/>
    <w:rsid w:val="316800B6"/>
    <w:rsid w:val="31A155E3"/>
    <w:rsid w:val="31AD3406"/>
    <w:rsid w:val="31AE767E"/>
    <w:rsid w:val="31BB525A"/>
    <w:rsid w:val="31C658D2"/>
    <w:rsid w:val="31F2254D"/>
    <w:rsid w:val="322A2424"/>
    <w:rsid w:val="322B2B1A"/>
    <w:rsid w:val="32834ADD"/>
    <w:rsid w:val="329B0E37"/>
    <w:rsid w:val="329B3BA5"/>
    <w:rsid w:val="33165BD0"/>
    <w:rsid w:val="33286205"/>
    <w:rsid w:val="33386686"/>
    <w:rsid w:val="336F7D45"/>
    <w:rsid w:val="337374A7"/>
    <w:rsid w:val="337705FD"/>
    <w:rsid w:val="33784CD4"/>
    <w:rsid w:val="33995376"/>
    <w:rsid w:val="33B326A5"/>
    <w:rsid w:val="33B757FC"/>
    <w:rsid w:val="33CA24AE"/>
    <w:rsid w:val="33CE72AF"/>
    <w:rsid w:val="33D303AB"/>
    <w:rsid w:val="343F7F85"/>
    <w:rsid w:val="34426DD3"/>
    <w:rsid w:val="3462363B"/>
    <w:rsid w:val="34695E46"/>
    <w:rsid w:val="34956190"/>
    <w:rsid w:val="34A05CCE"/>
    <w:rsid w:val="34C0565A"/>
    <w:rsid w:val="34D42C8E"/>
    <w:rsid w:val="34E801CD"/>
    <w:rsid w:val="34F860CC"/>
    <w:rsid w:val="35522499"/>
    <w:rsid w:val="35590A79"/>
    <w:rsid w:val="35602A90"/>
    <w:rsid w:val="359202CF"/>
    <w:rsid w:val="35957CD7"/>
    <w:rsid w:val="35A12C08"/>
    <w:rsid w:val="35A15988"/>
    <w:rsid w:val="35C3472F"/>
    <w:rsid w:val="35D65F39"/>
    <w:rsid w:val="360517A3"/>
    <w:rsid w:val="361548B8"/>
    <w:rsid w:val="362F0E3F"/>
    <w:rsid w:val="363C41F1"/>
    <w:rsid w:val="364E7611"/>
    <w:rsid w:val="366F47BE"/>
    <w:rsid w:val="3681538F"/>
    <w:rsid w:val="36CC15BF"/>
    <w:rsid w:val="36CC4733"/>
    <w:rsid w:val="36D65946"/>
    <w:rsid w:val="36F2592D"/>
    <w:rsid w:val="372633C5"/>
    <w:rsid w:val="37266708"/>
    <w:rsid w:val="373D526A"/>
    <w:rsid w:val="3748231F"/>
    <w:rsid w:val="3782242F"/>
    <w:rsid w:val="37902503"/>
    <w:rsid w:val="37A72007"/>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8FD1D48"/>
    <w:rsid w:val="39205BF2"/>
    <w:rsid w:val="392B372F"/>
    <w:rsid w:val="393C4091"/>
    <w:rsid w:val="3944527F"/>
    <w:rsid w:val="394C2EA6"/>
    <w:rsid w:val="396E5A71"/>
    <w:rsid w:val="397B299E"/>
    <w:rsid w:val="398F1444"/>
    <w:rsid w:val="39B20F40"/>
    <w:rsid w:val="39B40D22"/>
    <w:rsid w:val="39D41354"/>
    <w:rsid w:val="39DC1592"/>
    <w:rsid w:val="3A092020"/>
    <w:rsid w:val="3A245C97"/>
    <w:rsid w:val="3A26442B"/>
    <w:rsid w:val="3A302BC7"/>
    <w:rsid w:val="3A650D67"/>
    <w:rsid w:val="3A744447"/>
    <w:rsid w:val="3A870B56"/>
    <w:rsid w:val="3A886145"/>
    <w:rsid w:val="3A943DC6"/>
    <w:rsid w:val="3AF70982"/>
    <w:rsid w:val="3AFB6916"/>
    <w:rsid w:val="3AFF058E"/>
    <w:rsid w:val="3B1D7F9C"/>
    <w:rsid w:val="3B323D87"/>
    <w:rsid w:val="3B392F9B"/>
    <w:rsid w:val="3B661A92"/>
    <w:rsid w:val="3B690357"/>
    <w:rsid w:val="3BA849E3"/>
    <w:rsid w:val="3BCD3F79"/>
    <w:rsid w:val="3BE94C5B"/>
    <w:rsid w:val="3BEC3969"/>
    <w:rsid w:val="3C59737F"/>
    <w:rsid w:val="3C6A4571"/>
    <w:rsid w:val="3C737DA2"/>
    <w:rsid w:val="3C86638A"/>
    <w:rsid w:val="3C946E5D"/>
    <w:rsid w:val="3C97266F"/>
    <w:rsid w:val="3CA61BAE"/>
    <w:rsid w:val="3CAE7667"/>
    <w:rsid w:val="3CE968BC"/>
    <w:rsid w:val="3CE97BF0"/>
    <w:rsid w:val="3D032C48"/>
    <w:rsid w:val="3D193084"/>
    <w:rsid w:val="3D3F4C45"/>
    <w:rsid w:val="3D6702CB"/>
    <w:rsid w:val="3D9F075F"/>
    <w:rsid w:val="3DAE797D"/>
    <w:rsid w:val="3DBC05DF"/>
    <w:rsid w:val="3DD403A2"/>
    <w:rsid w:val="3DDA34AA"/>
    <w:rsid w:val="3E0C2040"/>
    <w:rsid w:val="3E141F20"/>
    <w:rsid w:val="3E285C74"/>
    <w:rsid w:val="3E392D90"/>
    <w:rsid w:val="3E636CAD"/>
    <w:rsid w:val="3E6C45EE"/>
    <w:rsid w:val="3E854E75"/>
    <w:rsid w:val="3E865BD4"/>
    <w:rsid w:val="3E905B72"/>
    <w:rsid w:val="3E99018A"/>
    <w:rsid w:val="3EA22F9B"/>
    <w:rsid w:val="3EAA6689"/>
    <w:rsid w:val="3EB83517"/>
    <w:rsid w:val="3EC126F9"/>
    <w:rsid w:val="3EDE362C"/>
    <w:rsid w:val="3EEC0B6B"/>
    <w:rsid w:val="3EED47C8"/>
    <w:rsid w:val="3EEF20BD"/>
    <w:rsid w:val="3F0471CD"/>
    <w:rsid w:val="3F263AD1"/>
    <w:rsid w:val="3F2A1578"/>
    <w:rsid w:val="3F427DD3"/>
    <w:rsid w:val="3F4C0C28"/>
    <w:rsid w:val="3F583B53"/>
    <w:rsid w:val="3F5B5BD6"/>
    <w:rsid w:val="3F702906"/>
    <w:rsid w:val="3F7A0E56"/>
    <w:rsid w:val="3F897AD6"/>
    <w:rsid w:val="3F8B66EF"/>
    <w:rsid w:val="3FEE0662"/>
    <w:rsid w:val="40055FCB"/>
    <w:rsid w:val="402E19C4"/>
    <w:rsid w:val="402E5098"/>
    <w:rsid w:val="404F4FBB"/>
    <w:rsid w:val="4062799B"/>
    <w:rsid w:val="407D1FF3"/>
    <w:rsid w:val="40C07226"/>
    <w:rsid w:val="40C809A9"/>
    <w:rsid w:val="40D641A9"/>
    <w:rsid w:val="40D76629"/>
    <w:rsid w:val="40D923D6"/>
    <w:rsid w:val="40E80888"/>
    <w:rsid w:val="40FE0222"/>
    <w:rsid w:val="410E7A96"/>
    <w:rsid w:val="41171636"/>
    <w:rsid w:val="411D4BEA"/>
    <w:rsid w:val="41374D7D"/>
    <w:rsid w:val="41432DC5"/>
    <w:rsid w:val="41657097"/>
    <w:rsid w:val="41670888"/>
    <w:rsid w:val="416A01C5"/>
    <w:rsid w:val="417D0085"/>
    <w:rsid w:val="419B5437"/>
    <w:rsid w:val="41C67C76"/>
    <w:rsid w:val="41CD240B"/>
    <w:rsid w:val="41D5208A"/>
    <w:rsid w:val="41DB1998"/>
    <w:rsid w:val="42042926"/>
    <w:rsid w:val="420F6E74"/>
    <w:rsid w:val="42164A64"/>
    <w:rsid w:val="422926E8"/>
    <w:rsid w:val="422931B7"/>
    <w:rsid w:val="423E2823"/>
    <w:rsid w:val="425C0339"/>
    <w:rsid w:val="4286740D"/>
    <w:rsid w:val="428B7B59"/>
    <w:rsid w:val="42DF7208"/>
    <w:rsid w:val="42E163F2"/>
    <w:rsid w:val="42F965F2"/>
    <w:rsid w:val="430B346F"/>
    <w:rsid w:val="43300570"/>
    <w:rsid w:val="43320C1A"/>
    <w:rsid w:val="435B5FA0"/>
    <w:rsid w:val="43957818"/>
    <w:rsid w:val="43B37C02"/>
    <w:rsid w:val="43FE6A09"/>
    <w:rsid w:val="445E4335"/>
    <w:rsid w:val="44676E58"/>
    <w:rsid w:val="448242F3"/>
    <w:rsid w:val="449A10C5"/>
    <w:rsid w:val="44C7147B"/>
    <w:rsid w:val="44FA75A6"/>
    <w:rsid w:val="45091972"/>
    <w:rsid w:val="450C4F89"/>
    <w:rsid w:val="4515782D"/>
    <w:rsid w:val="45285A9D"/>
    <w:rsid w:val="454632AB"/>
    <w:rsid w:val="454716C0"/>
    <w:rsid w:val="455000DD"/>
    <w:rsid w:val="45634B52"/>
    <w:rsid w:val="458748A4"/>
    <w:rsid w:val="458D609C"/>
    <w:rsid w:val="45B16791"/>
    <w:rsid w:val="45BC5068"/>
    <w:rsid w:val="45E216A1"/>
    <w:rsid w:val="45E26F29"/>
    <w:rsid w:val="460343D4"/>
    <w:rsid w:val="46284338"/>
    <w:rsid w:val="466312C3"/>
    <w:rsid w:val="466504F7"/>
    <w:rsid w:val="46715CDF"/>
    <w:rsid w:val="46932DB1"/>
    <w:rsid w:val="469F1F27"/>
    <w:rsid w:val="46B54E47"/>
    <w:rsid w:val="46B83F75"/>
    <w:rsid w:val="46CB563B"/>
    <w:rsid w:val="46E04C21"/>
    <w:rsid w:val="4701596E"/>
    <w:rsid w:val="47033502"/>
    <w:rsid w:val="470644FA"/>
    <w:rsid w:val="471843AC"/>
    <w:rsid w:val="473625AB"/>
    <w:rsid w:val="47414CB1"/>
    <w:rsid w:val="475573AE"/>
    <w:rsid w:val="47575BA3"/>
    <w:rsid w:val="479E0163"/>
    <w:rsid w:val="47B20B12"/>
    <w:rsid w:val="47BE4B87"/>
    <w:rsid w:val="47D557C9"/>
    <w:rsid w:val="47F6293F"/>
    <w:rsid w:val="480A77CA"/>
    <w:rsid w:val="481B671C"/>
    <w:rsid w:val="481F1B00"/>
    <w:rsid w:val="485E2406"/>
    <w:rsid w:val="486D4F16"/>
    <w:rsid w:val="48AC1250"/>
    <w:rsid w:val="48CD26FF"/>
    <w:rsid w:val="48DA22BA"/>
    <w:rsid w:val="491D766A"/>
    <w:rsid w:val="493C6926"/>
    <w:rsid w:val="49423D6F"/>
    <w:rsid w:val="496C019A"/>
    <w:rsid w:val="49753881"/>
    <w:rsid w:val="498819E1"/>
    <w:rsid w:val="498C6693"/>
    <w:rsid w:val="49D812D9"/>
    <w:rsid w:val="49DD5379"/>
    <w:rsid w:val="49EF575D"/>
    <w:rsid w:val="49F876F8"/>
    <w:rsid w:val="4A01267D"/>
    <w:rsid w:val="4A0C2FB9"/>
    <w:rsid w:val="4A14705F"/>
    <w:rsid w:val="4A1C682C"/>
    <w:rsid w:val="4A612BBC"/>
    <w:rsid w:val="4A6504DB"/>
    <w:rsid w:val="4A802A91"/>
    <w:rsid w:val="4A96363E"/>
    <w:rsid w:val="4AB3118C"/>
    <w:rsid w:val="4ABF5671"/>
    <w:rsid w:val="4AF40480"/>
    <w:rsid w:val="4B0166B4"/>
    <w:rsid w:val="4B142950"/>
    <w:rsid w:val="4B466B11"/>
    <w:rsid w:val="4B5005D9"/>
    <w:rsid w:val="4B662845"/>
    <w:rsid w:val="4B8F38AC"/>
    <w:rsid w:val="4B904E59"/>
    <w:rsid w:val="4BA460D0"/>
    <w:rsid w:val="4BE57EC5"/>
    <w:rsid w:val="4C173F5D"/>
    <w:rsid w:val="4C2B6F44"/>
    <w:rsid w:val="4C373312"/>
    <w:rsid w:val="4C3E67D2"/>
    <w:rsid w:val="4C560717"/>
    <w:rsid w:val="4C6318A7"/>
    <w:rsid w:val="4C6D080A"/>
    <w:rsid w:val="4C724C4A"/>
    <w:rsid w:val="4C7D53DD"/>
    <w:rsid w:val="4C8D3001"/>
    <w:rsid w:val="4C9923D8"/>
    <w:rsid w:val="4CBD3CFA"/>
    <w:rsid w:val="4CCA7EF7"/>
    <w:rsid w:val="4CDB2114"/>
    <w:rsid w:val="4D0E7086"/>
    <w:rsid w:val="4D617082"/>
    <w:rsid w:val="4D7E33D7"/>
    <w:rsid w:val="4D9F3C41"/>
    <w:rsid w:val="4DC94652"/>
    <w:rsid w:val="4E112475"/>
    <w:rsid w:val="4E444E98"/>
    <w:rsid w:val="4E4C0CEF"/>
    <w:rsid w:val="4E5D267A"/>
    <w:rsid w:val="4E684B53"/>
    <w:rsid w:val="4E883004"/>
    <w:rsid w:val="4E987C6F"/>
    <w:rsid w:val="4EBC24C6"/>
    <w:rsid w:val="4EEF1582"/>
    <w:rsid w:val="4F060CD3"/>
    <w:rsid w:val="4F0F6D2A"/>
    <w:rsid w:val="4F164E1A"/>
    <w:rsid w:val="4F2F4C41"/>
    <w:rsid w:val="4F5C321A"/>
    <w:rsid w:val="4F895E47"/>
    <w:rsid w:val="4FC44665"/>
    <w:rsid w:val="4FC72C67"/>
    <w:rsid w:val="4FF86790"/>
    <w:rsid w:val="50235A92"/>
    <w:rsid w:val="5048609D"/>
    <w:rsid w:val="50680152"/>
    <w:rsid w:val="506F6CB9"/>
    <w:rsid w:val="508C6920"/>
    <w:rsid w:val="509E35AF"/>
    <w:rsid w:val="50C013A6"/>
    <w:rsid w:val="50CC2DF1"/>
    <w:rsid w:val="50EC4BCC"/>
    <w:rsid w:val="511F1381"/>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A720A8"/>
    <w:rsid w:val="52C75B32"/>
    <w:rsid w:val="53046EBA"/>
    <w:rsid w:val="53113D04"/>
    <w:rsid w:val="53146370"/>
    <w:rsid w:val="5317053D"/>
    <w:rsid w:val="537B019D"/>
    <w:rsid w:val="537E7606"/>
    <w:rsid w:val="53ED0E02"/>
    <w:rsid w:val="53FA073C"/>
    <w:rsid w:val="540548B5"/>
    <w:rsid w:val="542F32F6"/>
    <w:rsid w:val="543C5B7E"/>
    <w:rsid w:val="5447181A"/>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48298E"/>
    <w:rsid w:val="55602708"/>
    <w:rsid w:val="55627D0A"/>
    <w:rsid w:val="55957979"/>
    <w:rsid w:val="55A2370B"/>
    <w:rsid w:val="55B73D7B"/>
    <w:rsid w:val="55DC7607"/>
    <w:rsid w:val="55E232DA"/>
    <w:rsid w:val="5626646A"/>
    <w:rsid w:val="5637484F"/>
    <w:rsid w:val="563C64C0"/>
    <w:rsid w:val="564D4DE6"/>
    <w:rsid w:val="56593530"/>
    <w:rsid w:val="567F6DD8"/>
    <w:rsid w:val="56A3485A"/>
    <w:rsid w:val="56DC66F9"/>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82C20C4"/>
    <w:rsid w:val="583012BA"/>
    <w:rsid w:val="58394A57"/>
    <w:rsid w:val="584511C0"/>
    <w:rsid w:val="584E7C2E"/>
    <w:rsid w:val="58707408"/>
    <w:rsid w:val="5875165E"/>
    <w:rsid w:val="58940E7A"/>
    <w:rsid w:val="589A4BFB"/>
    <w:rsid w:val="58C541CA"/>
    <w:rsid w:val="58E53C9F"/>
    <w:rsid w:val="58F15FF1"/>
    <w:rsid w:val="5914523B"/>
    <w:rsid w:val="593A7D6D"/>
    <w:rsid w:val="59515D0E"/>
    <w:rsid w:val="596110D1"/>
    <w:rsid w:val="59624336"/>
    <w:rsid w:val="59795021"/>
    <w:rsid w:val="599B50F5"/>
    <w:rsid w:val="59A04CCE"/>
    <w:rsid w:val="5A211258"/>
    <w:rsid w:val="5A2B56FD"/>
    <w:rsid w:val="5A2F2F32"/>
    <w:rsid w:val="5A322B7F"/>
    <w:rsid w:val="5A3E700A"/>
    <w:rsid w:val="5A4278B5"/>
    <w:rsid w:val="5AC97A40"/>
    <w:rsid w:val="5ACB1A0A"/>
    <w:rsid w:val="5AD43284"/>
    <w:rsid w:val="5ADF3707"/>
    <w:rsid w:val="5B83679E"/>
    <w:rsid w:val="5BB63E9C"/>
    <w:rsid w:val="5C4C6B7A"/>
    <w:rsid w:val="5C4E28F2"/>
    <w:rsid w:val="5C6E37CB"/>
    <w:rsid w:val="5C712531"/>
    <w:rsid w:val="5CA01740"/>
    <w:rsid w:val="5CB117CD"/>
    <w:rsid w:val="5CB62F45"/>
    <w:rsid w:val="5CB65CF2"/>
    <w:rsid w:val="5CD70F87"/>
    <w:rsid w:val="5CEC51D4"/>
    <w:rsid w:val="5D057255"/>
    <w:rsid w:val="5D0D6309"/>
    <w:rsid w:val="5D315433"/>
    <w:rsid w:val="5D3665F9"/>
    <w:rsid w:val="5D3E3D21"/>
    <w:rsid w:val="5D4B6D34"/>
    <w:rsid w:val="5D6F75DE"/>
    <w:rsid w:val="5D963448"/>
    <w:rsid w:val="5DB06344"/>
    <w:rsid w:val="5DB12B5B"/>
    <w:rsid w:val="5DCF186A"/>
    <w:rsid w:val="5DD95ED2"/>
    <w:rsid w:val="5DE40ED1"/>
    <w:rsid w:val="5DF95BED"/>
    <w:rsid w:val="5E017386"/>
    <w:rsid w:val="5E0510B8"/>
    <w:rsid w:val="5E2412A2"/>
    <w:rsid w:val="5E8D6E87"/>
    <w:rsid w:val="5EB009F1"/>
    <w:rsid w:val="5EB42574"/>
    <w:rsid w:val="5EB83DC7"/>
    <w:rsid w:val="5EBD7C71"/>
    <w:rsid w:val="5EC325D5"/>
    <w:rsid w:val="5EC32908"/>
    <w:rsid w:val="5EC32C90"/>
    <w:rsid w:val="5EDF5A84"/>
    <w:rsid w:val="5F1B0545"/>
    <w:rsid w:val="5F690536"/>
    <w:rsid w:val="5F7C55A9"/>
    <w:rsid w:val="5F9846EC"/>
    <w:rsid w:val="5FB6478B"/>
    <w:rsid w:val="5FB82903"/>
    <w:rsid w:val="5FB9611A"/>
    <w:rsid w:val="5FCC28EF"/>
    <w:rsid w:val="5FCE76A6"/>
    <w:rsid w:val="5FDE290E"/>
    <w:rsid w:val="5FE34700"/>
    <w:rsid w:val="60275F41"/>
    <w:rsid w:val="60363DC9"/>
    <w:rsid w:val="603C0CB4"/>
    <w:rsid w:val="604F4E8B"/>
    <w:rsid w:val="605C5D55"/>
    <w:rsid w:val="60634A76"/>
    <w:rsid w:val="60B03285"/>
    <w:rsid w:val="60BC2E73"/>
    <w:rsid w:val="610F68A4"/>
    <w:rsid w:val="61111455"/>
    <w:rsid w:val="61166780"/>
    <w:rsid w:val="611C2F36"/>
    <w:rsid w:val="61297EF1"/>
    <w:rsid w:val="612F70BF"/>
    <w:rsid w:val="61400F2C"/>
    <w:rsid w:val="617D7CEC"/>
    <w:rsid w:val="61990635"/>
    <w:rsid w:val="61997D23"/>
    <w:rsid w:val="619C1975"/>
    <w:rsid w:val="61B2747F"/>
    <w:rsid w:val="61C349A0"/>
    <w:rsid w:val="61EF4230"/>
    <w:rsid w:val="62220842"/>
    <w:rsid w:val="624C242C"/>
    <w:rsid w:val="62610C5F"/>
    <w:rsid w:val="626223EA"/>
    <w:rsid w:val="627F17FD"/>
    <w:rsid w:val="6282392C"/>
    <w:rsid w:val="62950F73"/>
    <w:rsid w:val="62A656B7"/>
    <w:rsid w:val="62D765E1"/>
    <w:rsid w:val="62E73159"/>
    <w:rsid w:val="62EA6770"/>
    <w:rsid w:val="631657EC"/>
    <w:rsid w:val="634855E1"/>
    <w:rsid w:val="63782963"/>
    <w:rsid w:val="6380458C"/>
    <w:rsid w:val="63A220EC"/>
    <w:rsid w:val="63A300AB"/>
    <w:rsid w:val="63AB062A"/>
    <w:rsid w:val="63B9287D"/>
    <w:rsid w:val="63BA4C2B"/>
    <w:rsid w:val="63BD3DCC"/>
    <w:rsid w:val="63DB1968"/>
    <w:rsid w:val="63E47698"/>
    <w:rsid w:val="63E80DAE"/>
    <w:rsid w:val="640D6AAD"/>
    <w:rsid w:val="64184044"/>
    <w:rsid w:val="64412D3D"/>
    <w:rsid w:val="645002AB"/>
    <w:rsid w:val="64637A73"/>
    <w:rsid w:val="64744EC0"/>
    <w:rsid w:val="648B5E5E"/>
    <w:rsid w:val="64C02268"/>
    <w:rsid w:val="64DE10BC"/>
    <w:rsid w:val="651F307E"/>
    <w:rsid w:val="65257F68"/>
    <w:rsid w:val="655457F3"/>
    <w:rsid w:val="65614357"/>
    <w:rsid w:val="657B09C5"/>
    <w:rsid w:val="65856C59"/>
    <w:rsid w:val="659E3F30"/>
    <w:rsid w:val="65A802C3"/>
    <w:rsid w:val="65CC38EE"/>
    <w:rsid w:val="65CE3AA1"/>
    <w:rsid w:val="65DE0CDA"/>
    <w:rsid w:val="65E676BD"/>
    <w:rsid w:val="65ED6CD8"/>
    <w:rsid w:val="6616088B"/>
    <w:rsid w:val="661962A5"/>
    <w:rsid w:val="661A2785"/>
    <w:rsid w:val="66586254"/>
    <w:rsid w:val="666B6B5D"/>
    <w:rsid w:val="66777068"/>
    <w:rsid w:val="669110B4"/>
    <w:rsid w:val="66954031"/>
    <w:rsid w:val="669F73A4"/>
    <w:rsid w:val="66A852F5"/>
    <w:rsid w:val="66CF6F74"/>
    <w:rsid w:val="66D5172B"/>
    <w:rsid w:val="673F5FA5"/>
    <w:rsid w:val="67580AC9"/>
    <w:rsid w:val="67741253"/>
    <w:rsid w:val="67760D1A"/>
    <w:rsid w:val="678E1F28"/>
    <w:rsid w:val="678F1749"/>
    <w:rsid w:val="67AF7FBD"/>
    <w:rsid w:val="67C96476"/>
    <w:rsid w:val="67DA7730"/>
    <w:rsid w:val="68081DD5"/>
    <w:rsid w:val="6816379F"/>
    <w:rsid w:val="68200845"/>
    <w:rsid w:val="684814B4"/>
    <w:rsid w:val="68832557"/>
    <w:rsid w:val="68C03768"/>
    <w:rsid w:val="69036DDF"/>
    <w:rsid w:val="69194543"/>
    <w:rsid w:val="692E38EB"/>
    <w:rsid w:val="69366686"/>
    <w:rsid w:val="695B664F"/>
    <w:rsid w:val="696F5841"/>
    <w:rsid w:val="6974326C"/>
    <w:rsid w:val="69D3114B"/>
    <w:rsid w:val="6A1D4D43"/>
    <w:rsid w:val="6A440E91"/>
    <w:rsid w:val="6A480E85"/>
    <w:rsid w:val="6ACA5E83"/>
    <w:rsid w:val="6AD42062"/>
    <w:rsid w:val="6AFF6EE3"/>
    <w:rsid w:val="6B25428A"/>
    <w:rsid w:val="6B441250"/>
    <w:rsid w:val="6B485271"/>
    <w:rsid w:val="6B487674"/>
    <w:rsid w:val="6B5C609D"/>
    <w:rsid w:val="6B5E15A0"/>
    <w:rsid w:val="6B6E19E9"/>
    <w:rsid w:val="6B786C75"/>
    <w:rsid w:val="6B793D65"/>
    <w:rsid w:val="6B7D6E77"/>
    <w:rsid w:val="6B8005EE"/>
    <w:rsid w:val="6BA2393D"/>
    <w:rsid w:val="6BBD3D32"/>
    <w:rsid w:val="6BC44906"/>
    <w:rsid w:val="6BCF2E21"/>
    <w:rsid w:val="6BDA7CFF"/>
    <w:rsid w:val="6BDD334B"/>
    <w:rsid w:val="6BF04B47"/>
    <w:rsid w:val="6BF25B97"/>
    <w:rsid w:val="6BF57AA1"/>
    <w:rsid w:val="6C0D46C0"/>
    <w:rsid w:val="6C120DA2"/>
    <w:rsid w:val="6C3A69EF"/>
    <w:rsid w:val="6C7D39EF"/>
    <w:rsid w:val="6C8422AB"/>
    <w:rsid w:val="6CA566A0"/>
    <w:rsid w:val="6CED328C"/>
    <w:rsid w:val="6D0337BC"/>
    <w:rsid w:val="6D1E3C1B"/>
    <w:rsid w:val="6D3450DB"/>
    <w:rsid w:val="6D5653FB"/>
    <w:rsid w:val="6D585A43"/>
    <w:rsid w:val="6D8F6931"/>
    <w:rsid w:val="6DC81303"/>
    <w:rsid w:val="6DDB3675"/>
    <w:rsid w:val="6DE1719F"/>
    <w:rsid w:val="6DEE4DF9"/>
    <w:rsid w:val="6E092CEF"/>
    <w:rsid w:val="6E147F0B"/>
    <w:rsid w:val="6E3A48AD"/>
    <w:rsid w:val="6E531FEA"/>
    <w:rsid w:val="6E554C00"/>
    <w:rsid w:val="6E5B24BC"/>
    <w:rsid w:val="6E5B4A69"/>
    <w:rsid w:val="6E605517"/>
    <w:rsid w:val="6E71306F"/>
    <w:rsid w:val="6E92447D"/>
    <w:rsid w:val="6E925745"/>
    <w:rsid w:val="6EC435BA"/>
    <w:rsid w:val="6ED241B4"/>
    <w:rsid w:val="6F094884"/>
    <w:rsid w:val="6F5D5D2C"/>
    <w:rsid w:val="6F754147"/>
    <w:rsid w:val="6F966DF6"/>
    <w:rsid w:val="6F9722D5"/>
    <w:rsid w:val="6FB25D8B"/>
    <w:rsid w:val="6FB5351B"/>
    <w:rsid w:val="6FB8103A"/>
    <w:rsid w:val="6FB92C57"/>
    <w:rsid w:val="6FDE345A"/>
    <w:rsid w:val="6FE97F06"/>
    <w:rsid w:val="70385A2E"/>
    <w:rsid w:val="70396AE3"/>
    <w:rsid w:val="705A140E"/>
    <w:rsid w:val="706E47B8"/>
    <w:rsid w:val="70A2334D"/>
    <w:rsid w:val="70C70904"/>
    <w:rsid w:val="70D403D3"/>
    <w:rsid w:val="70F27898"/>
    <w:rsid w:val="716B5794"/>
    <w:rsid w:val="717619C3"/>
    <w:rsid w:val="71796C76"/>
    <w:rsid w:val="71AA0F82"/>
    <w:rsid w:val="71AF3F00"/>
    <w:rsid w:val="71B141E0"/>
    <w:rsid w:val="71E3268F"/>
    <w:rsid w:val="71F70F3D"/>
    <w:rsid w:val="721C7622"/>
    <w:rsid w:val="72207017"/>
    <w:rsid w:val="72284242"/>
    <w:rsid w:val="72351862"/>
    <w:rsid w:val="72697840"/>
    <w:rsid w:val="7270425A"/>
    <w:rsid w:val="72A829E5"/>
    <w:rsid w:val="72C43272"/>
    <w:rsid w:val="72CA6BE1"/>
    <w:rsid w:val="730D32CD"/>
    <w:rsid w:val="731C6E18"/>
    <w:rsid w:val="731F431B"/>
    <w:rsid w:val="73427BD6"/>
    <w:rsid w:val="73470EE1"/>
    <w:rsid w:val="73642133"/>
    <w:rsid w:val="737871FE"/>
    <w:rsid w:val="73A17354"/>
    <w:rsid w:val="73C117A4"/>
    <w:rsid w:val="73C33AE4"/>
    <w:rsid w:val="73E23154"/>
    <w:rsid w:val="73F15F3F"/>
    <w:rsid w:val="74083497"/>
    <w:rsid w:val="74113365"/>
    <w:rsid w:val="74266FDD"/>
    <w:rsid w:val="744E5B24"/>
    <w:rsid w:val="744F06D5"/>
    <w:rsid w:val="7454015A"/>
    <w:rsid w:val="746873AF"/>
    <w:rsid w:val="7482683C"/>
    <w:rsid w:val="74953575"/>
    <w:rsid w:val="749C2889"/>
    <w:rsid w:val="74A05A7F"/>
    <w:rsid w:val="74E4107E"/>
    <w:rsid w:val="750008C6"/>
    <w:rsid w:val="750462F3"/>
    <w:rsid w:val="755632D2"/>
    <w:rsid w:val="756F2491"/>
    <w:rsid w:val="757A4300"/>
    <w:rsid w:val="758F7FE9"/>
    <w:rsid w:val="763042EE"/>
    <w:rsid w:val="76450DD5"/>
    <w:rsid w:val="764E10B0"/>
    <w:rsid w:val="765362F6"/>
    <w:rsid w:val="766B55F3"/>
    <w:rsid w:val="7676585E"/>
    <w:rsid w:val="76817468"/>
    <w:rsid w:val="76945895"/>
    <w:rsid w:val="76A43C4B"/>
    <w:rsid w:val="76CB6C32"/>
    <w:rsid w:val="76D71070"/>
    <w:rsid w:val="76F64856"/>
    <w:rsid w:val="76F83E8C"/>
    <w:rsid w:val="76F95218"/>
    <w:rsid w:val="774963C9"/>
    <w:rsid w:val="7766473C"/>
    <w:rsid w:val="777C52B6"/>
    <w:rsid w:val="77A52F18"/>
    <w:rsid w:val="77AD5A29"/>
    <w:rsid w:val="77BC3A18"/>
    <w:rsid w:val="77DD5E41"/>
    <w:rsid w:val="78295334"/>
    <w:rsid w:val="782A3530"/>
    <w:rsid w:val="785215E0"/>
    <w:rsid w:val="78537310"/>
    <w:rsid w:val="787B79C5"/>
    <w:rsid w:val="788E4B46"/>
    <w:rsid w:val="789470BD"/>
    <w:rsid w:val="789F4190"/>
    <w:rsid w:val="78D2705B"/>
    <w:rsid w:val="790A05A0"/>
    <w:rsid w:val="791C61EF"/>
    <w:rsid w:val="79573BF5"/>
    <w:rsid w:val="796F05E0"/>
    <w:rsid w:val="79914AC1"/>
    <w:rsid w:val="799811D2"/>
    <w:rsid w:val="79A25232"/>
    <w:rsid w:val="79A42017"/>
    <w:rsid w:val="79CA06D6"/>
    <w:rsid w:val="79D16F5D"/>
    <w:rsid w:val="79F842AA"/>
    <w:rsid w:val="7A2D54BD"/>
    <w:rsid w:val="7A414C68"/>
    <w:rsid w:val="7A4778AC"/>
    <w:rsid w:val="7A482BB0"/>
    <w:rsid w:val="7A7031DE"/>
    <w:rsid w:val="7A877901"/>
    <w:rsid w:val="7A8E13F5"/>
    <w:rsid w:val="7AAB3047"/>
    <w:rsid w:val="7ADE14E1"/>
    <w:rsid w:val="7AE83E46"/>
    <w:rsid w:val="7AEF081F"/>
    <w:rsid w:val="7AF1471D"/>
    <w:rsid w:val="7B055127"/>
    <w:rsid w:val="7B197F69"/>
    <w:rsid w:val="7B230DC1"/>
    <w:rsid w:val="7B871069"/>
    <w:rsid w:val="7CAE6B7A"/>
    <w:rsid w:val="7CCE0BC2"/>
    <w:rsid w:val="7D460D84"/>
    <w:rsid w:val="7D5947FB"/>
    <w:rsid w:val="7D66199A"/>
    <w:rsid w:val="7D6E6B48"/>
    <w:rsid w:val="7D821FA4"/>
    <w:rsid w:val="7D827C31"/>
    <w:rsid w:val="7D8C348B"/>
    <w:rsid w:val="7DDE7A40"/>
    <w:rsid w:val="7DE9671E"/>
    <w:rsid w:val="7DEF5072"/>
    <w:rsid w:val="7E1C4CDA"/>
    <w:rsid w:val="7E293F7B"/>
    <w:rsid w:val="7E643773"/>
    <w:rsid w:val="7E712102"/>
    <w:rsid w:val="7E976035"/>
    <w:rsid w:val="7ECA45D2"/>
    <w:rsid w:val="7ECC31F5"/>
    <w:rsid w:val="7ED3007E"/>
    <w:rsid w:val="7EDD10F9"/>
    <w:rsid w:val="7EF014CF"/>
    <w:rsid w:val="7F025E79"/>
    <w:rsid w:val="7F222401"/>
    <w:rsid w:val="7F5248B7"/>
    <w:rsid w:val="7F87223B"/>
    <w:rsid w:val="7F8C5645"/>
    <w:rsid w:val="7FF73CE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5"/>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3"/>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40"/>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4"/>
    <w:autoRedefine/>
    <w:qFormat/>
    <w:uiPriority w:val="0"/>
    <w:rPr>
      <w:b/>
      <w:bCs/>
    </w:rPr>
  </w:style>
  <w:style w:type="character" w:styleId="19">
    <w:name w:val="Strong"/>
    <w:basedOn w:val="18"/>
    <w:qFormat/>
    <w:uiPriority w:val="0"/>
    <w:rPr>
      <w:b/>
    </w:rPr>
  </w:style>
  <w:style w:type="character" w:styleId="20">
    <w:name w:val="page number"/>
    <w:basedOn w:val="18"/>
    <w:autoRedefine/>
    <w:qFormat/>
    <w:uiPriority w:val="0"/>
  </w:style>
  <w:style w:type="character" w:styleId="21">
    <w:name w:val="Hyperlink"/>
    <w:basedOn w:val="18"/>
    <w:autoRedefine/>
    <w:qFormat/>
    <w:uiPriority w:val="0"/>
    <w:rPr>
      <w:color w:val="0000FF"/>
      <w:u w:val="single"/>
    </w:rPr>
  </w:style>
  <w:style w:type="character" w:styleId="22">
    <w:name w:val="annotation reference"/>
    <w:basedOn w:val="18"/>
    <w:autoRedefine/>
    <w:qFormat/>
    <w:uiPriority w:val="0"/>
    <w:rPr>
      <w:sz w:val="21"/>
      <w:szCs w:val="21"/>
    </w:rPr>
  </w:style>
  <w:style w:type="paragraph" w:customStyle="1" w:styleId="23">
    <w:name w:val="Char2"/>
    <w:basedOn w:val="1"/>
    <w:autoRedefine/>
    <w:qFormat/>
    <w:uiPriority w:val="0"/>
    <w:rPr>
      <w:szCs w:val="20"/>
    </w:rPr>
  </w:style>
  <w:style w:type="paragraph" w:customStyle="1" w:styleId="24">
    <w:name w:val="BH5K0L"/>
    <w:basedOn w:val="1"/>
    <w:autoRedefine/>
    <w:qFormat/>
    <w:uiPriority w:val="0"/>
    <w:pPr>
      <w:spacing w:beforeLines="50" w:line="312" w:lineRule="auto"/>
    </w:pPr>
    <w:rPr>
      <w:rFonts w:ascii="仿宋" w:hAnsi="仿宋" w:eastAsia="仿宋"/>
    </w:rPr>
  </w:style>
  <w:style w:type="paragraph" w:customStyle="1" w:styleId="25">
    <w:name w:val="ZW5K2L"/>
    <w:basedOn w:val="24"/>
    <w:autoRedefine/>
    <w:qFormat/>
    <w:uiPriority w:val="0"/>
    <w:pPr>
      <w:ind w:firstLine="200" w:firstLineChars="200"/>
    </w:pPr>
    <w:rPr>
      <w:rFonts w:ascii="宋体" w:hAnsi="宋体" w:eastAsia="宋体"/>
      <w:szCs w:val="21"/>
    </w:rPr>
  </w:style>
  <w:style w:type="paragraph" w:customStyle="1" w:styleId="26">
    <w:name w:val="BG5K0L"/>
    <w:basedOn w:val="25"/>
    <w:autoRedefine/>
    <w:qFormat/>
    <w:uiPriority w:val="0"/>
    <w:pPr>
      <w:spacing w:beforeLines="0" w:line="240" w:lineRule="auto"/>
      <w:ind w:firstLine="0" w:firstLineChars="0"/>
    </w:pPr>
    <w:rPr>
      <w:rFonts w:eastAsia="仿宋"/>
    </w:rPr>
  </w:style>
  <w:style w:type="paragraph" w:customStyle="1" w:styleId="27">
    <w:name w:val="内文"/>
    <w:link w:val="37"/>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8">
    <w:name w:val="Char Char Char Char1 Char"/>
    <w:basedOn w:val="1"/>
    <w:autoRedefine/>
    <w:qFormat/>
    <w:uiPriority w:val="0"/>
    <w:rPr>
      <w:rFonts w:ascii="仿宋_GB2312" w:eastAsia="仿宋_GB2312"/>
      <w:b/>
      <w:sz w:val="32"/>
      <w:szCs w:val="32"/>
    </w:rPr>
  </w:style>
  <w:style w:type="paragraph" w:customStyle="1" w:styleId="29">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30">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1">
    <w:name w:val="Char"/>
    <w:basedOn w:val="1"/>
    <w:autoRedefine/>
    <w:qFormat/>
    <w:uiPriority w:val="0"/>
    <w:rPr>
      <w:szCs w:val="20"/>
    </w:rPr>
  </w:style>
  <w:style w:type="paragraph" w:customStyle="1" w:styleId="32">
    <w:name w:val="样式3"/>
    <w:basedOn w:val="1"/>
    <w:autoRedefine/>
    <w:qFormat/>
    <w:uiPriority w:val="0"/>
    <w:pPr>
      <w:spacing w:line="440" w:lineRule="exact"/>
      <w:ind w:firstLine="416" w:firstLineChars="198"/>
    </w:pPr>
    <w:rPr>
      <w:rFonts w:ascii="宋体" w:hAnsi="宋体"/>
      <w:bCs/>
      <w:szCs w:val="21"/>
    </w:rPr>
  </w:style>
  <w:style w:type="character" w:customStyle="1" w:styleId="33">
    <w:name w:val="纯文本 Char"/>
    <w:basedOn w:val="18"/>
    <w:link w:val="10"/>
    <w:autoRedefine/>
    <w:qFormat/>
    <w:uiPriority w:val="0"/>
    <w:rPr>
      <w:rFonts w:ascii="宋体" w:hAnsi="Courier New" w:eastAsia="宋体" w:cs="Courier New"/>
      <w:kern w:val="2"/>
      <w:sz w:val="21"/>
      <w:szCs w:val="21"/>
      <w:lang w:val="en-US" w:eastAsia="zh-CN" w:bidi="ar-SA"/>
    </w:rPr>
  </w:style>
  <w:style w:type="character" w:customStyle="1" w:styleId="34">
    <w:name w:val="批注主题 Char"/>
    <w:basedOn w:val="35"/>
    <w:link w:val="16"/>
    <w:autoRedefine/>
    <w:qFormat/>
    <w:uiPriority w:val="0"/>
  </w:style>
  <w:style w:type="character" w:customStyle="1" w:styleId="35">
    <w:name w:val="批注文字 Char"/>
    <w:basedOn w:val="18"/>
    <w:link w:val="5"/>
    <w:autoRedefine/>
    <w:qFormat/>
    <w:uiPriority w:val="0"/>
    <w:rPr>
      <w:kern w:val="2"/>
      <w:sz w:val="21"/>
      <w:szCs w:val="24"/>
    </w:rPr>
  </w:style>
  <w:style w:type="character" w:customStyle="1" w:styleId="36">
    <w:name w:val="style11"/>
    <w:basedOn w:val="18"/>
    <w:autoRedefine/>
    <w:qFormat/>
    <w:uiPriority w:val="0"/>
    <w:rPr>
      <w:b/>
      <w:bCs/>
      <w:color w:val="D54F2B"/>
      <w:sz w:val="21"/>
      <w:szCs w:val="21"/>
    </w:rPr>
  </w:style>
  <w:style w:type="character" w:customStyle="1" w:styleId="37">
    <w:name w:val="内文 Char"/>
    <w:basedOn w:val="18"/>
    <w:link w:val="27"/>
    <w:autoRedefine/>
    <w:qFormat/>
    <w:uiPriority w:val="0"/>
    <w:rPr>
      <w:rFonts w:ascii="Arial" w:hAnsi="Arial"/>
      <w:kern w:val="2"/>
      <w:sz w:val="21"/>
      <w:lang w:val="en-US" w:eastAsia="zh-CN" w:bidi="ar-SA"/>
    </w:rPr>
  </w:style>
  <w:style w:type="character" w:customStyle="1" w:styleId="38">
    <w:name w:val="dz1"/>
    <w:basedOn w:val="18"/>
    <w:autoRedefine/>
    <w:qFormat/>
    <w:uiPriority w:val="0"/>
  </w:style>
  <w:style w:type="character" w:customStyle="1" w:styleId="39">
    <w:name w:val="bulletintext"/>
    <w:basedOn w:val="18"/>
    <w:autoRedefine/>
    <w:qFormat/>
    <w:uiPriority w:val="0"/>
  </w:style>
  <w:style w:type="character" w:customStyle="1" w:styleId="40">
    <w:name w:val="批注框文本 Char"/>
    <w:basedOn w:val="18"/>
    <w:link w:val="12"/>
    <w:autoRedefine/>
    <w:qFormat/>
    <w:uiPriority w:val="0"/>
    <w:rPr>
      <w:kern w:val="2"/>
      <w:sz w:val="18"/>
      <w:szCs w:val="18"/>
    </w:rPr>
  </w:style>
  <w:style w:type="character" w:customStyle="1" w:styleId="41">
    <w:name w:val="textcontents"/>
    <w:basedOn w:val="18"/>
    <w:autoRedefine/>
    <w:qFormat/>
    <w:uiPriority w:val="0"/>
  </w:style>
  <w:style w:type="character" w:customStyle="1" w:styleId="42">
    <w:name w:val="style9"/>
    <w:basedOn w:val="18"/>
    <w:autoRedefine/>
    <w:qFormat/>
    <w:uiPriority w:val="0"/>
  </w:style>
  <w:style w:type="paragraph" w:styleId="43">
    <w:name w:val="List Paragraph"/>
    <w:basedOn w:val="1"/>
    <w:autoRedefine/>
    <w:qFormat/>
    <w:uiPriority w:val="34"/>
    <w:pPr>
      <w:ind w:firstLine="420" w:firstLineChars="200"/>
    </w:pPr>
  </w:style>
  <w:style w:type="paragraph" w:customStyle="1" w:styleId="44">
    <w:name w:val="Table Text"/>
    <w:basedOn w:val="1"/>
    <w:semiHidden/>
    <w:qFormat/>
    <w:uiPriority w:val="0"/>
    <w:rPr>
      <w:rFonts w:ascii="宋体" w:hAnsi="宋体" w:eastAsia="宋体" w:cs="宋体"/>
      <w:sz w:val="22"/>
      <w:szCs w:val="22"/>
      <w:lang w:val="en-US" w:eastAsia="en-US" w:bidi="ar-SA"/>
    </w:rPr>
  </w:style>
  <w:style w:type="table" w:customStyle="1" w:styleId="45">
    <w:name w:val="Table Normal"/>
    <w:unhideWhenUsed/>
    <w:qFormat/>
    <w:uiPriority w:val="0"/>
    <w:tblPr>
      <w:tblCellMar>
        <w:top w:w="0" w:type="dxa"/>
        <w:left w:w="0" w:type="dxa"/>
        <w:bottom w:w="0" w:type="dxa"/>
        <w:right w:w="0" w:type="dxa"/>
      </w:tblCellMar>
    </w:tblPr>
  </w:style>
  <w:style w:type="character" w:customStyle="1" w:styleId="46">
    <w:name w:val="15"/>
    <w:basedOn w:val="18"/>
    <w:qFormat/>
    <w:uiPriority w:val="0"/>
    <w:rPr>
      <w:rFonts w:hint="default" w:ascii="Times New Roman" w:hAnsi="Times New Roman" w:cs="Times New Roman"/>
    </w:rPr>
  </w:style>
  <w:style w:type="paragraph" w:customStyle="1" w:styleId="47">
    <w:name w:val="正文_0_2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037;&#31243;\&#26477;&#24030;&#34701;&#21019;&#23433;&#32622;&#25151;&#39033;&#30446;\&#24037;&#31243;&#37327;&#28165;&#21333;&#35828;&#26126;&#27169;&#26495;\&#25307;&#26631;&#24037;&#31243;&#37327;&#28165;&#21333;&#32534;&#21046;&#35828;&#26126;&#65288;&#26477;&#24030;&#65289;4.28&#2046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招标工程量清单编制说明（杭州）4.28修</Template>
  <Pages>5</Pages>
  <Words>2828</Words>
  <Characters>3008</Characters>
  <Lines>58</Lines>
  <Paragraphs>16</Paragraphs>
  <TotalTime>4</TotalTime>
  <ScaleCrop>false</ScaleCrop>
  <LinksUpToDate>false</LinksUpToDate>
  <CharactersWithSpaces>3249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2020-06-18T05:41:00Z</dcterms:created>
  <dc:creator>高</dc:creator>
  <cp:lastModifiedBy>罗洁</cp:lastModifiedBy>
  <cp:lastPrinted>2022-01-12T09:34:00Z</cp:lastPrinted>
  <dcterms:modified xsi:type="dcterms:W3CDTF">2026-07-06T08:08:57Z</dcterms:modified>
  <dc:title>杭州东部创智天地工程招标工程量清单编制说明</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7E2891D3EFB9446A8C774730DB0D062C_13</vt:lpwstr>
  </property>
  <property fmtid="{D5CDD505-2E9C-101B-9397-08002B2CF9AE}" pid="4" name="KSOTemplateDocerSaveRecord">
    <vt:lpwstr>eyJoZGlkIjoiMjJlNWY1MjI1ZWQ5ZjE5YTlmNDc2MTZjNTU1MDM0N2MiLCJ1c2VySWQiOiIxMTQzNzI1ODIyIn0=</vt:lpwstr>
  </property>
</Properties>
</file>