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77337BA">
      <w:pPr>
        <w:pStyle w:val="145"/>
        <w:widowControl w:val="0"/>
        <w:snapToGrid w:val="0"/>
        <w:spacing w:line="470" w:lineRule="atLeast"/>
        <w:ind w:firstLine="0"/>
        <w:jc w:val="center"/>
        <w:rPr>
          <w:rFonts w:ascii="黑体" w:hAnsi="宋体" w:eastAsia="黑体"/>
          <w:b w:val="0"/>
          <w:color w:val="auto"/>
          <w:sz w:val="32"/>
        </w:rPr>
      </w:pPr>
    </w:p>
    <w:p w14:paraId="2DD59050">
      <w:pPr>
        <w:pStyle w:val="145"/>
        <w:widowControl w:val="0"/>
        <w:snapToGrid w:val="0"/>
        <w:spacing w:line="470" w:lineRule="atLeast"/>
        <w:ind w:firstLine="0"/>
        <w:jc w:val="center"/>
        <w:rPr>
          <w:rFonts w:ascii="黑体" w:hAnsi="宋体" w:eastAsia="黑体"/>
          <w:b w:val="0"/>
          <w:color w:val="auto"/>
          <w:sz w:val="32"/>
        </w:rPr>
      </w:pPr>
    </w:p>
    <w:p w14:paraId="54E0C79D">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bookmarkStart w:id="0" w:name="_Toc10045"/>
      <w:r>
        <w:rPr>
          <w:rFonts w:hint="eastAsia" w:ascii="黑体" w:hAnsi="宋体" w:eastAsia="黑体"/>
          <w:b w:val="0"/>
          <w:color w:val="auto"/>
          <w:sz w:val="52"/>
          <w:szCs w:val="52"/>
        </w:rPr>
        <w:t>杭州电子科技大学</w:t>
      </w:r>
      <w:bookmarkEnd w:id="0"/>
    </w:p>
    <w:p w14:paraId="37A4A72B">
      <w:pPr>
        <w:pStyle w:val="145"/>
        <w:widowControl w:val="0"/>
        <w:snapToGrid w:val="0"/>
        <w:spacing w:line="470" w:lineRule="atLeast"/>
        <w:ind w:firstLine="0"/>
        <w:jc w:val="center"/>
        <w:outlineLvl w:val="0"/>
        <w:rPr>
          <w:rFonts w:ascii="黑体" w:hAnsi="宋体" w:eastAsia="黑体"/>
          <w:b w:val="0"/>
          <w:color w:val="auto"/>
          <w:sz w:val="48"/>
          <w:szCs w:val="48"/>
        </w:rPr>
      </w:pPr>
      <w:bookmarkStart w:id="1" w:name="_Toc17976"/>
      <w:r>
        <w:rPr>
          <w:rFonts w:hint="eastAsia" w:ascii="黑体" w:hAnsi="宋体" w:eastAsia="黑体"/>
          <w:b w:val="0"/>
          <w:color w:val="auto"/>
          <w:sz w:val="48"/>
          <w:szCs w:val="48"/>
        </w:rPr>
        <w:t>2026年度外文纸质图书项目</w:t>
      </w:r>
      <w:bookmarkEnd w:id="1"/>
    </w:p>
    <w:p w14:paraId="1096EBBE">
      <w:pPr>
        <w:pStyle w:val="145"/>
        <w:widowControl w:val="0"/>
        <w:snapToGrid w:val="0"/>
        <w:spacing w:line="470" w:lineRule="atLeast"/>
        <w:ind w:firstLine="0"/>
        <w:jc w:val="center"/>
        <w:rPr>
          <w:rFonts w:ascii="黑体" w:eastAsia="黑体"/>
          <w:b w:val="0"/>
          <w:color w:val="auto"/>
          <w:sz w:val="36"/>
          <w:szCs w:val="36"/>
        </w:rPr>
      </w:pPr>
    </w:p>
    <w:p w14:paraId="7CD2D405">
      <w:pPr>
        <w:pStyle w:val="145"/>
        <w:widowControl w:val="0"/>
        <w:snapToGrid w:val="0"/>
        <w:spacing w:line="470" w:lineRule="atLeast"/>
        <w:ind w:firstLine="0"/>
        <w:jc w:val="center"/>
        <w:rPr>
          <w:rFonts w:ascii="黑体" w:eastAsia="黑体"/>
          <w:b w:val="0"/>
          <w:color w:val="auto"/>
          <w:sz w:val="36"/>
        </w:rPr>
      </w:pPr>
    </w:p>
    <w:p w14:paraId="51F26472">
      <w:pPr>
        <w:pStyle w:val="145"/>
        <w:widowControl w:val="0"/>
        <w:snapToGrid w:val="0"/>
        <w:spacing w:line="470" w:lineRule="atLeast"/>
        <w:ind w:firstLine="0"/>
        <w:jc w:val="center"/>
        <w:rPr>
          <w:rFonts w:ascii="黑体" w:eastAsia="黑体"/>
          <w:b w:val="0"/>
          <w:color w:val="auto"/>
          <w:sz w:val="36"/>
        </w:rPr>
      </w:pPr>
    </w:p>
    <w:p w14:paraId="3355D074">
      <w:pPr>
        <w:pStyle w:val="145"/>
        <w:widowControl w:val="0"/>
        <w:snapToGrid w:val="0"/>
        <w:spacing w:line="470" w:lineRule="atLeast"/>
        <w:ind w:firstLine="0"/>
        <w:jc w:val="center"/>
        <w:outlineLvl w:val="0"/>
        <w:rPr>
          <w:rFonts w:ascii="楷体" w:hAnsi="楷体" w:eastAsia="楷体" w:cs="楷体"/>
          <w:b w:val="0"/>
          <w:color w:val="auto"/>
          <w:sz w:val="72"/>
        </w:rPr>
      </w:pPr>
      <w:bookmarkStart w:id="2" w:name="_Toc19204"/>
      <w:r>
        <w:rPr>
          <w:rFonts w:hint="eastAsia" w:ascii="楷体" w:hAnsi="楷体" w:eastAsia="楷体" w:cs="楷体"/>
          <w:b w:val="0"/>
          <w:color w:val="auto"/>
          <w:sz w:val="72"/>
        </w:rPr>
        <w:t>竞争性磋商文件</w:t>
      </w:r>
      <w:bookmarkEnd w:id="2"/>
    </w:p>
    <w:p w14:paraId="1C20E06E">
      <w:pPr>
        <w:pStyle w:val="145"/>
        <w:widowControl w:val="0"/>
        <w:snapToGrid w:val="0"/>
        <w:spacing w:line="470" w:lineRule="atLeast"/>
        <w:ind w:firstLine="0"/>
        <w:jc w:val="center"/>
        <w:outlineLvl w:val="0"/>
        <w:rPr>
          <w:rFonts w:ascii="黑体" w:hAnsi="宋体" w:eastAsia="黑体"/>
          <w:b w:val="0"/>
          <w:color w:val="auto"/>
          <w:sz w:val="32"/>
        </w:rPr>
      </w:pPr>
      <w:bookmarkStart w:id="3" w:name="_Toc30681"/>
      <w:r>
        <w:rPr>
          <w:rFonts w:hint="eastAsia" w:ascii="楷体" w:hAnsi="楷体" w:eastAsia="楷体" w:cs="楷体"/>
          <w:bCs/>
          <w:color w:val="auto"/>
          <w:sz w:val="36"/>
          <w:szCs w:val="36"/>
        </w:rPr>
        <w:t>（线上电子交易）</w:t>
      </w:r>
      <w:bookmarkEnd w:id="3"/>
    </w:p>
    <w:p w14:paraId="35898BCC">
      <w:pPr>
        <w:pStyle w:val="145"/>
        <w:widowControl w:val="0"/>
        <w:snapToGrid w:val="0"/>
        <w:spacing w:line="360" w:lineRule="auto"/>
        <w:ind w:firstLine="2400" w:firstLineChars="750"/>
        <w:rPr>
          <w:rFonts w:ascii="黑体" w:hAnsi="宋体" w:eastAsia="黑体"/>
          <w:b w:val="0"/>
          <w:color w:val="auto"/>
          <w:sz w:val="32"/>
        </w:rPr>
      </w:pPr>
    </w:p>
    <w:p w14:paraId="7D9C802E">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bookmarkStart w:id="4" w:name="_Toc24162"/>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bookmarkEnd w:id="4"/>
      <w:r>
        <w:rPr>
          <w:rFonts w:hint="eastAsia" w:ascii="黑体" w:hAnsi="宋体" w:eastAsia="黑体"/>
          <w:b w:val="0"/>
          <w:color w:val="auto"/>
          <w:sz w:val="32"/>
          <w:lang w:val="en-US" w:eastAsia="zh-CN"/>
        </w:rPr>
        <w:t>09</w:t>
      </w:r>
    </w:p>
    <w:p w14:paraId="1D9DF6AA">
      <w:pPr>
        <w:pStyle w:val="145"/>
        <w:widowControl w:val="0"/>
        <w:snapToGrid w:val="0"/>
        <w:spacing w:line="470" w:lineRule="atLeast"/>
        <w:ind w:firstLine="0"/>
        <w:jc w:val="center"/>
        <w:rPr>
          <w:color w:val="auto"/>
        </w:rPr>
      </w:pPr>
    </w:p>
    <w:p w14:paraId="14D5650A">
      <w:pPr>
        <w:pStyle w:val="145"/>
        <w:widowControl w:val="0"/>
        <w:snapToGrid w:val="0"/>
        <w:spacing w:line="470" w:lineRule="atLeast"/>
        <w:ind w:firstLine="0"/>
        <w:jc w:val="center"/>
        <w:rPr>
          <w:color w:val="auto"/>
        </w:rPr>
      </w:pPr>
    </w:p>
    <w:p w14:paraId="679E3CD8">
      <w:pPr>
        <w:pStyle w:val="145"/>
        <w:widowControl w:val="0"/>
        <w:snapToGrid w:val="0"/>
        <w:spacing w:line="470" w:lineRule="atLeast"/>
        <w:ind w:firstLine="0"/>
        <w:jc w:val="center"/>
        <w:rPr>
          <w:color w:val="auto"/>
        </w:rPr>
      </w:pPr>
    </w:p>
    <w:p w14:paraId="50E7252F">
      <w:pPr>
        <w:pStyle w:val="145"/>
        <w:widowControl w:val="0"/>
        <w:snapToGrid w:val="0"/>
        <w:spacing w:line="470" w:lineRule="atLeast"/>
        <w:ind w:firstLine="0"/>
        <w:jc w:val="center"/>
        <w:rPr>
          <w:color w:val="auto"/>
        </w:rPr>
      </w:pPr>
    </w:p>
    <w:p w14:paraId="22AA32FB">
      <w:pPr>
        <w:pStyle w:val="145"/>
        <w:widowControl w:val="0"/>
        <w:snapToGrid w:val="0"/>
        <w:spacing w:line="470" w:lineRule="atLeast"/>
        <w:ind w:firstLine="0"/>
        <w:jc w:val="center"/>
        <w:rPr>
          <w:color w:val="auto"/>
        </w:rPr>
      </w:pPr>
    </w:p>
    <w:p w14:paraId="7A7A4C5F">
      <w:pPr>
        <w:pStyle w:val="145"/>
        <w:widowControl w:val="0"/>
        <w:snapToGrid w:val="0"/>
        <w:spacing w:line="470" w:lineRule="atLeast"/>
        <w:ind w:firstLine="0"/>
        <w:jc w:val="center"/>
        <w:rPr>
          <w:color w:val="auto"/>
        </w:rPr>
      </w:pPr>
    </w:p>
    <w:p w14:paraId="46F531F4">
      <w:pPr>
        <w:pStyle w:val="145"/>
        <w:widowControl w:val="0"/>
        <w:snapToGrid w:val="0"/>
        <w:spacing w:line="470" w:lineRule="atLeast"/>
        <w:ind w:firstLine="0"/>
        <w:jc w:val="center"/>
        <w:rPr>
          <w:color w:val="auto"/>
        </w:rPr>
      </w:pPr>
    </w:p>
    <w:p w14:paraId="565088CC">
      <w:pPr>
        <w:pStyle w:val="145"/>
        <w:widowControl w:val="0"/>
        <w:snapToGrid w:val="0"/>
        <w:spacing w:line="470" w:lineRule="atLeast"/>
        <w:ind w:firstLine="0"/>
        <w:jc w:val="center"/>
        <w:rPr>
          <w:color w:val="auto"/>
        </w:rPr>
      </w:pPr>
    </w:p>
    <w:p w14:paraId="0F090F68">
      <w:pPr>
        <w:pStyle w:val="145"/>
        <w:spacing w:line="480" w:lineRule="auto"/>
        <w:ind w:firstLine="0"/>
        <w:jc w:val="center"/>
        <w:outlineLvl w:val="1"/>
        <w:rPr>
          <w:rFonts w:eastAsia="黑体"/>
          <w:b w:val="0"/>
          <w:color w:val="auto"/>
          <w:sz w:val="32"/>
        </w:rPr>
      </w:pPr>
      <w:bookmarkStart w:id="5" w:name="_Toc18332"/>
      <w:r>
        <w:rPr>
          <w:rFonts w:hint="eastAsia" w:eastAsia="黑体"/>
          <w:b w:val="0"/>
          <w:color w:val="auto"/>
          <w:sz w:val="32"/>
        </w:rPr>
        <w:t>杭州电子科技大学采购中心</w:t>
      </w:r>
      <w:bookmarkEnd w:id="5"/>
    </w:p>
    <w:p w14:paraId="7FB44B56">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bookmarkStart w:id="6" w:name="_Toc18841"/>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6</w:t>
      </w:r>
      <w:r>
        <w:rPr>
          <w:rFonts w:hint="eastAsia" w:ascii="黑体" w:eastAsia="黑体"/>
          <w:b w:val="0"/>
          <w:color w:val="auto"/>
          <w:sz w:val="32"/>
          <w:szCs w:val="32"/>
        </w:rPr>
        <w:t>月</w:t>
      </w:r>
      <w:r>
        <w:rPr>
          <w:rFonts w:hint="default" w:ascii="黑体" w:eastAsia="黑体"/>
          <w:b w:val="0"/>
          <w:color w:val="auto"/>
          <w:sz w:val="32"/>
          <w:szCs w:val="32"/>
          <w:woUserID w:val="1"/>
        </w:rPr>
        <w:t>18</w:t>
      </w:r>
      <w:r>
        <w:rPr>
          <w:rFonts w:hint="eastAsia" w:ascii="黑体" w:eastAsia="黑体"/>
          <w:b w:val="0"/>
          <w:color w:val="auto"/>
          <w:sz w:val="32"/>
          <w:szCs w:val="32"/>
        </w:rPr>
        <w:t>日</w:t>
      </w:r>
      <w:bookmarkEnd w:id="6"/>
    </w:p>
    <w:p w14:paraId="62F0503A">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29719385">
      <w:pPr>
        <w:pStyle w:val="145"/>
        <w:widowControl w:val="0"/>
        <w:snapToGrid w:val="0"/>
        <w:spacing w:line="442" w:lineRule="atLeast"/>
        <w:ind w:right="-176" w:rightChars="-84" w:firstLine="0"/>
        <w:jc w:val="center"/>
        <w:outlineLvl w:val="0"/>
        <w:rPr>
          <w:rFonts w:ascii="宋体"/>
          <w:color w:val="auto"/>
          <w:sz w:val="36"/>
          <w:szCs w:val="36"/>
        </w:rPr>
      </w:pPr>
      <w:bookmarkStart w:id="7" w:name="_Toc3604"/>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bookmarkEnd w:id="7"/>
    </w:p>
    <w:p w14:paraId="7BB5BB1A">
      <w:pPr>
        <w:pStyle w:val="36"/>
        <w:keepNext w:val="0"/>
        <w:keepLines w:val="0"/>
        <w:pageBreakBefore w:val="0"/>
        <w:widowControl w:val="0"/>
        <w:tabs>
          <w:tab w:val="right" w:leader="dot" w:pos="9413"/>
        </w:tabs>
        <w:kinsoku/>
        <w:wordWrap/>
        <w:overflowPunct/>
        <w:topLinePunct w:val="0"/>
        <w:autoSpaceDE/>
        <w:autoSpaceDN/>
        <w:bidi w:val="0"/>
        <w:adjustRightInd/>
        <w:snapToGrid/>
        <w:spacing w:before="0" w:after="0"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TOC \o "1-3" \h \u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HYPERLINK \l _Toc5885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第一部分 竞争性磋商公告</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_Toc5885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5</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fldChar w:fldCharType="end"/>
      </w:r>
    </w:p>
    <w:p w14:paraId="4A4D3D95">
      <w:pPr>
        <w:pStyle w:val="36"/>
        <w:keepNext w:val="0"/>
        <w:keepLines w:val="0"/>
        <w:pageBreakBefore w:val="0"/>
        <w:widowControl w:val="0"/>
        <w:tabs>
          <w:tab w:val="right" w:leader="dot" w:pos="9413"/>
        </w:tabs>
        <w:kinsoku/>
        <w:wordWrap/>
        <w:overflowPunct/>
        <w:topLinePunct w:val="0"/>
        <w:autoSpaceDE/>
        <w:autoSpaceDN/>
        <w:bidi w:val="0"/>
        <w:adjustRightInd/>
        <w:snapToGrid/>
        <w:spacing w:before="0" w:after="0"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_Toc180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kern w:val="44"/>
          <w:sz w:val="24"/>
          <w:szCs w:val="24"/>
          <w:lang w:val="en-US" w:eastAsia="zh-CN" w:bidi="ar-SA"/>
        </w:rPr>
        <w:t>第二部分 响应方须知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_Toc180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E67E2DF">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_Toc14378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前附表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_Toc14378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B0D711A">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_Toc5699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一、磋商说明</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_Toc5699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1E0742D">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_Toc5007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二、磋商文件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_Toc5007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336DAB2">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_Toc6562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三、响应文件的编制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_Toc6562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A18C573">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_Toc21484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四、响应无效的情形</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_Toc21484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E970204">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_Toc25131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五、开启响应文件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_Toc25131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6225B120">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_Toc19902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六、评审和磋商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_Toc19902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82E6D96">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_Toc1270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七、合同授予</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_Toc1270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85852BB">
      <w:pPr>
        <w:pStyle w:val="36"/>
        <w:keepNext w:val="0"/>
        <w:keepLines w:val="0"/>
        <w:pageBreakBefore w:val="0"/>
        <w:widowControl w:val="0"/>
        <w:tabs>
          <w:tab w:val="right" w:leader="dot" w:pos="9413"/>
        </w:tabs>
        <w:kinsoku/>
        <w:wordWrap/>
        <w:overflowPunct/>
        <w:topLinePunct w:val="0"/>
        <w:autoSpaceDE/>
        <w:autoSpaceDN/>
        <w:bidi w:val="0"/>
        <w:adjustRightInd/>
        <w:snapToGrid/>
        <w:spacing w:before="0" w:after="0"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_Toc7843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lang w:val="en-US" w:eastAsia="zh-CN"/>
        </w:rPr>
        <w:t>第三</w:t>
      </w:r>
      <w:r>
        <w:rPr>
          <w:rFonts w:hint="eastAsia" w:ascii="宋体" w:hAnsi="宋体" w:eastAsia="宋体" w:cs="宋体"/>
          <w:b/>
          <w:bCs/>
          <w:color w:val="auto"/>
          <w:kern w:val="44"/>
          <w:sz w:val="24"/>
          <w:szCs w:val="24"/>
          <w:lang w:val="en-US" w:eastAsia="zh-CN" w:bidi="ar-SA"/>
        </w:rPr>
        <w:t>部分 采购需求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_Toc7843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1728851">
      <w:pPr>
        <w:pStyle w:val="36"/>
        <w:keepNext w:val="0"/>
        <w:keepLines w:val="0"/>
        <w:pageBreakBefore w:val="0"/>
        <w:widowControl w:val="0"/>
        <w:tabs>
          <w:tab w:val="right" w:leader="dot" w:pos="9413"/>
        </w:tabs>
        <w:kinsoku/>
        <w:wordWrap/>
        <w:overflowPunct/>
        <w:topLinePunct w:val="0"/>
        <w:autoSpaceDE/>
        <w:autoSpaceDN/>
        <w:bidi w:val="0"/>
        <w:adjustRightInd/>
        <w:snapToGrid/>
        <w:spacing w:before="0" w:after="0"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_Toc15023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第四部分 评审办法与评分标准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_Toc15023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19F1A909">
      <w:pPr>
        <w:pStyle w:val="36"/>
        <w:keepNext w:val="0"/>
        <w:keepLines w:val="0"/>
        <w:pageBreakBefore w:val="0"/>
        <w:widowControl w:val="0"/>
        <w:tabs>
          <w:tab w:val="right" w:leader="dot" w:pos="9413"/>
        </w:tabs>
        <w:kinsoku/>
        <w:wordWrap/>
        <w:overflowPunct/>
        <w:topLinePunct w:val="0"/>
        <w:autoSpaceDE/>
        <w:autoSpaceDN/>
        <w:bidi w:val="0"/>
        <w:adjustRightInd/>
        <w:snapToGrid/>
        <w:spacing w:before="0" w:after="0"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_Toc13560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第五部分 合同基本条款</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_Toc13560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AE4C01D">
      <w:pPr>
        <w:pStyle w:val="36"/>
        <w:keepNext w:val="0"/>
        <w:keepLines w:val="0"/>
        <w:pageBreakBefore w:val="0"/>
        <w:widowControl w:val="0"/>
        <w:tabs>
          <w:tab w:val="right" w:leader="dot" w:pos="9413"/>
        </w:tabs>
        <w:kinsoku/>
        <w:wordWrap/>
        <w:overflowPunct/>
        <w:topLinePunct w:val="0"/>
        <w:autoSpaceDE/>
        <w:autoSpaceDN/>
        <w:bidi w:val="0"/>
        <w:adjustRightInd/>
        <w:snapToGrid/>
        <w:spacing w:before="0" w:after="0" w:line="264"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_Toc10075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第六部分 响应文件格式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_Toc10075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DADBDB0">
      <w:pPr>
        <w:pStyle w:val="36"/>
        <w:keepNext w:val="0"/>
        <w:keepLines w:val="0"/>
        <w:pageBreakBefore w:val="0"/>
        <w:widowControl w:val="0"/>
        <w:tabs>
          <w:tab w:val="right" w:leader="dot" w:pos="9413"/>
        </w:tabs>
        <w:kinsoku/>
        <w:wordWrap/>
        <w:overflowPunct/>
        <w:topLinePunct w:val="0"/>
        <w:autoSpaceDE/>
        <w:autoSpaceDN/>
        <w:bidi w:val="0"/>
        <w:adjustRightInd/>
        <w:snapToGrid/>
        <w:spacing w:before="0" w:after="0"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_Toc455 </w:instrText>
      </w:r>
      <w:r>
        <w:rPr>
          <w:rFonts w:hint="eastAsia" w:ascii="宋体" w:hAnsi="宋体" w:eastAsia="宋体" w:cs="宋体"/>
          <w:color w:val="auto"/>
          <w:sz w:val="24"/>
          <w:szCs w:val="24"/>
        </w:rPr>
        <w:fldChar w:fldCharType="separate"/>
      </w:r>
      <w:r>
        <w:rPr>
          <w:rFonts w:hint="eastAsia" w:ascii="宋体" w:hAnsi="宋体" w:eastAsia="宋体" w:cs="宋体"/>
          <w:b/>
          <w:bCs w:val="0"/>
          <w:color w:val="auto"/>
          <w:sz w:val="24"/>
          <w:szCs w:val="24"/>
        </w:rPr>
        <w:t>资格文件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_Toc455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6427D8C7">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_Toc4094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1）有效的法人或者其他组织的营业执照等证明文件，自然人的身份证明</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_Toc4094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648CCF3">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_Toc12097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2）资格条件承诺函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_Toc12097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6D6F8B21">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_Toc13311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）本项目的特定资格要求证明材料：国家颁发的出版物进口经营许可证</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_Toc13311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68DA9727">
      <w:pPr>
        <w:pStyle w:val="36"/>
        <w:keepNext w:val="0"/>
        <w:keepLines w:val="0"/>
        <w:pageBreakBefore w:val="0"/>
        <w:widowControl w:val="0"/>
        <w:tabs>
          <w:tab w:val="right" w:leader="dot" w:pos="9413"/>
        </w:tabs>
        <w:kinsoku/>
        <w:wordWrap/>
        <w:overflowPunct/>
        <w:topLinePunct w:val="0"/>
        <w:autoSpaceDE/>
        <w:autoSpaceDN/>
        <w:bidi w:val="0"/>
        <w:adjustRightInd/>
        <w:snapToGrid/>
        <w:spacing w:before="0" w:after="0"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_Toc17030 </w:instrText>
      </w:r>
      <w:r>
        <w:rPr>
          <w:rFonts w:hint="eastAsia" w:ascii="宋体" w:hAnsi="宋体" w:eastAsia="宋体" w:cs="宋体"/>
          <w:color w:val="auto"/>
          <w:sz w:val="24"/>
          <w:szCs w:val="24"/>
        </w:rPr>
        <w:fldChar w:fldCharType="separate"/>
      </w:r>
      <w:r>
        <w:rPr>
          <w:rFonts w:hint="eastAsia" w:ascii="宋体" w:hAnsi="宋体" w:eastAsia="宋体" w:cs="宋体"/>
          <w:b/>
          <w:bCs w:val="0"/>
          <w:color w:val="auto"/>
          <w:sz w:val="24"/>
          <w:szCs w:val="24"/>
        </w:rPr>
        <w:t>报价文件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_Toc17030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189EF34">
      <w:pPr>
        <w:pStyle w:val="36"/>
        <w:keepNext w:val="0"/>
        <w:keepLines w:val="0"/>
        <w:pageBreakBefore w:val="0"/>
        <w:widowControl w:val="0"/>
        <w:tabs>
          <w:tab w:val="right" w:leader="dot" w:pos="9413"/>
        </w:tabs>
        <w:kinsoku/>
        <w:wordWrap/>
        <w:overflowPunct/>
        <w:topLinePunct w:val="0"/>
        <w:autoSpaceDE/>
        <w:autoSpaceDN/>
        <w:bidi w:val="0"/>
        <w:adjustRightInd/>
        <w:snapToGrid/>
        <w:spacing w:before="0" w:after="0"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_Toc31560 </w:instrText>
      </w:r>
      <w:r>
        <w:rPr>
          <w:rFonts w:hint="eastAsia" w:ascii="宋体" w:hAnsi="宋体" w:eastAsia="宋体" w:cs="宋体"/>
          <w:color w:val="auto"/>
          <w:sz w:val="24"/>
          <w:szCs w:val="24"/>
        </w:rPr>
        <w:fldChar w:fldCharType="separate"/>
      </w:r>
      <w:r>
        <w:rPr>
          <w:rFonts w:hint="eastAsia" w:ascii="宋体" w:hAnsi="宋体" w:eastAsia="宋体" w:cs="宋体"/>
          <w:b/>
          <w:bCs w:val="0"/>
          <w:color w:val="auto"/>
          <w:sz w:val="24"/>
          <w:szCs w:val="24"/>
        </w:rPr>
        <w:t>商务和技术文件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_Toc31560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760BEE4">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_Toc3459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（1）磋商响应函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_Toc3459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1FBF8C25">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_Toc2482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（2）法定代表人授权书（非法定代表人参加时提供）</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_Toc2482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1C20C47D">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_Toc24777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（3）授权代表社保缴纳证明</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_Toc24777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6E7876B8">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_Toc20835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（4）法定代表人资格证明书（法定代表人参加时提供）</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_Toc20835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7E15E06">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_Toc26060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（5）采购需求偏离表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_Toc26060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9F5F5C6">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_Toc16503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（6）响应方基本情况表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_Toc16503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84A58F6">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_Toc26465 </w:instrText>
      </w:r>
      <w:r>
        <w:rPr>
          <w:rFonts w:hint="eastAsia" w:ascii="宋体" w:hAnsi="宋体" w:eastAsia="宋体" w:cs="宋体"/>
          <w:color w:val="auto"/>
          <w:sz w:val="24"/>
          <w:szCs w:val="24"/>
        </w:rPr>
        <w:fldChar w:fldCharType="separate"/>
      </w:r>
      <w:r>
        <w:rPr>
          <w:rFonts w:hint="eastAsia" w:ascii="宋体" w:hAnsi="宋体" w:eastAsia="宋体" w:cs="宋体"/>
          <w:bCs w:val="0"/>
          <w:color w:val="auto"/>
          <w:sz w:val="24"/>
          <w:szCs w:val="24"/>
          <w:lang w:val="en-US" w:eastAsia="zh-CN"/>
        </w:rPr>
        <w:t>（7）</w:t>
      </w:r>
      <w:r>
        <w:rPr>
          <w:rFonts w:hint="eastAsia" w:ascii="宋体" w:hAnsi="宋体" w:eastAsia="宋体" w:cs="宋体"/>
          <w:bCs w:val="0"/>
          <w:color w:val="auto"/>
          <w:sz w:val="21"/>
          <w:szCs w:val="21"/>
          <w:lang w:val="en-US" w:eastAsia="zh-CN"/>
        </w:rPr>
        <w:t>IS09001 国际质量体系认证书，环境管理体系认证书，职业健康安全管理体系认证书</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_Toc26465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F63B3C5">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_Toc9641 </w:instrText>
      </w:r>
      <w:r>
        <w:rPr>
          <w:rFonts w:hint="eastAsia" w:ascii="宋体" w:hAnsi="宋体" w:eastAsia="宋体" w:cs="宋体"/>
          <w:color w:val="auto"/>
          <w:sz w:val="24"/>
          <w:szCs w:val="24"/>
        </w:rPr>
        <w:fldChar w:fldCharType="separate"/>
      </w:r>
      <w:r>
        <w:rPr>
          <w:rFonts w:hint="eastAsia" w:ascii="宋体" w:hAnsi="宋体" w:eastAsia="宋体" w:cs="宋体"/>
          <w:bCs w:val="0"/>
          <w:color w:val="auto"/>
          <w:sz w:val="24"/>
          <w:szCs w:val="24"/>
          <w:lang w:val="en-US" w:eastAsia="zh-CN"/>
        </w:rPr>
        <w:t>（8）中国书刊发行协会会员证书</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_Toc9641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73CFDF4">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_Toc23031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val="en-US" w:eastAsia="zh-CN"/>
        </w:rPr>
        <w:t>（9）现采基地库房自有的房产证明或租赁合同及有现货承诺书</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_Toc23031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E9E6E8B">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_Toc7306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val="en-US" w:eastAsia="zh-CN"/>
        </w:rPr>
        <w:t>（10）图书馆配会、图书博览会现采活动或线上图书展览会的相关证明材料</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_Toc7306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0A60F6F">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_Toc28555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val="en-US" w:eastAsia="zh-CN"/>
        </w:rPr>
        <w:t>（11）用户评价</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_Toc28555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76C23DE">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_Toc15050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）供应商同类合同一览表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_Toc15050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5BE900A">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_Toc3832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）详细技术和服务方案</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_Toc3832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E3B2B47">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_Toc12659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售后服务承诺函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_Toc12659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8485CD3">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_Toc3370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lang w:eastAsia="zh-CN"/>
        </w:rPr>
        <w:t>信息化服务方案</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_Toc3370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342BE9F">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_Toc28884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16</w:t>
      </w:r>
      <w:r>
        <w:rPr>
          <w:rFonts w:hint="eastAsia" w:ascii="宋体" w:hAnsi="宋体" w:eastAsia="宋体" w:cs="宋体"/>
          <w:color w:val="auto"/>
          <w:sz w:val="24"/>
          <w:szCs w:val="24"/>
        </w:rPr>
        <w:t>）项目组成员一览表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_Toc28884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F4B2B1D">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_Toc5205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特色服务</w:t>
      </w:r>
      <w:r>
        <w:rPr>
          <w:rFonts w:hint="eastAsia" w:ascii="宋体" w:hAnsi="宋体" w:eastAsia="宋体" w:cs="宋体"/>
          <w:color w:val="auto"/>
          <w:sz w:val="24"/>
          <w:szCs w:val="24"/>
          <w:lang w:val="en-US" w:eastAsia="zh-CN"/>
        </w:rPr>
        <w:t>方案</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_Toc5205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C730E30">
      <w:pPr>
        <w:pStyle w:val="28"/>
        <w:keepNext w:val="0"/>
        <w:keepLines w:val="0"/>
        <w:pageBreakBefore w:val="0"/>
        <w:widowControl w:val="0"/>
        <w:tabs>
          <w:tab w:val="right" w:leader="dot" w:pos="9413"/>
        </w:tabs>
        <w:kinsoku/>
        <w:wordWrap/>
        <w:overflowPunct/>
        <w:topLinePunct w:val="0"/>
        <w:autoSpaceDE/>
        <w:autoSpaceDN/>
        <w:bidi w:val="0"/>
        <w:adjustRightInd/>
        <w:snapToGrid/>
        <w:spacing w:line="264"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_Toc25988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18</w:t>
      </w:r>
      <w:r>
        <w:rPr>
          <w:rFonts w:hint="eastAsia" w:ascii="宋体" w:hAnsi="宋体" w:eastAsia="宋体" w:cs="宋体"/>
          <w:color w:val="auto"/>
          <w:sz w:val="24"/>
          <w:szCs w:val="24"/>
        </w:rPr>
        <w:t>）关于对磋商文件中有关条款的拒绝声明(如有)</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_Toc25988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62468689">
      <w:pPr>
        <w:pStyle w:val="36"/>
        <w:keepNext w:val="0"/>
        <w:keepLines w:val="0"/>
        <w:pageBreakBefore w:val="0"/>
        <w:widowControl w:val="0"/>
        <w:tabs>
          <w:tab w:val="right" w:leader="dot" w:pos="9413"/>
        </w:tabs>
        <w:kinsoku/>
        <w:wordWrap/>
        <w:overflowPunct/>
        <w:topLinePunct w:val="0"/>
        <w:autoSpaceDE/>
        <w:autoSpaceDN/>
        <w:bidi w:val="0"/>
        <w:adjustRightInd/>
        <w:snapToGrid/>
        <w:spacing w:before="0" w:after="0" w:line="264" w:lineRule="auto"/>
        <w:ind w:left="0" w:leftChars="0" w:firstLine="0" w:firstLineChars="0"/>
        <w:textAlignment w:val="auto"/>
        <w:rPr>
          <w:color w:val="auto"/>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_Toc14448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评分标准索引表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_Toc14448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7C0A9E9">
      <w:pPr>
        <w:pStyle w:val="4"/>
        <w:tabs>
          <w:tab w:val="right" w:leader="dot" w:pos="9000"/>
        </w:tabs>
        <w:snapToGrid w:val="0"/>
        <w:spacing w:before="0" w:after="0"/>
        <w:outlineLvl w:val="0"/>
        <w:rPr>
          <w:rStyle w:val="55"/>
          <w:b/>
          <w:color w:val="auto"/>
        </w:rPr>
      </w:pPr>
      <w:r>
        <w:rPr>
          <w:color w:val="auto"/>
          <w:sz w:val="24"/>
        </w:rPr>
        <w:br w:type="page"/>
      </w:r>
      <w:bookmarkStart w:id="8" w:name="_Toc118516209"/>
      <w:bookmarkStart w:id="9" w:name="_Toc171394907"/>
      <w:bookmarkStart w:id="10" w:name="_Toc4547"/>
      <w:bookmarkStart w:id="11" w:name="_Toc12840"/>
      <w:bookmarkStart w:id="12" w:name="_Toc17969"/>
      <w:bookmarkStart w:id="13" w:name="_Toc25143"/>
      <w:bookmarkStart w:id="14" w:name="_Toc6441"/>
      <w:bookmarkStart w:id="15" w:name="_Toc938"/>
      <w:bookmarkStart w:id="16" w:name="_Toc10391"/>
      <w:bookmarkStart w:id="17" w:name="_Toc9280"/>
      <w:bookmarkStart w:id="18" w:name="_Toc12052"/>
      <w:bookmarkStart w:id="19" w:name="_Toc14280"/>
      <w:bookmarkStart w:id="20" w:name="_Toc9372"/>
      <w:bookmarkStart w:id="21" w:name="_Toc3154"/>
      <w:bookmarkStart w:id="22" w:name="_Toc29876"/>
      <w:bookmarkStart w:id="23" w:name="_Toc5885"/>
      <w:bookmarkStart w:id="24" w:name="_Toc25841"/>
      <w:bookmarkStart w:id="25" w:name="_Toc7321"/>
      <w:bookmarkStart w:id="26" w:name="_Toc32381"/>
      <w:bookmarkStart w:id="27" w:name="_Toc15311"/>
      <w:bookmarkStart w:id="28" w:name="_Toc23298"/>
      <w:bookmarkStart w:id="29" w:name="_Toc24330"/>
      <w:bookmarkStart w:id="30" w:name="_Toc32496"/>
      <w:bookmarkStart w:id="31" w:name="_Toc13062"/>
      <w:bookmarkStart w:id="32" w:name="_Toc27478"/>
      <w:bookmarkStart w:id="33" w:name="_Toc22350_WPSOffice_Level1"/>
      <w:bookmarkStart w:id="34" w:name="_Toc10026"/>
      <w:bookmarkStart w:id="35" w:name="_Toc16674"/>
      <w:bookmarkStart w:id="36" w:name="_Toc14546"/>
      <w:bookmarkStart w:id="37" w:name="_Toc3034"/>
      <w:bookmarkStart w:id="38" w:name="_Toc7090"/>
      <w:bookmarkStart w:id="39" w:name="_Toc29438"/>
      <w:bookmarkStart w:id="40" w:name="_Toc20259"/>
      <w:bookmarkStart w:id="41" w:name="_Toc4488"/>
      <w:bookmarkStart w:id="42" w:name="_Toc9769"/>
      <w:bookmarkStart w:id="43" w:name="_Toc433537961"/>
      <w:bookmarkStart w:id="44" w:name="_Toc440"/>
      <w:r>
        <w:rPr>
          <w:rStyle w:val="55"/>
          <w:rFonts w:hint="eastAsia"/>
          <w:b/>
          <w:color w:val="auto"/>
        </w:rPr>
        <w:t>第一部分</w:t>
      </w:r>
      <w:bookmarkEnd w:id="8"/>
      <w:r>
        <w:rPr>
          <w:rStyle w:val="55"/>
          <w:b/>
          <w:color w:val="auto"/>
        </w:rPr>
        <w:t xml:space="preserve"> </w:t>
      </w:r>
      <w:r>
        <w:rPr>
          <w:rStyle w:val="55"/>
          <w:rFonts w:hint="eastAsia"/>
          <w:b/>
          <w:color w:val="auto"/>
        </w:rPr>
        <w:t>竞争性磋商</w:t>
      </w:r>
      <w:bookmarkEnd w:id="9"/>
      <w:r>
        <w:rPr>
          <w:rStyle w:val="55"/>
          <w:rFonts w:hint="eastAsia"/>
          <w:b/>
          <w:color w:val="auto"/>
        </w:rPr>
        <w:t>公告</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091B610E">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45" w:name="_Toc171394908"/>
      <w:bookmarkStart w:id="46" w:name="_Toc171394910"/>
      <w:bookmarkStart w:id="47"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2026年度外文纸质图书项目进行竞争性磋商(简称磋商)采购，欢迎国内合格的供应商前来参加。</w:t>
      </w:r>
    </w:p>
    <w:p w14:paraId="1F86100A">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48" w:name="_Toc3468_WPSOffice_Level2"/>
      <w:bookmarkStart w:id="49" w:name="_Toc6179"/>
      <w:bookmarkStart w:id="50" w:name="_Toc28017"/>
      <w:bookmarkStart w:id="51" w:name="_Toc21083"/>
      <w:bookmarkStart w:id="52" w:name="_Toc25225"/>
      <w:bookmarkStart w:id="53" w:name="_Toc19591"/>
      <w:bookmarkStart w:id="54" w:name="_Toc10031"/>
      <w:bookmarkStart w:id="55" w:name="_Toc12969"/>
      <w:bookmarkStart w:id="56" w:name="_Toc6517"/>
      <w:bookmarkStart w:id="57" w:name="_Toc183786415"/>
      <w:bookmarkStart w:id="58" w:name="_Toc433537963"/>
      <w:r>
        <w:rPr>
          <w:rFonts w:hint="eastAsia" w:asciiTheme="minorEastAsia" w:hAnsiTheme="minorEastAsia" w:eastAsiaTheme="minorEastAsia" w:cstheme="minorEastAsia"/>
          <w:b/>
          <w:bCs/>
          <w:color w:val="auto"/>
          <w:sz w:val="24"/>
          <w:szCs w:val="24"/>
        </w:rPr>
        <w:t>一、</w:t>
      </w:r>
      <w:bookmarkEnd w:id="45"/>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bookmarkEnd w:id="48"/>
      <w:bookmarkEnd w:id="49"/>
      <w:r>
        <w:rPr>
          <w:rFonts w:hint="eastAsia" w:asciiTheme="minorEastAsia" w:hAnsiTheme="minorEastAsia" w:eastAsiaTheme="minorEastAsia" w:cstheme="minorEastAsia"/>
          <w:color w:val="auto"/>
          <w:sz w:val="24"/>
          <w:szCs w:val="24"/>
          <w:lang w:val="en-US" w:eastAsia="zh-CN"/>
        </w:rPr>
        <w:t>09</w:t>
      </w:r>
    </w:p>
    <w:p w14:paraId="3E9AE759">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4271B58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59" w:name="_Toc9284"/>
      <w:bookmarkStart w:id="60" w:name="_Toc32694_WPSOffice_Level2"/>
      <w:r>
        <w:rPr>
          <w:rFonts w:hint="eastAsia" w:asciiTheme="minorEastAsia" w:hAnsiTheme="minorEastAsia" w:eastAsiaTheme="minorEastAsia" w:cstheme="minorEastAsia"/>
          <w:b/>
          <w:bCs/>
          <w:color w:val="auto"/>
          <w:sz w:val="24"/>
          <w:szCs w:val="24"/>
        </w:rPr>
        <w:t>二、采购项目概况</w:t>
      </w:r>
      <w:bookmarkEnd w:id="59"/>
      <w:bookmarkEnd w:id="60"/>
    </w:p>
    <w:tbl>
      <w:tblPr>
        <w:tblStyle w:val="47"/>
        <w:tblW w:w="9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9"/>
        <w:gridCol w:w="2475"/>
        <w:gridCol w:w="2160"/>
        <w:gridCol w:w="810"/>
        <w:gridCol w:w="1245"/>
        <w:gridCol w:w="1515"/>
      </w:tblGrid>
      <w:tr w14:paraId="54285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159" w:type="dxa"/>
            <w:tcBorders>
              <w:top w:val="single" w:color="auto" w:sz="4" w:space="0"/>
              <w:left w:val="single" w:color="auto" w:sz="4" w:space="0"/>
              <w:bottom w:val="single" w:color="auto" w:sz="4" w:space="0"/>
              <w:right w:val="single" w:color="auto" w:sz="4" w:space="0"/>
            </w:tcBorders>
            <w:vAlign w:val="center"/>
          </w:tcPr>
          <w:p w14:paraId="11D2C356">
            <w:pPr>
              <w:spacing w:line="276" w:lineRule="auto"/>
              <w:jc w:val="center"/>
              <w:rPr>
                <w:rFonts w:ascii="宋体" w:hAnsi="宋体" w:cs="宋体"/>
                <w:bCs/>
                <w:color w:val="auto"/>
                <w:spacing w:val="-6"/>
                <w:sz w:val="24"/>
              </w:rPr>
            </w:pPr>
            <w:r>
              <w:rPr>
                <w:rFonts w:hint="eastAsia" w:ascii="宋体" w:hAnsi="宋体" w:cs="宋体"/>
                <w:bCs/>
                <w:color w:val="auto"/>
                <w:spacing w:val="-6"/>
                <w:sz w:val="24"/>
              </w:rPr>
              <w:t>序号</w:t>
            </w:r>
          </w:p>
        </w:tc>
        <w:tc>
          <w:tcPr>
            <w:tcW w:w="2475" w:type="dxa"/>
            <w:tcBorders>
              <w:top w:val="single" w:color="auto" w:sz="4" w:space="0"/>
              <w:left w:val="single" w:color="auto" w:sz="4" w:space="0"/>
              <w:bottom w:val="single" w:color="auto" w:sz="4" w:space="0"/>
              <w:right w:val="single" w:color="auto" w:sz="4" w:space="0"/>
            </w:tcBorders>
            <w:vAlign w:val="center"/>
          </w:tcPr>
          <w:p w14:paraId="15500D2F">
            <w:pPr>
              <w:spacing w:line="276" w:lineRule="auto"/>
              <w:jc w:val="center"/>
              <w:rPr>
                <w:rFonts w:ascii="宋体" w:hAnsi="宋体" w:cs="宋体"/>
                <w:bCs/>
                <w:color w:val="auto"/>
                <w:spacing w:val="-6"/>
                <w:sz w:val="24"/>
              </w:rPr>
            </w:pPr>
            <w:r>
              <w:rPr>
                <w:rFonts w:hint="eastAsia" w:ascii="宋体" w:hAnsi="宋体" w:cs="宋体"/>
                <w:bCs/>
                <w:color w:val="auto"/>
                <w:spacing w:val="-6"/>
                <w:sz w:val="24"/>
              </w:rPr>
              <w:t>项目名称</w:t>
            </w:r>
          </w:p>
        </w:tc>
        <w:tc>
          <w:tcPr>
            <w:tcW w:w="2160" w:type="dxa"/>
            <w:tcBorders>
              <w:top w:val="single" w:color="auto" w:sz="4" w:space="0"/>
              <w:left w:val="single" w:color="auto" w:sz="4" w:space="0"/>
              <w:bottom w:val="single" w:color="auto" w:sz="4" w:space="0"/>
              <w:right w:val="single" w:color="000000" w:sz="4" w:space="0"/>
            </w:tcBorders>
            <w:vAlign w:val="center"/>
          </w:tcPr>
          <w:p w14:paraId="57F63175">
            <w:pPr>
              <w:spacing w:line="276" w:lineRule="auto"/>
              <w:jc w:val="center"/>
              <w:rPr>
                <w:rFonts w:ascii="宋体" w:hAnsi="宋体" w:cs="宋体"/>
                <w:bCs/>
                <w:color w:val="auto"/>
                <w:spacing w:val="-6"/>
                <w:sz w:val="24"/>
              </w:rPr>
            </w:pPr>
            <w:r>
              <w:rPr>
                <w:rFonts w:hint="eastAsia" w:ascii="宋体" w:hAnsi="宋体" w:cs="宋体"/>
                <w:bCs/>
                <w:color w:val="auto"/>
                <w:spacing w:val="-6"/>
                <w:sz w:val="24"/>
              </w:rPr>
              <w:t>简述</w:t>
            </w:r>
          </w:p>
        </w:tc>
        <w:tc>
          <w:tcPr>
            <w:tcW w:w="810" w:type="dxa"/>
            <w:tcBorders>
              <w:top w:val="single" w:color="auto" w:sz="4" w:space="0"/>
              <w:left w:val="single" w:color="000000" w:sz="4" w:space="0"/>
              <w:bottom w:val="single" w:color="auto" w:sz="4" w:space="0"/>
              <w:right w:val="single" w:color="auto" w:sz="4" w:space="0"/>
            </w:tcBorders>
            <w:vAlign w:val="center"/>
          </w:tcPr>
          <w:p w14:paraId="1B8DF069">
            <w:pPr>
              <w:spacing w:line="276" w:lineRule="auto"/>
              <w:jc w:val="center"/>
              <w:rPr>
                <w:rFonts w:ascii="宋体" w:hAnsi="宋体" w:cs="宋体"/>
                <w:bCs/>
                <w:color w:val="auto"/>
                <w:spacing w:val="-6"/>
                <w:sz w:val="24"/>
              </w:rPr>
            </w:pPr>
            <w:r>
              <w:rPr>
                <w:rFonts w:hint="eastAsia" w:ascii="宋体" w:hAnsi="宋体" w:cs="宋体"/>
                <w:bCs/>
                <w:color w:val="auto"/>
                <w:spacing w:val="-6"/>
                <w:sz w:val="24"/>
              </w:rPr>
              <w:t>数量</w:t>
            </w:r>
          </w:p>
        </w:tc>
        <w:tc>
          <w:tcPr>
            <w:tcW w:w="1245" w:type="dxa"/>
            <w:tcBorders>
              <w:top w:val="single" w:color="auto" w:sz="4" w:space="0"/>
              <w:left w:val="single" w:color="auto" w:sz="4" w:space="0"/>
              <w:bottom w:val="single" w:color="auto" w:sz="4" w:space="0"/>
              <w:right w:val="single" w:color="auto" w:sz="4" w:space="0"/>
            </w:tcBorders>
            <w:vAlign w:val="center"/>
          </w:tcPr>
          <w:p w14:paraId="510016BD">
            <w:pPr>
              <w:spacing w:line="276" w:lineRule="auto"/>
              <w:jc w:val="center"/>
              <w:rPr>
                <w:rFonts w:ascii="宋体" w:hAnsi="宋体" w:cs="宋体"/>
                <w:bCs/>
                <w:color w:val="auto"/>
                <w:spacing w:val="-6"/>
                <w:sz w:val="24"/>
              </w:rPr>
            </w:pPr>
            <w:r>
              <w:rPr>
                <w:rFonts w:hint="eastAsia" w:ascii="宋体" w:hAnsi="宋体" w:cs="宋体"/>
                <w:bCs/>
                <w:color w:val="auto"/>
                <w:spacing w:val="-6"/>
                <w:sz w:val="24"/>
              </w:rPr>
              <w:t>最高限价</w:t>
            </w:r>
          </w:p>
        </w:tc>
        <w:tc>
          <w:tcPr>
            <w:tcW w:w="1515" w:type="dxa"/>
            <w:tcBorders>
              <w:top w:val="single" w:color="auto" w:sz="4" w:space="0"/>
              <w:left w:val="single" w:color="auto" w:sz="4" w:space="0"/>
              <w:bottom w:val="single" w:color="auto" w:sz="4" w:space="0"/>
              <w:right w:val="single" w:color="auto" w:sz="4" w:space="0"/>
            </w:tcBorders>
            <w:vAlign w:val="center"/>
          </w:tcPr>
          <w:p w14:paraId="30833ADA">
            <w:pPr>
              <w:spacing w:line="276" w:lineRule="auto"/>
              <w:ind w:firstLine="211"/>
              <w:jc w:val="center"/>
              <w:rPr>
                <w:rFonts w:ascii="宋体" w:hAnsi="宋体" w:cs="宋体"/>
                <w:bCs/>
                <w:color w:val="auto"/>
                <w:spacing w:val="-6"/>
                <w:sz w:val="24"/>
              </w:rPr>
            </w:pPr>
            <w:r>
              <w:rPr>
                <w:rFonts w:hint="eastAsia" w:ascii="宋体" w:hAnsi="宋体" w:cs="宋体"/>
                <w:bCs/>
                <w:color w:val="auto"/>
                <w:spacing w:val="-6"/>
                <w:sz w:val="24"/>
              </w:rPr>
              <w:t>预算</w:t>
            </w:r>
          </w:p>
        </w:tc>
      </w:tr>
      <w:tr w14:paraId="08C74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159" w:type="dxa"/>
            <w:tcBorders>
              <w:top w:val="single" w:color="auto" w:sz="4" w:space="0"/>
              <w:left w:val="single" w:color="auto" w:sz="4" w:space="0"/>
              <w:bottom w:val="single" w:color="auto" w:sz="4" w:space="0"/>
              <w:right w:val="single" w:color="auto" w:sz="4" w:space="0"/>
            </w:tcBorders>
            <w:vAlign w:val="center"/>
          </w:tcPr>
          <w:p w14:paraId="49687BF7">
            <w:pPr>
              <w:spacing w:line="276" w:lineRule="auto"/>
              <w:jc w:val="center"/>
              <w:rPr>
                <w:rFonts w:hint="default" w:ascii="宋体" w:hAnsi="宋体" w:eastAsia="宋体" w:cs="宋体"/>
                <w:bCs/>
                <w:color w:val="auto"/>
                <w:spacing w:val="-6"/>
                <w:sz w:val="24"/>
                <w:lang w:val="en-US" w:eastAsia="zh-CN"/>
              </w:rPr>
            </w:pPr>
            <w:r>
              <w:rPr>
                <w:rFonts w:hint="eastAsia" w:ascii="宋体" w:hAnsi="宋体" w:cs="宋体"/>
                <w:bCs/>
                <w:color w:val="auto"/>
                <w:spacing w:val="-6"/>
                <w:sz w:val="24"/>
                <w:lang w:val="en-US" w:eastAsia="zh-CN"/>
              </w:rPr>
              <w:t>标项一</w:t>
            </w:r>
          </w:p>
        </w:tc>
        <w:tc>
          <w:tcPr>
            <w:tcW w:w="2475" w:type="dxa"/>
            <w:tcBorders>
              <w:top w:val="single" w:color="auto" w:sz="4" w:space="0"/>
              <w:left w:val="single" w:color="auto" w:sz="4" w:space="0"/>
              <w:bottom w:val="single" w:color="auto" w:sz="4" w:space="0"/>
              <w:right w:val="single" w:color="auto" w:sz="4" w:space="0"/>
            </w:tcBorders>
            <w:vAlign w:val="center"/>
          </w:tcPr>
          <w:p w14:paraId="662BE7BB">
            <w:pPr>
              <w:spacing w:line="276" w:lineRule="auto"/>
              <w:jc w:val="center"/>
              <w:rPr>
                <w:rFonts w:ascii="宋体" w:hAnsi="宋体" w:cs="宋体"/>
                <w:bCs/>
                <w:color w:val="auto"/>
                <w:spacing w:val="-6"/>
                <w:sz w:val="24"/>
              </w:rPr>
            </w:pPr>
            <w:r>
              <w:rPr>
                <w:rFonts w:hint="eastAsia" w:ascii="宋体" w:hAnsi="宋体" w:cs="宋体"/>
                <w:bCs/>
                <w:color w:val="auto"/>
                <w:spacing w:val="-6"/>
                <w:sz w:val="24"/>
              </w:rPr>
              <w:t>2026年外文纸质图书1</w:t>
            </w:r>
          </w:p>
        </w:tc>
        <w:tc>
          <w:tcPr>
            <w:tcW w:w="2160" w:type="dxa"/>
            <w:tcBorders>
              <w:top w:val="single" w:color="auto" w:sz="4" w:space="0"/>
              <w:left w:val="single" w:color="auto" w:sz="4" w:space="0"/>
              <w:bottom w:val="single" w:color="auto" w:sz="4" w:space="0"/>
              <w:right w:val="single" w:color="000000" w:sz="4" w:space="0"/>
            </w:tcBorders>
            <w:vAlign w:val="center"/>
          </w:tcPr>
          <w:p w14:paraId="0438250C">
            <w:pPr>
              <w:spacing w:line="276" w:lineRule="auto"/>
              <w:jc w:val="center"/>
              <w:rPr>
                <w:rFonts w:hint="eastAsia" w:ascii="宋体" w:hAnsi="宋体" w:eastAsia="宋体" w:cs="宋体"/>
                <w:bCs/>
                <w:color w:val="auto"/>
                <w:spacing w:val="-6"/>
                <w:sz w:val="24"/>
                <w:lang w:eastAsia="zh-CN"/>
              </w:rPr>
            </w:pPr>
            <w:r>
              <w:rPr>
                <w:rFonts w:hint="eastAsia" w:ascii="宋体" w:hAnsi="宋体" w:cs="宋体"/>
                <w:bCs/>
                <w:color w:val="auto"/>
                <w:spacing w:val="-6"/>
                <w:sz w:val="24"/>
              </w:rPr>
              <w:t>自然科学类及其他</w:t>
            </w:r>
            <w:r>
              <w:rPr>
                <w:rFonts w:hint="eastAsia" w:ascii="宋体" w:hAnsi="宋体" w:cs="宋体"/>
                <w:bCs/>
                <w:color w:val="auto"/>
                <w:spacing w:val="-6"/>
                <w:sz w:val="24"/>
                <w:lang w:eastAsia="zh-CN"/>
              </w:rPr>
              <w:t>，</w:t>
            </w:r>
          </w:p>
          <w:p w14:paraId="5065F493">
            <w:pPr>
              <w:spacing w:line="276" w:lineRule="auto"/>
              <w:jc w:val="center"/>
              <w:rPr>
                <w:rFonts w:ascii="宋体" w:hAnsi="宋体" w:cs="宋体"/>
                <w:bCs/>
                <w:color w:val="auto"/>
                <w:spacing w:val="-6"/>
                <w:sz w:val="24"/>
              </w:rPr>
            </w:pPr>
            <w:r>
              <w:rPr>
                <w:rFonts w:hint="eastAsia" w:ascii="宋体" w:hAnsi="宋体" w:cs="宋体"/>
                <w:bCs/>
                <w:color w:val="auto"/>
                <w:spacing w:val="-6"/>
                <w:sz w:val="24"/>
              </w:rPr>
              <w:t>详见采购需求</w:t>
            </w:r>
          </w:p>
        </w:tc>
        <w:tc>
          <w:tcPr>
            <w:tcW w:w="810" w:type="dxa"/>
            <w:tcBorders>
              <w:top w:val="single" w:color="auto" w:sz="4" w:space="0"/>
              <w:left w:val="single" w:color="000000" w:sz="4" w:space="0"/>
              <w:bottom w:val="single" w:color="auto" w:sz="4" w:space="0"/>
              <w:right w:val="single" w:color="auto" w:sz="4" w:space="0"/>
            </w:tcBorders>
            <w:vAlign w:val="center"/>
          </w:tcPr>
          <w:p w14:paraId="075872D2">
            <w:pPr>
              <w:spacing w:line="276" w:lineRule="auto"/>
              <w:jc w:val="center"/>
              <w:rPr>
                <w:rFonts w:ascii="宋体" w:hAnsi="宋体" w:cs="宋体"/>
                <w:bCs/>
                <w:color w:val="auto"/>
                <w:spacing w:val="-6"/>
                <w:sz w:val="24"/>
              </w:rPr>
            </w:pPr>
            <w:r>
              <w:rPr>
                <w:rFonts w:hint="eastAsia" w:ascii="宋体" w:hAnsi="宋体" w:cs="宋体"/>
                <w:bCs/>
                <w:color w:val="auto"/>
                <w:spacing w:val="-6"/>
                <w:sz w:val="24"/>
              </w:rPr>
              <w:t>1批</w:t>
            </w:r>
          </w:p>
        </w:tc>
        <w:tc>
          <w:tcPr>
            <w:tcW w:w="1245" w:type="dxa"/>
            <w:tcBorders>
              <w:top w:val="single" w:color="auto" w:sz="4" w:space="0"/>
              <w:left w:val="single" w:color="auto" w:sz="4" w:space="0"/>
              <w:bottom w:val="single" w:color="auto" w:sz="4" w:space="0"/>
              <w:right w:val="single" w:color="auto" w:sz="4" w:space="0"/>
            </w:tcBorders>
            <w:vAlign w:val="center"/>
          </w:tcPr>
          <w:p w14:paraId="394AB862">
            <w:pPr>
              <w:spacing w:line="276" w:lineRule="auto"/>
              <w:jc w:val="center"/>
              <w:rPr>
                <w:rFonts w:ascii="宋体" w:hAnsi="宋体" w:cs="宋体"/>
                <w:bCs/>
                <w:color w:val="auto"/>
                <w:spacing w:val="-6"/>
                <w:sz w:val="24"/>
              </w:rPr>
            </w:pPr>
            <w:r>
              <w:rPr>
                <w:rFonts w:hint="eastAsia" w:ascii="宋体" w:hAnsi="宋体" w:cs="宋体"/>
                <w:bCs/>
                <w:color w:val="auto"/>
                <w:spacing w:val="-6"/>
                <w:sz w:val="24"/>
              </w:rPr>
              <w:t>最高折扣84%</w:t>
            </w:r>
          </w:p>
        </w:tc>
        <w:tc>
          <w:tcPr>
            <w:tcW w:w="1515" w:type="dxa"/>
            <w:tcBorders>
              <w:top w:val="single" w:color="auto" w:sz="4" w:space="0"/>
              <w:left w:val="single" w:color="auto" w:sz="4" w:space="0"/>
              <w:bottom w:val="single" w:color="auto" w:sz="4" w:space="0"/>
              <w:right w:val="single" w:color="auto" w:sz="4" w:space="0"/>
            </w:tcBorders>
            <w:vAlign w:val="center"/>
          </w:tcPr>
          <w:p w14:paraId="5D78F03B">
            <w:pPr>
              <w:spacing w:line="276" w:lineRule="auto"/>
              <w:jc w:val="both"/>
              <w:rPr>
                <w:rFonts w:ascii="宋体" w:hAnsi="宋体" w:cs="宋体"/>
                <w:bCs/>
                <w:color w:val="auto"/>
                <w:spacing w:val="-6"/>
                <w:sz w:val="24"/>
              </w:rPr>
            </w:pPr>
            <w:r>
              <w:rPr>
                <w:rFonts w:hint="eastAsia" w:ascii="宋体" w:hAnsi="宋体" w:cs="宋体"/>
                <w:bCs/>
                <w:color w:val="auto"/>
                <w:spacing w:val="-6"/>
                <w:sz w:val="24"/>
              </w:rPr>
              <w:t>￥</w:t>
            </w:r>
            <w:r>
              <w:rPr>
                <w:rFonts w:ascii="宋体" w:hAnsi="宋体" w:cs="宋体"/>
                <w:bCs/>
                <w:color w:val="auto"/>
                <w:spacing w:val="-6"/>
                <w:sz w:val="24"/>
              </w:rPr>
              <w:t>1</w:t>
            </w:r>
            <w:r>
              <w:rPr>
                <w:rFonts w:hint="eastAsia" w:ascii="宋体" w:hAnsi="宋体" w:cs="宋体"/>
                <w:bCs/>
                <w:color w:val="auto"/>
                <w:spacing w:val="-6"/>
                <w:sz w:val="24"/>
              </w:rPr>
              <w:t>00000元</w:t>
            </w:r>
          </w:p>
        </w:tc>
      </w:tr>
      <w:tr w14:paraId="264A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159" w:type="dxa"/>
            <w:tcBorders>
              <w:top w:val="single" w:color="auto" w:sz="4" w:space="0"/>
              <w:left w:val="single" w:color="auto" w:sz="4" w:space="0"/>
              <w:bottom w:val="single" w:color="auto" w:sz="4" w:space="0"/>
              <w:right w:val="single" w:color="auto" w:sz="4" w:space="0"/>
            </w:tcBorders>
            <w:vAlign w:val="center"/>
          </w:tcPr>
          <w:p w14:paraId="3301BF92">
            <w:pPr>
              <w:spacing w:line="276" w:lineRule="auto"/>
              <w:jc w:val="center"/>
              <w:rPr>
                <w:rFonts w:hint="default" w:ascii="宋体" w:hAnsi="宋体" w:eastAsia="宋体" w:cs="宋体"/>
                <w:bCs/>
                <w:color w:val="auto"/>
                <w:spacing w:val="-6"/>
                <w:sz w:val="24"/>
                <w:lang w:val="en-US" w:eastAsia="zh-CN"/>
              </w:rPr>
            </w:pPr>
            <w:r>
              <w:rPr>
                <w:rFonts w:hint="eastAsia" w:ascii="宋体" w:hAnsi="宋体" w:cs="宋体"/>
                <w:bCs/>
                <w:color w:val="auto"/>
                <w:spacing w:val="-6"/>
                <w:sz w:val="24"/>
                <w:lang w:val="en-US" w:eastAsia="zh-CN"/>
              </w:rPr>
              <w:t>标项二</w:t>
            </w:r>
          </w:p>
        </w:tc>
        <w:tc>
          <w:tcPr>
            <w:tcW w:w="2475" w:type="dxa"/>
            <w:tcBorders>
              <w:top w:val="single" w:color="auto" w:sz="4" w:space="0"/>
              <w:left w:val="single" w:color="auto" w:sz="4" w:space="0"/>
              <w:bottom w:val="single" w:color="auto" w:sz="4" w:space="0"/>
              <w:right w:val="single" w:color="auto" w:sz="4" w:space="0"/>
            </w:tcBorders>
            <w:vAlign w:val="center"/>
          </w:tcPr>
          <w:p w14:paraId="08A316A3">
            <w:pPr>
              <w:spacing w:line="276" w:lineRule="auto"/>
              <w:jc w:val="center"/>
              <w:rPr>
                <w:rFonts w:hint="eastAsia" w:ascii="宋体" w:hAnsi="宋体" w:cs="宋体"/>
                <w:bCs/>
                <w:color w:val="auto"/>
                <w:spacing w:val="-6"/>
                <w:sz w:val="24"/>
              </w:rPr>
            </w:pPr>
            <w:r>
              <w:rPr>
                <w:rFonts w:hint="eastAsia" w:ascii="宋体" w:hAnsi="宋体" w:cs="宋体"/>
                <w:bCs/>
                <w:color w:val="auto"/>
                <w:spacing w:val="-6"/>
                <w:sz w:val="24"/>
              </w:rPr>
              <w:t>2026年外文纸质图书2</w:t>
            </w:r>
          </w:p>
        </w:tc>
        <w:tc>
          <w:tcPr>
            <w:tcW w:w="2160" w:type="dxa"/>
            <w:tcBorders>
              <w:top w:val="single" w:color="auto" w:sz="4" w:space="0"/>
              <w:left w:val="single" w:color="auto" w:sz="4" w:space="0"/>
              <w:bottom w:val="single" w:color="auto" w:sz="4" w:space="0"/>
              <w:right w:val="single" w:color="000000" w:sz="4" w:space="0"/>
            </w:tcBorders>
            <w:vAlign w:val="center"/>
          </w:tcPr>
          <w:p w14:paraId="43DF0F05">
            <w:pPr>
              <w:spacing w:line="276" w:lineRule="auto"/>
              <w:jc w:val="center"/>
              <w:rPr>
                <w:rFonts w:hint="eastAsia" w:ascii="宋体" w:hAnsi="宋体" w:eastAsia="宋体" w:cs="宋体"/>
                <w:bCs/>
                <w:color w:val="auto"/>
                <w:spacing w:val="-6"/>
                <w:sz w:val="24"/>
                <w:lang w:eastAsia="zh-CN"/>
              </w:rPr>
            </w:pPr>
            <w:r>
              <w:rPr>
                <w:rFonts w:hint="eastAsia" w:ascii="宋体" w:hAnsi="宋体" w:cs="宋体"/>
                <w:bCs/>
                <w:color w:val="auto"/>
                <w:spacing w:val="-6"/>
                <w:sz w:val="24"/>
              </w:rPr>
              <w:t>人文社科类及其他</w:t>
            </w:r>
            <w:r>
              <w:rPr>
                <w:rFonts w:hint="eastAsia" w:ascii="宋体" w:hAnsi="宋体" w:cs="宋体"/>
                <w:bCs/>
                <w:color w:val="auto"/>
                <w:spacing w:val="-6"/>
                <w:sz w:val="24"/>
                <w:lang w:eastAsia="zh-CN"/>
              </w:rPr>
              <w:t>，</w:t>
            </w:r>
          </w:p>
          <w:p w14:paraId="2114B1A3">
            <w:pPr>
              <w:spacing w:line="276" w:lineRule="auto"/>
              <w:jc w:val="center"/>
              <w:rPr>
                <w:rFonts w:hint="eastAsia" w:ascii="宋体" w:hAnsi="宋体" w:cs="宋体"/>
                <w:bCs/>
                <w:color w:val="auto"/>
                <w:spacing w:val="-6"/>
                <w:sz w:val="24"/>
              </w:rPr>
            </w:pPr>
            <w:r>
              <w:rPr>
                <w:rFonts w:hint="eastAsia" w:ascii="宋体" w:hAnsi="宋体" w:cs="宋体"/>
                <w:bCs/>
                <w:color w:val="auto"/>
                <w:spacing w:val="-6"/>
                <w:sz w:val="24"/>
              </w:rPr>
              <w:t>详见采购需求</w:t>
            </w:r>
          </w:p>
        </w:tc>
        <w:tc>
          <w:tcPr>
            <w:tcW w:w="810" w:type="dxa"/>
            <w:tcBorders>
              <w:top w:val="single" w:color="auto" w:sz="4" w:space="0"/>
              <w:left w:val="single" w:color="000000" w:sz="4" w:space="0"/>
              <w:bottom w:val="single" w:color="auto" w:sz="4" w:space="0"/>
              <w:right w:val="single" w:color="auto" w:sz="4" w:space="0"/>
            </w:tcBorders>
            <w:vAlign w:val="center"/>
          </w:tcPr>
          <w:p w14:paraId="323B98FC">
            <w:pPr>
              <w:spacing w:line="276" w:lineRule="auto"/>
              <w:jc w:val="center"/>
              <w:rPr>
                <w:rFonts w:hint="eastAsia" w:ascii="宋体" w:hAnsi="宋体" w:cs="宋体"/>
                <w:bCs/>
                <w:color w:val="auto"/>
                <w:spacing w:val="-6"/>
                <w:sz w:val="24"/>
              </w:rPr>
            </w:pPr>
            <w:r>
              <w:rPr>
                <w:rFonts w:hint="eastAsia" w:ascii="宋体" w:hAnsi="宋体" w:cs="宋体"/>
                <w:bCs/>
                <w:color w:val="auto"/>
                <w:spacing w:val="-6"/>
                <w:sz w:val="24"/>
              </w:rPr>
              <w:t>1批</w:t>
            </w:r>
          </w:p>
        </w:tc>
        <w:tc>
          <w:tcPr>
            <w:tcW w:w="1245" w:type="dxa"/>
            <w:tcBorders>
              <w:top w:val="single" w:color="auto" w:sz="4" w:space="0"/>
              <w:left w:val="single" w:color="auto" w:sz="4" w:space="0"/>
              <w:bottom w:val="single" w:color="auto" w:sz="4" w:space="0"/>
              <w:right w:val="single" w:color="auto" w:sz="4" w:space="0"/>
            </w:tcBorders>
            <w:vAlign w:val="center"/>
          </w:tcPr>
          <w:p w14:paraId="63E73BFD">
            <w:pPr>
              <w:spacing w:line="276" w:lineRule="auto"/>
              <w:jc w:val="center"/>
              <w:rPr>
                <w:rFonts w:hint="eastAsia" w:ascii="宋体" w:hAnsi="宋体" w:cs="宋体"/>
                <w:bCs/>
                <w:color w:val="auto"/>
                <w:spacing w:val="-6"/>
                <w:sz w:val="24"/>
              </w:rPr>
            </w:pPr>
            <w:r>
              <w:rPr>
                <w:rFonts w:hint="eastAsia" w:ascii="宋体" w:hAnsi="宋体" w:cs="宋体"/>
                <w:bCs/>
                <w:color w:val="auto"/>
                <w:spacing w:val="-6"/>
                <w:sz w:val="24"/>
              </w:rPr>
              <w:t>最高折扣84%</w:t>
            </w:r>
          </w:p>
        </w:tc>
        <w:tc>
          <w:tcPr>
            <w:tcW w:w="1515" w:type="dxa"/>
            <w:tcBorders>
              <w:top w:val="single" w:color="auto" w:sz="4" w:space="0"/>
              <w:left w:val="single" w:color="auto" w:sz="4" w:space="0"/>
              <w:bottom w:val="single" w:color="auto" w:sz="4" w:space="0"/>
              <w:right w:val="single" w:color="auto" w:sz="4" w:space="0"/>
            </w:tcBorders>
            <w:vAlign w:val="center"/>
          </w:tcPr>
          <w:p w14:paraId="7496825F">
            <w:pPr>
              <w:spacing w:line="276" w:lineRule="auto"/>
              <w:jc w:val="both"/>
              <w:rPr>
                <w:rFonts w:hint="eastAsia" w:ascii="宋体" w:hAnsi="宋体" w:cs="宋体"/>
                <w:bCs/>
                <w:color w:val="auto"/>
                <w:spacing w:val="-6"/>
                <w:sz w:val="24"/>
              </w:rPr>
            </w:pPr>
            <w:r>
              <w:rPr>
                <w:rFonts w:hint="eastAsia" w:ascii="宋体" w:hAnsi="宋体" w:cs="宋体"/>
                <w:bCs/>
                <w:color w:val="auto"/>
                <w:spacing w:val="-6"/>
                <w:sz w:val="24"/>
              </w:rPr>
              <w:t>￥100000元</w:t>
            </w:r>
          </w:p>
        </w:tc>
      </w:tr>
    </w:tbl>
    <w:p w14:paraId="5571107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61" w:name="_Toc26518"/>
      <w:bookmarkStart w:id="62" w:name="_Toc386_WPSOffice_Level2"/>
      <w:r>
        <w:rPr>
          <w:rFonts w:hint="eastAsia" w:asciiTheme="minorEastAsia" w:hAnsiTheme="minorEastAsia" w:eastAsiaTheme="minorEastAsia" w:cstheme="minorEastAsia"/>
          <w:b/>
          <w:bCs/>
          <w:color w:val="auto"/>
          <w:sz w:val="24"/>
          <w:szCs w:val="24"/>
        </w:rPr>
        <w:t>三、供应商的资格要求:</w:t>
      </w:r>
      <w:bookmarkEnd w:id="46"/>
      <w:bookmarkEnd w:id="47"/>
      <w:bookmarkEnd w:id="61"/>
      <w:bookmarkEnd w:id="62"/>
    </w:p>
    <w:p w14:paraId="65A49244">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7BE9195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63" w:name="_Toc171394913"/>
      <w:r>
        <w:rPr>
          <w:rFonts w:hint="eastAsia" w:ascii="宋体" w:hAnsi="宋体"/>
          <w:color w:val="auto"/>
          <w:sz w:val="24"/>
          <w:szCs w:val="24"/>
        </w:rPr>
        <w:t>2.落实政府采购政策需满足的资格要求：无。</w:t>
      </w:r>
    </w:p>
    <w:p w14:paraId="287C15C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3.本项目的特定资格要求：具有国家颁发的出版物进口经营许可证。</w:t>
      </w:r>
    </w:p>
    <w:p w14:paraId="1EB174EE">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64" w:name="_Toc12980_WPSOffice_Level2"/>
      <w:bookmarkStart w:id="65" w:name="_Toc25386"/>
      <w:r>
        <w:rPr>
          <w:rFonts w:hint="eastAsia" w:asciiTheme="minorEastAsia" w:hAnsiTheme="minorEastAsia" w:eastAsiaTheme="minorEastAsia" w:cstheme="minorEastAsia"/>
          <w:b/>
          <w:bCs/>
          <w:color w:val="auto"/>
          <w:sz w:val="24"/>
          <w:szCs w:val="24"/>
        </w:rPr>
        <w:t>四、竞争性磋商文件的获取：</w:t>
      </w:r>
      <w:bookmarkEnd w:id="64"/>
      <w:bookmarkEnd w:id="65"/>
    </w:p>
    <w:p w14:paraId="413FAC01">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20</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30</w:t>
      </w:r>
      <w:r>
        <w:rPr>
          <w:rFonts w:hint="eastAsia" w:ascii="宋体" w:hAnsi="宋体"/>
          <w:color w:val="auto"/>
          <w:sz w:val="24"/>
          <w:szCs w:val="24"/>
        </w:rPr>
        <w:t>日，上午00:00至12:00，下午12:00至23:59（北京时间，线上获取法定节假日均可，线下获取双休日及法定节假日除外）。</w:t>
      </w:r>
    </w:p>
    <w:p w14:paraId="4508C92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2F7D21D5">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58A41709">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201C6451">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16F3991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bookmarkStart w:id="66" w:name="_Toc27074"/>
      <w:bookmarkStart w:id="67" w:name="_Toc32015_WPSOffice_Level2"/>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bookmarkEnd w:id="66"/>
      <w:bookmarkEnd w:id="67"/>
    </w:p>
    <w:p w14:paraId="21F96A12">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68" w:name="_Toc16153_WPSOffice_Level2"/>
      <w:bookmarkStart w:id="69" w:name="_Toc19507"/>
      <w:r>
        <w:rPr>
          <w:rFonts w:hint="eastAsia" w:asciiTheme="minorEastAsia" w:hAnsiTheme="minorEastAsia" w:eastAsiaTheme="minorEastAsia" w:cstheme="minorEastAsia"/>
          <w:b/>
          <w:bCs/>
          <w:color w:val="auto"/>
          <w:sz w:val="24"/>
          <w:szCs w:val="24"/>
        </w:rPr>
        <w:t>六、响应文件提交（上传）</w:t>
      </w:r>
      <w:bookmarkEnd w:id="68"/>
      <w:bookmarkEnd w:id="69"/>
    </w:p>
    <w:p w14:paraId="65E3333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6</w:t>
      </w:r>
      <w:r>
        <w:rPr>
          <w:rFonts w:hint="eastAsia" w:ascii="宋体" w:hAnsi="宋体"/>
          <w:b/>
          <w:bCs/>
          <w:color w:val="auto"/>
          <w:sz w:val="24"/>
          <w:szCs w:val="24"/>
        </w:rPr>
        <w:t>月</w:t>
      </w:r>
      <w:r>
        <w:rPr>
          <w:rFonts w:hint="default" w:ascii="宋体" w:hAnsi="宋体"/>
          <w:b/>
          <w:bCs/>
          <w:color w:val="auto"/>
          <w:sz w:val="24"/>
          <w:szCs w:val="24"/>
          <w:woUserID w:val="1"/>
        </w:rPr>
        <w:t>30</w:t>
      </w:r>
      <w:r>
        <w:rPr>
          <w:rFonts w:hint="eastAsia" w:ascii="宋体" w:hAnsi="宋体"/>
          <w:b/>
          <w:bCs/>
          <w:color w:val="auto"/>
          <w:sz w:val="24"/>
          <w:szCs w:val="24"/>
        </w:rPr>
        <w:t xml:space="preserve">日上午9时整 </w:t>
      </w:r>
    </w:p>
    <w:p w14:paraId="38EFB5B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68C329B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70" w:name="_Toc9436_WPSOffice_Level2"/>
      <w:bookmarkStart w:id="71" w:name="_Toc23465"/>
      <w:r>
        <w:rPr>
          <w:rFonts w:hint="eastAsia" w:asciiTheme="minorEastAsia" w:hAnsiTheme="minorEastAsia" w:eastAsiaTheme="minorEastAsia" w:cstheme="minorEastAsia"/>
          <w:b/>
          <w:bCs/>
          <w:color w:val="auto"/>
          <w:sz w:val="24"/>
          <w:szCs w:val="24"/>
        </w:rPr>
        <w:t>七、响应文件开启</w:t>
      </w:r>
      <w:bookmarkEnd w:id="70"/>
      <w:bookmarkEnd w:id="71"/>
    </w:p>
    <w:p w14:paraId="05C48F47">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6</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30</w:t>
      </w:r>
      <w:r>
        <w:rPr>
          <w:rFonts w:hint="eastAsia" w:ascii="宋体" w:hAnsi="宋体"/>
          <w:b/>
          <w:bCs/>
          <w:color w:val="auto"/>
          <w:sz w:val="24"/>
          <w:szCs w:val="24"/>
          <w:lang w:val="en-US" w:eastAsia="zh-CN"/>
        </w:rPr>
        <w:t xml:space="preserve">日上午9时整 </w:t>
      </w:r>
    </w:p>
    <w:p w14:paraId="5FAD344D">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2E0D5164">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72" w:name="_Toc607_WPSOffice_Level2"/>
      <w:bookmarkStart w:id="73" w:name="_Toc31898"/>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74" w:name="OLE_LINK5"/>
      <w:r>
        <w:rPr>
          <w:rFonts w:hint="eastAsia" w:asciiTheme="minorEastAsia" w:hAnsiTheme="minorEastAsia" w:eastAsiaTheme="minorEastAsia" w:cstheme="minorEastAsia"/>
          <w:b/>
          <w:bCs/>
          <w:color w:val="auto"/>
          <w:sz w:val="24"/>
          <w:szCs w:val="24"/>
        </w:rPr>
        <w:t>公告期限</w:t>
      </w:r>
      <w:bookmarkEnd w:id="72"/>
      <w:bookmarkEnd w:id="73"/>
      <w:bookmarkEnd w:id="74"/>
    </w:p>
    <w:p w14:paraId="10D0DEF7">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54DD73CE">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75" w:name="_Toc17958_WPSOffice_Level2"/>
      <w:bookmarkStart w:id="76" w:name="_Toc4281"/>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bookmarkEnd w:id="75"/>
      <w:bookmarkEnd w:id="76"/>
    </w:p>
    <w:p w14:paraId="0330621E">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采购人用户部门：杭州电子科技大学图书馆</w:t>
      </w:r>
    </w:p>
    <w:p w14:paraId="7082E425">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刘</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0571-86878560</w:t>
      </w:r>
    </w:p>
    <w:p w14:paraId="6444CF43">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6C43F57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498167DA">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26D57F16">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26889B2F">
      <w:pPr>
        <w:pStyle w:val="2"/>
        <w:rPr>
          <w:color w:val="auto"/>
        </w:rPr>
      </w:pPr>
    </w:p>
    <w:p w14:paraId="3B03DD70">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798E1F2D">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7059CF57">
      <w:pPr>
        <w:pStyle w:val="24"/>
        <w:rPr>
          <w:color w:val="auto"/>
        </w:rPr>
      </w:pPr>
    </w:p>
    <w:p w14:paraId="1D39164C">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107C27D8">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18</w:t>
      </w:r>
      <w:r>
        <w:rPr>
          <w:rFonts w:hint="eastAsia" w:ascii="宋体" w:hAnsi="宋体"/>
          <w:color w:val="auto"/>
          <w:sz w:val="24"/>
          <w:szCs w:val="24"/>
        </w:rPr>
        <w:t>日</w:t>
      </w:r>
    </w:p>
    <w:p w14:paraId="4017FD6E">
      <w:pPr>
        <w:wordWrap w:val="0"/>
        <w:adjustRightInd w:val="0"/>
        <w:snapToGrid w:val="0"/>
        <w:spacing w:line="420" w:lineRule="exact"/>
        <w:ind w:left="31" w:right="480" w:hanging="31" w:hangingChars="13"/>
        <w:jc w:val="right"/>
        <w:rPr>
          <w:rFonts w:ascii="宋体"/>
          <w:color w:val="auto"/>
          <w:sz w:val="24"/>
          <w:szCs w:val="24"/>
        </w:rPr>
      </w:pPr>
    </w:p>
    <w:p w14:paraId="4DF7D10C">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77" w:name="_Toc3468_WPSOffice_Level1"/>
      <w:bookmarkStart w:id="78" w:name="_Toc180"/>
      <w:bookmarkStart w:id="79" w:name="_Toc13359"/>
      <w:bookmarkStart w:id="80" w:name="_Toc31424"/>
      <w:bookmarkStart w:id="81" w:name="_Toc31607"/>
      <w:bookmarkStart w:id="82" w:name="_Toc16190"/>
      <w:bookmarkStart w:id="83" w:name="_Toc14615"/>
      <w:bookmarkStart w:id="84" w:name="_Toc10682"/>
      <w:bookmarkStart w:id="85" w:name="_Toc30864"/>
      <w:bookmarkStart w:id="86" w:name="_Toc5412"/>
      <w:bookmarkStart w:id="87" w:name="_Toc31392"/>
      <w:bookmarkStart w:id="88" w:name="_Toc18447"/>
      <w:bookmarkStart w:id="89" w:name="_Toc11189"/>
      <w:bookmarkStart w:id="90" w:name="_Toc30939"/>
      <w:bookmarkStart w:id="91" w:name="_Toc8774"/>
      <w:bookmarkStart w:id="92" w:name="_Toc13468"/>
      <w:bookmarkStart w:id="93" w:name="_Toc27564"/>
      <w:bookmarkStart w:id="94" w:name="_Toc15380"/>
      <w:bookmarkStart w:id="95" w:name="_Toc25493"/>
      <w:bookmarkStart w:id="96" w:name="_Toc7205"/>
      <w:bookmarkStart w:id="97" w:name="_Toc14371"/>
      <w:bookmarkStart w:id="98" w:name="_Toc6139"/>
      <w:bookmarkStart w:id="99" w:name="_Toc14015"/>
      <w:bookmarkStart w:id="100" w:name="_Toc8923"/>
      <w:bookmarkStart w:id="101" w:name="_Toc25903"/>
      <w:bookmarkStart w:id="102" w:name="_Toc19935"/>
      <w:bookmarkStart w:id="103" w:name="_Toc20175"/>
      <w:bookmarkStart w:id="104" w:name="_Toc9474"/>
      <w:bookmarkStart w:id="105" w:name="_Toc8413"/>
      <w:bookmarkStart w:id="106" w:name="_Toc21096"/>
      <w:bookmarkStart w:id="107" w:name="_Toc30984"/>
      <w:bookmarkStart w:id="108" w:name="_Toc28369"/>
      <w:bookmarkStart w:id="109" w:name="_Toc20151"/>
      <w:bookmarkStart w:id="110" w:name="_Toc27007"/>
      <w:r>
        <w:rPr>
          <w:rFonts w:hint="eastAsia" w:ascii="Times New Roman" w:hAnsi="Times New Roman" w:eastAsia="黑体" w:cs="Times New Roman"/>
          <w:b/>
          <w:color w:val="auto"/>
          <w:kern w:val="44"/>
          <w:sz w:val="36"/>
          <w:szCs w:val="22"/>
          <w:lang w:val="en-US" w:eastAsia="zh-CN" w:bidi="ar-SA"/>
        </w:rPr>
        <w:t>第二部分 响应方须知</w:t>
      </w:r>
      <w:bookmarkEnd w:id="77"/>
      <w:bookmarkEnd w:id="78"/>
    </w:p>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2699CCF1">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11" w:name="_Toc28079"/>
      <w:bookmarkStart w:id="112" w:name="_Toc10414"/>
      <w:bookmarkStart w:id="113" w:name="_Toc1743"/>
      <w:bookmarkStart w:id="114" w:name="_Toc12644"/>
      <w:bookmarkStart w:id="115" w:name="_Toc30159"/>
      <w:bookmarkStart w:id="116" w:name="_Toc14378"/>
      <w:bookmarkStart w:id="117" w:name="_Toc23359"/>
      <w:bookmarkStart w:id="118" w:name="_Toc22339"/>
      <w:bookmarkStart w:id="119" w:name="_Toc27500"/>
      <w:bookmarkStart w:id="120" w:name="_Toc483"/>
      <w:bookmarkStart w:id="121" w:name="_Toc3269"/>
      <w:bookmarkStart w:id="122" w:name="_Toc17697"/>
      <w:bookmarkStart w:id="123" w:name="_Toc31880"/>
      <w:bookmarkStart w:id="124" w:name="_Toc10657"/>
      <w:bookmarkStart w:id="125" w:name="_Toc29458"/>
      <w:bookmarkStart w:id="126" w:name="_Toc32596"/>
      <w:bookmarkStart w:id="127" w:name="_Toc29793"/>
      <w:bookmarkStart w:id="128" w:name="_Toc20565"/>
      <w:bookmarkStart w:id="129" w:name="_Toc6715"/>
      <w:bookmarkStart w:id="130" w:name="_Toc16998"/>
      <w:bookmarkStart w:id="131" w:name="_Toc1714"/>
      <w:bookmarkStart w:id="132" w:name="_Toc23420"/>
      <w:bookmarkStart w:id="133" w:name="_Toc9778"/>
      <w:bookmarkStart w:id="134" w:name="_Toc6421"/>
      <w:bookmarkStart w:id="135" w:name="_Toc10518"/>
      <w:bookmarkStart w:id="136" w:name="_Toc4505"/>
      <w:bookmarkStart w:id="137" w:name="_Toc23155"/>
      <w:bookmarkStart w:id="138" w:name="_Toc3021_WPSOffice_Level2"/>
      <w:bookmarkStart w:id="139" w:name="_Toc26853"/>
      <w:bookmarkStart w:id="140" w:name="_Toc20573"/>
      <w:bookmarkStart w:id="141" w:name="_Toc28026"/>
      <w:bookmarkStart w:id="142" w:name="_Toc26073"/>
      <w:bookmarkStart w:id="143" w:name="_Toc26025"/>
      <w:bookmarkStart w:id="144" w:name="_Toc9123"/>
      <w:r>
        <w:rPr>
          <w:rFonts w:hint="eastAsia" w:ascii="楷体" w:hAnsi="楷体" w:eastAsia="楷体" w:cs="楷体"/>
          <w:snapToGrid w:val="0"/>
          <w:color w:val="auto"/>
          <w:kern w:val="44"/>
          <w:sz w:val="32"/>
          <w:szCs w:val="32"/>
        </w:rPr>
        <w:t>前附表</w:t>
      </w:r>
      <w:bookmarkEnd w:id="6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Start w:id="145" w:name="_Toc183786414"/>
    </w:p>
    <w:tbl>
      <w:tblPr>
        <w:tblStyle w:val="4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07358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157C0C3A">
            <w:pPr>
              <w:rPr>
                <w:rFonts w:ascii="宋体"/>
                <w:b/>
                <w:color w:val="auto"/>
                <w:sz w:val="24"/>
                <w:szCs w:val="24"/>
              </w:rPr>
            </w:pPr>
            <w:r>
              <w:rPr>
                <w:rFonts w:hint="eastAsia" w:ascii="宋体" w:hAnsi="宋体"/>
                <w:b/>
                <w:color w:val="auto"/>
                <w:sz w:val="24"/>
                <w:szCs w:val="24"/>
              </w:rPr>
              <w:t>序号</w:t>
            </w:r>
          </w:p>
        </w:tc>
        <w:tc>
          <w:tcPr>
            <w:tcW w:w="2043" w:type="dxa"/>
            <w:vAlign w:val="center"/>
          </w:tcPr>
          <w:p w14:paraId="2BD839E6">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7C794F30">
            <w:pPr>
              <w:jc w:val="center"/>
              <w:rPr>
                <w:rFonts w:ascii="宋体"/>
                <w:b/>
                <w:color w:val="auto"/>
                <w:sz w:val="24"/>
                <w:szCs w:val="24"/>
              </w:rPr>
            </w:pPr>
            <w:r>
              <w:rPr>
                <w:rFonts w:hint="eastAsia" w:ascii="宋体" w:hAnsi="宋体"/>
                <w:b/>
                <w:color w:val="auto"/>
                <w:sz w:val="24"/>
                <w:szCs w:val="24"/>
              </w:rPr>
              <w:t>内容</w:t>
            </w:r>
          </w:p>
        </w:tc>
      </w:tr>
      <w:tr w14:paraId="6C255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9080E87">
            <w:pPr>
              <w:pStyle w:val="181"/>
              <w:adjustRightInd/>
              <w:spacing w:line="240" w:lineRule="auto"/>
              <w:rPr>
                <w:color w:val="auto"/>
                <w:szCs w:val="24"/>
              </w:rPr>
            </w:pPr>
            <w:r>
              <w:rPr>
                <w:rFonts w:hint="eastAsia"/>
                <w:color w:val="auto"/>
                <w:szCs w:val="24"/>
              </w:rPr>
              <w:t>1</w:t>
            </w:r>
          </w:p>
        </w:tc>
        <w:tc>
          <w:tcPr>
            <w:tcW w:w="2043" w:type="dxa"/>
            <w:vAlign w:val="center"/>
          </w:tcPr>
          <w:p w14:paraId="43C9768D">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2FE639EE">
            <w:pPr>
              <w:rPr>
                <w:rFonts w:hint="default" w:ascii="宋体" w:eastAsia="宋体"/>
                <w:color w:val="auto"/>
                <w:sz w:val="24"/>
                <w:szCs w:val="24"/>
                <w:lang w:val="en-US" w:eastAsia="zh-CN"/>
              </w:rPr>
            </w:pPr>
            <w:r>
              <w:rPr>
                <w:rFonts w:hint="eastAsia" w:ascii="宋体" w:hAnsi="宋体"/>
                <w:color w:val="auto"/>
                <w:sz w:val="24"/>
                <w:szCs w:val="24"/>
              </w:rPr>
              <w:t>2026年度外文纸质图书</w:t>
            </w:r>
          </w:p>
        </w:tc>
      </w:tr>
      <w:tr w14:paraId="208AA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BE0882B">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43474E15">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5FAC965E">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09</w:t>
            </w:r>
          </w:p>
        </w:tc>
      </w:tr>
      <w:tr w14:paraId="18C5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E6FD530">
            <w:pPr>
              <w:jc w:val="center"/>
              <w:rPr>
                <w:rFonts w:ascii="宋体"/>
                <w:color w:val="auto"/>
                <w:sz w:val="24"/>
                <w:szCs w:val="24"/>
              </w:rPr>
            </w:pPr>
          </w:p>
        </w:tc>
        <w:tc>
          <w:tcPr>
            <w:tcW w:w="2043" w:type="dxa"/>
            <w:vAlign w:val="center"/>
          </w:tcPr>
          <w:p w14:paraId="11223DDE">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47ABBEB4">
            <w:pPr>
              <w:pStyle w:val="30"/>
              <w:ind w:left="0" w:leftChars="0"/>
              <w:rPr>
                <w:color w:val="auto"/>
                <w:szCs w:val="24"/>
              </w:rPr>
            </w:pPr>
            <w:r>
              <w:rPr>
                <w:rFonts w:hint="eastAsia"/>
                <w:color w:val="auto"/>
                <w:szCs w:val="24"/>
              </w:rPr>
              <w:t>竞争性磋商</w:t>
            </w:r>
            <w:r>
              <w:rPr>
                <w:rFonts w:hint="eastAsia"/>
                <w:b/>
                <w:bCs/>
                <w:color w:val="auto"/>
                <w:szCs w:val="24"/>
              </w:rPr>
              <w:t>（线上电子交易）</w:t>
            </w:r>
          </w:p>
        </w:tc>
      </w:tr>
      <w:tr w14:paraId="34FC1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4AFEA29">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444025DE">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0ED5D504">
            <w:pPr>
              <w:pStyle w:val="30"/>
              <w:ind w:left="0" w:leftChars="0"/>
              <w:rPr>
                <w:color w:val="auto"/>
                <w:szCs w:val="24"/>
              </w:rPr>
            </w:pPr>
            <w:r>
              <w:rPr>
                <w:rFonts w:hint="eastAsia"/>
                <w:color w:val="auto"/>
                <w:szCs w:val="24"/>
              </w:rPr>
              <w:t>杭州电子科技大学</w:t>
            </w:r>
            <w:r>
              <w:rPr>
                <w:rFonts w:hint="eastAsia"/>
                <w:color w:val="auto"/>
                <w:kern w:val="0"/>
                <w:szCs w:val="24"/>
              </w:rPr>
              <w:t>图书馆</w:t>
            </w:r>
          </w:p>
        </w:tc>
      </w:tr>
      <w:tr w14:paraId="0C73F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C082F58">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33ACF150">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698FB315">
            <w:pPr>
              <w:rPr>
                <w:rFonts w:ascii="宋体"/>
                <w:color w:val="auto"/>
                <w:sz w:val="24"/>
                <w:szCs w:val="24"/>
              </w:rPr>
            </w:pPr>
            <w:r>
              <w:rPr>
                <w:rFonts w:hint="eastAsia" w:ascii="宋体" w:hAnsi="宋体"/>
                <w:color w:val="auto"/>
                <w:sz w:val="24"/>
                <w:szCs w:val="24"/>
              </w:rPr>
              <w:t>详见第三部分采购需求</w:t>
            </w:r>
          </w:p>
        </w:tc>
      </w:tr>
      <w:tr w14:paraId="54791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1D33303">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6B88FB21">
            <w:pPr>
              <w:jc w:val="center"/>
              <w:rPr>
                <w:color w:val="auto"/>
                <w:sz w:val="24"/>
              </w:rPr>
            </w:pPr>
            <w:r>
              <w:rPr>
                <w:rFonts w:hint="eastAsia"/>
                <w:color w:val="auto"/>
                <w:sz w:val="24"/>
              </w:rPr>
              <w:t>磋商报价及费用</w:t>
            </w:r>
          </w:p>
        </w:tc>
        <w:tc>
          <w:tcPr>
            <w:tcW w:w="6348" w:type="dxa"/>
            <w:vAlign w:val="center"/>
          </w:tcPr>
          <w:p w14:paraId="54EC0266">
            <w:pPr>
              <w:rPr>
                <w:color w:val="auto"/>
                <w:sz w:val="24"/>
              </w:rPr>
            </w:pPr>
            <w:r>
              <w:rPr>
                <w:rFonts w:hint="eastAsia"/>
                <w:color w:val="auto"/>
                <w:sz w:val="24"/>
              </w:rPr>
              <w:t>详见采购文件第二部分第三节第（三）点报价内容。</w:t>
            </w:r>
          </w:p>
        </w:tc>
      </w:tr>
      <w:tr w14:paraId="1EBD8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0152E17">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52BBF1EE">
            <w:pPr>
              <w:jc w:val="center"/>
              <w:rPr>
                <w:rFonts w:ascii="宋体"/>
                <w:color w:val="auto"/>
                <w:sz w:val="24"/>
                <w:szCs w:val="24"/>
              </w:rPr>
            </w:pPr>
            <w:r>
              <w:rPr>
                <w:rFonts w:hint="eastAsia"/>
                <w:color w:val="auto"/>
                <w:sz w:val="24"/>
              </w:rPr>
              <w:t>磋商响应有效期</w:t>
            </w:r>
          </w:p>
        </w:tc>
        <w:tc>
          <w:tcPr>
            <w:tcW w:w="6348" w:type="dxa"/>
            <w:vAlign w:val="center"/>
          </w:tcPr>
          <w:p w14:paraId="60D5B656">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3FA31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7AAD1EB">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79861B14">
            <w:pPr>
              <w:jc w:val="center"/>
              <w:rPr>
                <w:rFonts w:ascii="宋体"/>
                <w:color w:val="auto"/>
                <w:sz w:val="24"/>
                <w:szCs w:val="24"/>
              </w:rPr>
            </w:pPr>
            <w:r>
              <w:rPr>
                <w:rFonts w:hint="eastAsia"/>
                <w:color w:val="auto"/>
                <w:sz w:val="24"/>
              </w:rPr>
              <w:t>磋商文件答疑</w:t>
            </w:r>
          </w:p>
        </w:tc>
        <w:tc>
          <w:tcPr>
            <w:tcW w:w="6348" w:type="dxa"/>
            <w:vAlign w:val="center"/>
          </w:tcPr>
          <w:p w14:paraId="31590C90">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6</w:t>
            </w:r>
            <w:r>
              <w:rPr>
                <w:rFonts w:hint="eastAsia"/>
                <w:color w:val="auto"/>
                <w:sz w:val="24"/>
                <w:u w:val="single"/>
              </w:rPr>
              <w:t>月</w:t>
            </w:r>
            <w:r>
              <w:rPr>
                <w:rFonts w:hint="default"/>
                <w:color w:val="auto"/>
                <w:sz w:val="24"/>
                <w:u w:val="single"/>
                <w:woUserID w:val="1"/>
              </w:rPr>
              <w:t>29</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6</w:t>
            </w:r>
            <w:r>
              <w:rPr>
                <w:rFonts w:hint="eastAsia"/>
                <w:color w:val="auto"/>
                <w:sz w:val="24"/>
                <w:u w:val="single"/>
              </w:rPr>
              <w:t>月</w:t>
            </w:r>
            <w:r>
              <w:rPr>
                <w:rFonts w:hint="default"/>
                <w:color w:val="auto"/>
                <w:sz w:val="24"/>
                <w:u w:val="single"/>
                <w:woUserID w:val="1"/>
              </w:rPr>
              <w:t>29</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6A0FE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117025D">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73C6C0ED">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79F16FF1">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4169151E">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02FD3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48C1347">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6CC0FAAE">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5F3137F7">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5E000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DC6410D">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4AEFB318">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21D11AB3">
            <w:pPr>
              <w:jc w:val="left"/>
              <w:rPr>
                <w:rFonts w:ascii="宋体"/>
                <w:color w:val="auto"/>
                <w:sz w:val="24"/>
                <w:szCs w:val="24"/>
              </w:rPr>
            </w:pPr>
            <w:r>
              <w:rPr>
                <w:rFonts w:hint="eastAsia"/>
                <w:color w:val="auto"/>
                <w:sz w:val="24"/>
              </w:rPr>
              <w:t>综合评分法</w:t>
            </w:r>
          </w:p>
        </w:tc>
      </w:tr>
      <w:tr w14:paraId="4F6A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9D4E706">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38A1F5EA">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76954D20">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326F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151009D">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6F784010">
            <w:pPr>
              <w:jc w:val="center"/>
              <w:rPr>
                <w:rFonts w:ascii="宋体"/>
                <w:color w:val="auto"/>
                <w:sz w:val="24"/>
                <w:szCs w:val="24"/>
              </w:rPr>
            </w:pPr>
            <w:r>
              <w:rPr>
                <w:rFonts w:hint="eastAsia"/>
                <w:color w:val="auto"/>
                <w:sz w:val="24"/>
              </w:rPr>
              <w:t>解释</w:t>
            </w:r>
          </w:p>
        </w:tc>
        <w:tc>
          <w:tcPr>
            <w:tcW w:w="6348" w:type="dxa"/>
            <w:vAlign w:val="center"/>
          </w:tcPr>
          <w:p w14:paraId="1CBF76A0">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70DBD1E6">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45"/>
      <w:bookmarkStart w:id="146" w:name="_Toc7947"/>
      <w:bookmarkStart w:id="147" w:name="_Toc6802"/>
      <w:bookmarkStart w:id="148" w:name="_Toc67"/>
      <w:bookmarkStart w:id="149" w:name="_Toc3209"/>
      <w:bookmarkStart w:id="150" w:name="_Toc19375"/>
      <w:bookmarkStart w:id="151" w:name="_Toc20897"/>
      <w:bookmarkStart w:id="152" w:name="_Toc24686"/>
      <w:bookmarkStart w:id="153" w:name="_Toc7875"/>
      <w:bookmarkStart w:id="154" w:name="_Toc22031_WPSOffice_Level2"/>
      <w:bookmarkStart w:id="155" w:name="_Toc22060"/>
      <w:bookmarkStart w:id="156" w:name="_Toc15091"/>
      <w:bookmarkStart w:id="157" w:name="_Toc5699"/>
      <w:bookmarkStart w:id="158" w:name="_Toc12127"/>
      <w:bookmarkStart w:id="159" w:name="_Toc6501"/>
      <w:bookmarkStart w:id="160" w:name="_Toc9017"/>
      <w:bookmarkStart w:id="161" w:name="_Toc2257"/>
      <w:bookmarkStart w:id="162" w:name="_Toc18182"/>
      <w:bookmarkStart w:id="163" w:name="_Toc15936"/>
      <w:bookmarkStart w:id="164" w:name="_Toc26898"/>
      <w:bookmarkStart w:id="165" w:name="_Toc30371"/>
      <w:bookmarkStart w:id="166" w:name="_Toc11583"/>
      <w:bookmarkStart w:id="167" w:name="_Toc20458"/>
      <w:bookmarkStart w:id="168" w:name="_Toc11749"/>
      <w:bookmarkStart w:id="169" w:name="_Toc6934"/>
      <w:bookmarkStart w:id="170" w:name="_Toc6991"/>
      <w:bookmarkStart w:id="171" w:name="_Toc23407"/>
      <w:bookmarkStart w:id="172" w:name="_Toc3922"/>
      <w:bookmarkStart w:id="173" w:name="_Toc15369"/>
      <w:bookmarkStart w:id="174" w:name="_Toc19879"/>
      <w:bookmarkStart w:id="175" w:name="_Toc6841"/>
      <w:bookmarkStart w:id="176" w:name="_Toc1492"/>
      <w:bookmarkStart w:id="177" w:name="_Toc689"/>
      <w:bookmarkStart w:id="178" w:name="_Toc24333"/>
      <w:bookmarkStart w:id="179" w:name="_Toc1408"/>
      <w:bookmarkStart w:id="180" w:name="_Toc14022"/>
      <w:bookmarkStart w:id="181" w:name="_Toc27769"/>
      <w:bookmarkStart w:id="182" w:name="_Toc18556"/>
      <w:r>
        <w:rPr>
          <w:rFonts w:hint="eastAsia" w:ascii="楷体" w:hAnsi="楷体" w:eastAsia="楷体" w:cs="楷体"/>
          <w:snapToGrid w:val="0"/>
          <w:color w:val="auto"/>
          <w:kern w:val="44"/>
          <w:sz w:val="32"/>
          <w:szCs w:val="32"/>
        </w:rPr>
        <w:t>一、磋商说明</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7181CAA1">
      <w:pPr>
        <w:spacing w:before="120" w:beforeLines="50" w:after="120" w:afterLines="50" w:line="288" w:lineRule="auto"/>
        <w:ind w:firstLine="248" w:firstLineChars="103"/>
        <w:outlineLvl w:val="2"/>
        <w:rPr>
          <w:b/>
          <w:bCs/>
          <w:color w:val="auto"/>
          <w:sz w:val="24"/>
        </w:rPr>
      </w:pPr>
      <w:bookmarkStart w:id="183" w:name="_Toc24182"/>
      <w:r>
        <w:rPr>
          <w:rFonts w:hint="eastAsia"/>
          <w:b/>
          <w:bCs/>
          <w:color w:val="auto"/>
          <w:sz w:val="24"/>
        </w:rPr>
        <w:t>（一）总则</w:t>
      </w:r>
      <w:bookmarkEnd w:id="183"/>
      <w:r>
        <w:rPr>
          <w:b/>
          <w:bCs/>
          <w:color w:val="auto"/>
          <w:sz w:val="24"/>
        </w:rPr>
        <w:t xml:space="preserve"> </w:t>
      </w:r>
    </w:p>
    <w:p w14:paraId="3EB10C44">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3404AB7F">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7D288827">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2DBEC731">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14173A26">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745BE361">
      <w:pPr>
        <w:spacing w:line="288" w:lineRule="auto"/>
        <w:ind w:firstLine="420" w:firstLineChars="175"/>
        <w:rPr>
          <w:color w:val="auto"/>
          <w:sz w:val="24"/>
        </w:rPr>
      </w:pPr>
      <w:r>
        <w:rPr>
          <w:rFonts w:hint="eastAsia"/>
          <w:color w:val="auto"/>
          <w:sz w:val="24"/>
        </w:rPr>
        <w:t>（2）被质疑投诉，经证实情况严重的；</w:t>
      </w:r>
    </w:p>
    <w:p w14:paraId="6CF5AC6F">
      <w:pPr>
        <w:spacing w:line="288" w:lineRule="auto"/>
        <w:ind w:firstLine="420" w:firstLineChars="175"/>
        <w:rPr>
          <w:color w:val="auto"/>
          <w:sz w:val="24"/>
        </w:rPr>
      </w:pPr>
      <w:r>
        <w:rPr>
          <w:rFonts w:hint="eastAsia"/>
          <w:color w:val="auto"/>
          <w:sz w:val="24"/>
        </w:rPr>
        <w:t>（3）使用不正当竞争手段，影响采购人正常采购活动的；</w:t>
      </w:r>
    </w:p>
    <w:p w14:paraId="37BE0E90">
      <w:pPr>
        <w:spacing w:line="288" w:lineRule="auto"/>
        <w:ind w:firstLine="420" w:firstLineChars="175"/>
        <w:rPr>
          <w:color w:val="auto"/>
          <w:sz w:val="24"/>
        </w:rPr>
      </w:pPr>
      <w:r>
        <w:rPr>
          <w:rFonts w:hint="eastAsia"/>
          <w:color w:val="auto"/>
          <w:sz w:val="24"/>
        </w:rPr>
        <w:t>（4）响应方串通投标的；</w:t>
      </w:r>
    </w:p>
    <w:p w14:paraId="7C796FF2">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65BA4C40">
      <w:pPr>
        <w:spacing w:line="288" w:lineRule="auto"/>
        <w:ind w:firstLine="420" w:firstLineChars="175"/>
        <w:rPr>
          <w:color w:val="auto"/>
          <w:sz w:val="24"/>
        </w:rPr>
      </w:pPr>
      <w:r>
        <w:rPr>
          <w:rFonts w:hint="eastAsia"/>
          <w:color w:val="auto"/>
          <w:sz w:val="24"/>
        </w:rPr>
        <w:t>（6）响应方在投标中弄虚作假，提供虚假材料的；</w:t>
      </w:r>
    </w:p>
    <w:p w14:paraId="1500A1E1">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75611990">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6DC01073">
      <w:pPr>
        <w:spacing w:line="288" w:lineRule="auto"/>
        <w:ind w:firstLine="420" w:firstLineChars="175"/>
        <w:rPr>
          <w:color w:val="auto"/>
          <w:sz w:val="24"/>
        </w:rPr>
      </w:pPr>
      <w:r>
        <w:rPr>
          <w:rFonts w:hint="eastAsia"/>
          <w:color w:val="auto"/>
          <w:sz w:val="24"/>
        </w:rPr>
        <w:t>（9）其他严重扰乱磋商程序的；</w:t>
      </w:r>
    </w:p>
    <w:p w14:paraId="5523001B">
      <w:pPr>
        <w:spacing w:line="288" w:lineRule="auto"/>
        <w:ind w:firstLine="420" w:firstLineChars="175"/>
        <w:rPr>
          <w:color w:val="auto"/>
          <w:sz w:val="24"/>
        </w:rPr>
      </w:pPr>
      <w:r>
        <w:rPr>
          <w:rFonts w:hint="eastAsia"/>
          <w:color w:val="auto"/>
          <w:sz w:val="24"/>
        </w:rPr>
        <w:t>（10）未成交供应商恶意质疑、投诉的。</w:t>
      </w:r>
    </w:p>
    <w:p w14:paraId="77744ACA">
      <w:pPr>
        <w:spacing w:line="288" w:lineRule="auto"/>
        <w:ind w:firstLine="420" w:firstLineChars="175"/>
        <w:rPr>
          <w:color w:val="auto"/>
          <w:sz w:val="24"/>
        </w:rPr>
      </w:pPr>
      <w:r>
        <w:rPr>
          <w:rFonts w:hint="eastAsia"/>
          <w:color w:val="auto"/>
          <w:sz w:val="24"/>
        </w:rPr>
        <w:t>（11）违反法律法规和合同约定的其他情形的。</w:t>
      </w:r>
    </w:p>
    <w:p w14:paraId="57342A5D">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194096B3">
      <w:pPr>
        <w:spacing w:before="120" w:beforeLines="50" w:after="120" w:afterLines="50" w:line="288" w:lineRule="auto"/>
        <w:ind w:firstLine="248" w:firstLineChars="103"/>
        <w:outlineLvl w:val="2"/>
        <w:rPr>
          <w:b/>
          <w:bCs/>
          <w:color w:val="auto"/>
          <w:sz w:val="24"/>
        </w:rPr>
      </w:pPr>
      <w:bookmarkStart w:id="184" w:name="_Toc20114"/>
      <w:r>
        <w:rPr>
          <w:rFonts w:hint="eastAsia"/>
          <w:b/>
          <w:bCs/>
          <w:color w:val="auto"/>
          <w:sz w:val="24"/>
        </w:rPr>
        <w:t>（二）释义说明</w:t>
      </w:r>
      <w:bookmarkEnd w:id="184"/>
    </w:p>
    <w:p w14:paraId="671C1ED7">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334C2A1F">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65212959">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3653EA6C">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5F76A93D">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16A98753">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292D0BDC">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73F5EA75">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1C987104">
      <w:pPr>
        <w:spacing w:line="288" w:lineRule="auto"/>
        <w:ind w:firstLine="477" w:firstLineChars="199"/>
        <w:rPr>
          <w:color w:val="auto"/>
          <w:sz w:val="24"/>
        </w:rPr>
      </w:pPr>
      <w:r>
        <w:rPr>
          <w:rFonts w:hint="eastAsia"/>
          <w:color w:val="auto"/>
          <w:sz w:val="24"/>
        </w:rPr>
        <w:t>磋商文件对响应文件签署、盖章的要求适用于电子签名。</w:t>
      </w:r>
    </w:p>
    <w:p w14:paraId="1318A340">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79D0E4D6">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85" w:name="_Toc4054"/>
      <w:bookmarkStart w:id="186" w:name="_Toc25249"/>
      <w:bookmarkStart w:id="187" w:name="_Toc15004"/>
      <w:bookmarkStart w:id="188" w:name="_Toc25478"/>
      <w:bookmarkStart w:id="189" w:name="_Toc23441"/>
      <w:bookmarkStart w:id="190" w:name="_Toc23883"/>
      <w:bookmarkStart w:id="191" w:name="_Toc4587"/>
      <w:bookmarkStart w:id="192" w:name="_Toc17024"/>
      <w:bookmarkStart w:id="193" w:name="_Toc2692"/>
      <w:bookmarkStart w:id="194" w:name="_Toc14339"/>
      <w:bookmarkStart w:id="195" w:name="_Toc10503"/>
      <w:bookmarkStart w:id="196" w:name="_Toc12934"/>
      <w:bookmarkStart w:id="197" w:name="_Toc14905"/>
      <w:bookmarkStart w:id="198" w:name="_Toc32029"/>
      <w:bookmarkStart w:id="199" w:name="_Toc30356"/>
      <w:bookmarkStart w:id="200" w:name="_Toc12746"/>
      <w:bookmarkStart w:id="201" w:name="_Toc29315"/>
      <w:bookmarkStart w:id="202" w:name="_Toc16259"/>
      <w:bookmarkStart w:id="203" w:name="_Toc11863"/>
      <w:bookmarkStart w:id="204" w:name="_Toc7225"/>
      <w:bookmarkStart w:id="205" w:name="_Toc6681"/>
      <w:bookmarkStart w:id="206" w:name="_Toc17921"/>
      <w:bookmarkStart w:id="207" w:name="_Toc12939"/>
      <w:bookmarkStart w:id="208" w:name="_Toc30651"/>
      <w:bookmarkStart w:id="209" w:name="_Toc13352"/>
      <w:bookmarkStart w:id="210" w:name="_Toc5007"/>
      <w:bookmarkStart w:id="211" w:name="_Toc16623"/>
      <w:bookmarkStart w:id="212" w:name="_Toc31509_WPSOffice_Level2"/>
      <w:bookmarkStart w:id="213" w:name="_Toc10460"/>
      <w:r>
        <w:rPr>
          <w:rFonts w:hint="eastAsia" w:ascii="楷体" w:hAnsi="楷体" w:eastAsia="楷体" w:cs="楷体"/>
          <w:snapToGrid w:val="0"/>
          <w:color w:val="auto"/>
          <w:kern w:val="44"/>
          <w:sz w:val="32"/>
          <w:szCs w:val="32"/>
        </w:rPr>
        <w:t>二、磋商文件</w:t>
      </w:r>
      <w:bookmarkEnd w:id="50"/>
      <w:bookmarkEnd w:id="51"/>
      <w:bookmarkEnd w:id="52"/>
      <w:bookmarkEnd w:id="53"/>
      <w:bookmarkEnd w:id="54"/>
      <w:bookmarkEnd w:id="55"/>
      <w:bookmarkEnd w:id="56"/>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428A13D7">
      <w:pPr>
        <w:spacing w:line="288" w:lineRule="auto"/>
        <w:outlineLvl w:val="2"/>
        <w:rPr>
          <w:color w:val="auto"/>
          <w:sz w:val="24"/>
        </w:rPr>
      </w:pPr>
      <w:bookmarkStart w:id="214" w:name="_Toc30294"/>
      <w:r>
        <w:rPr>
          <w:rFonts w:hint="eastAsia"/>
          <w:b/>
          <w:bCs/>
          <w:color w:val="auto"/>
          <w:sz w:val="24"/>
        </w:rPr>
        <w:t>（一）磋商文件的构成。</w:t>
      </w:r>
      <w:r>
        <w:rPr>
          <w:rFonts w:hint="eastAsia"/>
          <w:color w:val="auto"/>
          <w:sz w:val="24"/>
        </w:rPr>
        <w:t>本磋商文件由以下部分组成：</w:t>
      </w:r>
      <w:bookmarkEnd w:id="214"/>
    </w:p>
    <w:p w14:paraId="21E67D88">
      <w:pPr>
        <w:spacing w:line="288" w:lineRule="auto"/>
        <w:ind w:firstLine="360" w:firstLineChars="150"/>
        <w:rPr>
          <w:color w:val="auto"/>
          <w:sz w:val="24"/>
        </w:rPr>
      </w:pPr>
      <w:r>
        <w:rPr>
          <w:color w:val="auto"/>
          <w:sz w:val="24"/>
        </w:rPr>
        <w:t>1</w:t>
      </w:r>
      <w:r>
        <w:rPr>
          <w:rFonts w:hint="eastAsia"/>
          <w:color w:val="auto"/>
          <w:sz w:val="24"/>
        </w:rPr>
        <w:t>、磋商公告</w:t>
      </w:r>
    </w:p>
    <w:p w14:paraId="5A7D2A69">
      <w:pPr>
        <w:spacing w:line="288" w:lineRule="auto"/>
        <w:ind w:firstLine="360" w:firstLineChars="150"/>
        <w:rPr>
          <w:color w:val="auto"/>
          <w:sz w:val="24"/>
        </w:rPr>
      </w:pPr>
      <w:r>
        <w:rPr>
          <w:color w:val="auto"/>
          <w:sz w:val="24"/>
        </w:rPr>
        <w:t>2</w:t>
      </w:r>
      <w:r>
        <w:rPr>
          <w:rFonts w:hint="eastAsia"/>
          <w:color w:val="auto"/>
          <w:sz w:val="24"/>
        </w:rPr>
        <w:t>、响应方须知</w:t>
      </w:r>
    </w:p>
    <w:p w14:paraId="685F2745">
      <w:pPr>
        <w:spacing w:line="288" w:lineRule="auto"/>
        <w:ind w:firstLine="360" w:firstLineChars="150"/>
        <w:rPr>
          <w:color w:val="auto"/>
          <w:sz w:val="24"/>
        </w:rPr>
      </w:pPr>
      <w:r>
        <w:rPr>
          <w:color w:val="auto"/>
          <w:sz w:val="24"/>
        </w:rPr>
        <w:t>3</w:t>
      </w:r>
      <w:r>
        <w:rPr>
          <w:rFonts w:hint="eastAsia"/>
          <w:color w:val="auto"/>
          <w:sz w:val="24"/>
        </w:rPr>
        <w:t>、采购要求</w:t>
      </w:r>
    </w:p>
    <w:p w14:paraId="718CBD0F">
      <w:pPr>
        <w:spacing w:line="288" w:lineRule="auto"/>
        <w:ind w:firstLine="360" w:firstLineChars="150"/>
        <w:rPr>
          <w:color w:val="auto"/>
          <w:sz w:val="24"/>
        </w:rPr>
      </w:pPr>
      <w:r>
        <w:rPr>
          <w:color w:val="auto"/>
          <w:sz w:val="24"/>
        </w:rPr>
        <w:t>4</w:t>
      </w:r>
      <w:r>
        <w:rPr>
          <w:rFonts w:hint="eastAsia"/>
          <w:color w:val="auto"/>
          <w:sz w:val="24"/>
        </w:rPr>
        <w:t>、评审办法及评分标准</w:t>
      </w:r>
    </w:p>
    <w:p w14:paraId="017C6444">
      <w:pPr>
        <w:spacing w:line="288" w:lineRule="auto"/>
        <w:ind w:firstLine="360" w:firstLineChars="150"/>
        <w:rPr>
          <w:color w:val="auto"/>
          <w:sz w:val="24"/>
        </w:rPr>
      </w:pPr>
      <w:r>
        <w:rPr>
          <w:color w:val="auto"/>
          <w:sz w:val="24"/>
        </w:rPr>
        <w:t>5</w:t>
      </w:r>
      <w:r>
        <w:rPr>
          <w:rFonts w:hint="eastAsia"/>
          <w:color w:val="auto"/>
          <w:sz w:val="24"/>
        </w:rPr>
        <w:t>、合同主要条款</w:t>
      </w:r>
    </w:p>
    <w:p w14:paraId="6749A28B">
      <w:pPr>
        <w:spacing w:line="288" w:lineRule="auto"/>
        <w:ind w:firstLine="360" w:firstLineChars="150"/>
        <w:rPr>
          <w:color w:val="auto"/>
          <w:sz w:val="24"/>
        </w:rPr>
      </w:pPr>
      <w:r>
        <w:rPr>
          <w:color w:val="auto"/>
          <w:sz w:val="24"/>
        </w:rPr>
        <w:t>6</w:t>
      </w:r>
      <w:r>
        <w:rPr>
          <w:rFonts w:hint="eastAsia"/>
          <w:color w:val="auto"/>
          <w:sz w:val="24"/>
        </w:rPr>
        <w:t>、响应文件格式</w:t>
      </w:r>
    </w:p>
    <w:p w14:paraId="26DA0380">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2C50A2B5">
      <w:pPr>
        <w:spacing w:line="288" w:lineRule="auto"/>
        <w:outlineLvl w:val="2"/>
        <w:rPr>
          <w:b/>
          <w:bCs/>
          <w:color w:val="auto"/>
          <w:sz w:val="24"/>
        </w:rPr>
      </w:pPr>
      <w:bookmarkStart w:id="215" w:name="_Toc9143"/>
      <w:r>
        <w:rPr>
          <w:rFonts w:hint="eastAsia"/>
          <w:b/>
          <w:bCs/>
          <w:color w:val="auto"/>
          <w:sz w:val="24"/>
        </w:rPr>
        <w:t>（二）磋商文件的澄清与修改</w:t>
      </w:r>
      <w:bookmarkEnd w:id="215"/>
      <w:r>
        <w:rPr>
          <w:b/>
          <w:bCs/>
          <w:color w:val="auto"/>
          <w:sz w:val="24"/>
        </w:rPr>
        <w:t xml:space="preserve"> </w:t>
      </w:r>
    </w:p>
    <w:p w14:paraId="7FB98A82">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388D4289">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113291E4">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7D0675BF">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1E57646C">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16" w:name="_Toc26634"/>
      <w:bookmarkStart w:id="217" w:name="_Toc13358"/>
      <w:bookmarkStart w:id="218" w:name="_Toc32051"/>
      <w:bookmarkStart w:id="219" w:name="_Toc4837"/>
      <w:bookmarkStart w:id="220" w:name="_Toc6503"/>
      <w:bookmarkStart w:id="221" w:name="_Toc22572"/>
      <w:bookmarkStart w:id="222" w:name="_Toc16752"/>
      <w:bookmarkStart w:id="223" w:name="_Toc21501"/>
      <w:bookmarkStart w:id="224" w:name="_Toc10605"/>
      <w:bookmarkStart w:id="225" w:name="_Toc789"/>
      <w:bookmarkStart w:id="226" w:name="_Toc2334"/>
      <w:bookmarkStart w:id="227" w:name="_Toc32494"/>
      <w:bookmarkStart w:id="228" w:name="_Toc8035"/>
      <w:bookmarkStart w:id="229" w:name="_Toc30772"/>
      <w:bookmarkStart w:id="230" w:name="_Toc28201"/>
      <w:bookmarkStart w:id="231" w:name="_Toc9434"/>
      <w:bookmarkStart w:id="232" w:name="_Toc6322"/>
      <w:bookmarkStart w:id="233" w:name="_Toc28569"/>
      <w:bookmarkStart w:id="234" w:name="_Toc15797"/>
      <w:bookmarkStart w:id="235" w:name="_Toc15772"/>
      <w:bookmarkStart w:id="236" w:name="_Toc19339"/>
      <w:bookmarkStart w:id="237" w:name="_Toc4055"/>
      <w:bookmarkStart w:id="238" w:name="_Toc14673"/>
      <w:bookmarkStart w:id="239" w:name="_Toc7515"/>
      <w:bookmarkStart w:id="240" w:name="_Toc25502"/>
      <w:bookmarkStart w:id="241" w:name="_Toc11900"/>
      <w:bookmarkStart w:id="242" w:name="_Toc7450"/>
      <w:bookmarkStart w:id="243" w:name="_Toc17035"/>
      <w:bookmarkStart w:id="244" w:name="_Toc3328"/>
      <w:bookmarkStart w:id="245" w:name="_Toc805"/>
      <w:bookmarkStart w:id="246" w:name="_Toc22140"/>
      <w:bookmarkStart w:id="247" w:name="_Toc21890"/>
      <w:bookmarkStart w:id="248" w:name="_Toc24465"/>
      <w:bookmarkStart w:id="249" w:name="_Toc25933"/>
      <w:bookmarkStart w:id="250" w:name="_Toc6562"/>
      <w:bookmarkStart w:id="251" w:name="_Toc16464_WPSOffice_Level2"/>
      <w:r>
        <w:rPr>
          <w:rFonts w:hint="eastAsia" w:ascii="楷体" w:hAnsi="楷体" w:eastAsia="楷体" w:cs="楷体"/>
          <w:snapToGrid w:val="0"/>
          <w:color w:val="auto"/>
          <w:kern w:val="44"/>
          <w:sz w:val="32"/>
          <w:szCs w:val="32"/>
        </w:rPr>
        <w:t>三、响应文件</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rFonts w:hint="eastAsia" w:ascii="楷体" w:hAnsi="楷体" w:eastAsia="楷体" w:cs="楷体"/>
          <w:snapToGrid w:val="0"/>
          <w:color w:val="auto"/>
          <w:kern w:val="44"/>
          <w:sz w:val="32"/>
          <w:szCs w:val="32"/>
        </w:rPr>
        <w:t>的编制</w:t>
      </w:r>
      <w:bookmarkEnd w:id="250"/>
      <w:bookmarkEnd w:id="251"/>
    </w:p>
    <w:p w14:paraId="37FFB356">
      <w:pPr>
        <w:spacing w:line="288" w:lineRule="auto"/>
        <w:outlineLvl w:val="2"/>
        <w:rPr>
          <w:b/>
          <w:bCs/>
          <w:color w:val="auto"/>
          <w:sz w:val="24"/>
        </w:rPr>
      </w:pPr>
      <w:bookmarkStart w:id="252" w:name="_Toc41"/>
      <w:r>
        <w:rPr>
          <w:rFonts w:hint="eastAsia"/>
          <w:b/>
          <w:bCs/>
          <w:color w:val="auto"/>
          <w:sz w:val="24"/>
        </w:rPr>
        <w:t>（一）响应文件的组成</w:t>
      </w:r>
      <w:bookmarkEnd w:id="252"/>
    </w:p>
    <w:p w14:paraId="3E473B5F">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22A9019A">
      <w:pPr>
        <w:spacing w:line="288" w:lineRule="auto"/>
        <w:ind w:firstLine="422" w:firstLineChars="175"/>
        <w:rPr>
          <w:color w:val="auto"/>
          <w:sz w:val="24"/>
        </w:rPr>
      </w:pPr>
      <w:r>
        <w:rPr>
          <w:rFonts w:hint="eastAsia"/>
          <w:b/>
          <w:bCs/>
          <w:color w:val="auto"/>
          <w:sz w:val="24"/>
        </w:rPr>
        <w:t>响应文件组成：详见“第六部分  响应文件格式”目录</w:t>
      </w:r>
    </w:p>
    <w:p w14:paraId="24F31760">
      <w:pPr>
        <w:spacing w:line="288" w:lineRule="auto"/>
        <w:outlineLvl w:val="2"/>
        <w:rPr>
          <w:b/>
          <w:bCs/>
          <w:color w:val="auto"/>
          <w:sz w:val="24"/>
        </w:rPr>
      </w:pPr>
      <w:bookmarkStart w:id="253" w:name="_Toc27762"/>
      <w:r>
        <w:rPr>
          <w:rFonts w:hint="eastAsia"/>
          <w:b/>
          <w:bCs/>
          <w:color w:val="auto"/>
          <w:sz w:val="24"/>
        </w:rPr>
        <w:t>（二）响应文件的签署和份数</w:t>
      </w:r>
      <w:bookmarkEnd w:id="253"/>
    </w:p>
    <w:p w14:paraId="0E81EC95">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2ADB0A2D">
      <w:pPr>
        <w:spacing w:line="288" w:lineRule="auto"/>
        <w:ind w:firstLine="420" w:firstLineChars="175"/>
        <w:rPr>
          <w:color w:val="auto"/>
          <w:sz w:val="24"/>
        </w:rPr>
      </w:pPr>
      <w:r>
        <w:rPr>
          <w:rFonts w:hint="eastAsia"/>
          <w:color w:val="auto"/>
          <w:sz w:val="24"/>
        </w:rPr>
        <w:t>2.响应文件须由供应商在规定位置加盖公章</w:t>
      </w:r>
      <w:bookmarkStart w:id="254" w:name="_Hlk96329193"/>
      <w:r>
        <w:rPr>
          <w:rFonts w:hint="eastAsia"/>
          <w:color w:val="auto"/>
          <w:sz w:val="24"/>
        </w:rPr>
        <w:t>，供应商应写全称。</w:t>
      </w:r>
      <w:bookmarkEnd w:id="254"/>
    </w:p>
    <w:p w14:paraId="2F1C4A80">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7778663E">
      <w:pPr>
        <w:spacing w:line="288" w:lineRule="auto"/>
        <w:ind w:firstLine="420" w:firstLineChars="175"/>
        <w:rPr>
          <w:color w:val="auto"/>
          <w:sz w:val="24"/>
        </w:rPr>
      </w:pPr>
      <w:r>
        <w:rPr>
          <w:rFonts w:hint="eastAsia"/>
          <w:color w:val="auto"/>
          <w:sz w:val="24"/>
        </w:rPr>
        <w:t>4.响应文件份数：</w:t>
      </w:r>
    </w:p>
    <w:p w14:paraId="74A08483">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144D5AC5">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0837AC4C">
      <w:pPr>
        <w:spacing w:line="288" w:lineRule="auto"/>
        <w:outlineLvl w:val="2"/>
        <w:rPr>
          <w:b/>
          <w:bCs/>
          <w:color w:val="auto"/>
          <w:sz w:val="24"/>
        </w:rPr>
      </w:pPr>
      <w:bookmarkStart w:id="255" w:name="_Toc7664"/>
      <w:r>
        <w:rPr>
          <w:rFonts w:hint="eastAsia"/>
          <w:b/>
          <w:bCs/>
          <w:color w:val="auto"/>
          <w:sz w:val="24"/>
        </w:rPr>
        <w:t>（三）响应文件的上传、递交、修改和撤回</w:t>
      </w:r>
      <w:bookmarkEnd w:id="255"/>
    </w:p>
    <w:p w14:paraId="4BD60D1E">
      <w:pPr>
        <w:spacing w:line="288" w:lineRule="auto"/>
        <w:ind w:firstLine="422" w:firstLineChars="175"/>
        <w:rPr>
          <w:b/>
          <w:bCs/>
          <w:color w:val="auto"/>
          <w:sz w:val="24"/>
        </w:rPr>
      </w:pPr>
      <w:r>
        <w:rPr>
          <w:rFonts w:hint="eastAsia"/>
          <w:b/>
          <w:bCs/>
          <w:color w:val="auto"/>
          <w:sz w:val="24"/>
        </w:rPr>
        <w:t>1.响应文件的上传、递交：</w:t>
      </w:r>
    </w:p>
    <w:p w14:paraId="3FDC0EB8">
      <w:pPr>
        <w:spacing w:line="288" w:lineRule="auto"/>
        <w:ind w:firstLine="420" w:firstLineChars="175"/>
        <w:rPr>
          <w:color w:val="auto"/>
          <w:sz w:val="24"/>
        </w:rPr>
      </w:pPr>
      <w:r>
        <w:rPr>
          <w:rFonts w:hint="eastAsia"/>
          <w:color w:val="auto"/>
          <w:sz w:val="24"/>
        </w:rPr>
        <w:t>（1）电子加密响应文件的上传：</w:t>
      </w:r>
    </w:p>
    <w:p w14:paraId="0353CA56">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7E1AFCF1">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0795C632">
      <w:pPr>
        <w:spacing w:line="288" w:lineRule="auto"/>
        <w:ind w:firstLine="420" w:firstLineChars="175"/>
        <w:rPr>
          <w:color w:val="auto"/>
          <w:sz w:val="24"/>
        </w:rPr>
      </w:pPr>
      <w:r>
        <w:rPr>
          <w:rFonts w:hint="eastAsia"/>
          <w:color w:val="auto"/>
          <w:sz w:val="24"/>
        </w:rPr>
        <w:t>（2）备份响应文件的密封包装、递交：</w:t>
      </w:r>
    </w:p>
    <w:p w14:paraId="1D342085">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4D11DC42">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7960CBEC">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132F41F7">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3755D94C">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5C78C0DB">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442EF39C">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21B428D3">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4FF515CB">
      <w:pPr>
        <w:spacing w:line="288" w:lineRule="auto"/>
        <w:outlineLvl w:val="2"/>
        <w:rPr>
          <w:b/>
          <w:bCs/>
          <w:color w:val="auto"/>
          <w:sz w:val="24"/>
        </w:rPr>
      </w:pPr>
      <w:bookmarkStart w:id="256" w:name="_Toc25753"/>
      <w:r>
        <w:rPr>
          <w:rFonts w:hint="eastAsia"/>
          <w:b/>
          <w:bCs/>
          <w:color w:val="auto"/>
          <w:sz w:val="24"/>
        </w:rPr>
        <w:t>（四）响应文件的语言及计量</w:t>
      </w:r>
      <w:bookmarkEnd w:id="256"/>
    </w:p>
    <w:p w14:paraId="7D3B56B4">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6BAF0FC6">
      <w:pPr>
        <w:spacing w:line="288" w:lineRule="auto"/>
        <w:outlineLvl w:val="2"/>
        <w:rPr>
          <w:b/>
          <w:bCs/>
          <w:color w:val="auto"/>
          <w:sz w:val="24"/>
        </w:rPr>
      </w:pPr>
      <w:bookmarkStart w:id="257" w:name="_Toc1189"/>
      <w:r>
        <w:rPr>
          <w:rFonts w:hint="eastAsia"/>
          <w:b/>
          <w:bCs/>
          <w:color w:val="auto"/>
          <w:sz w:val="24"/>
        </w:rPr>
        <w:t>（五）磋商报价</w:t>
      </w:r>
      <w:bookmarkEnd w:id="257"/>
    </w:p>
    <w:p w14:paraId="7D3B740C">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3EE807CE">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0F9A8698">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13F360A8">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4ECFE970">
      <w:pPr>
        <w:spacing w:line="288" w:lineRule="auto"/>
        <w:outlineLvl w:val="2"/>
        <w:rPr>
          <w:b/>
          <w:bCs/>
          <w:color w:val="auto"/>
          <w:sz w:val="24"/>
        </w:rPr>
      </w:pPr>
      <w:bookmarkStart w:id="258" w:name="_Toc30743"/>
      <w:r>
        <w:rPr>
          <w:rFonts w:hint="eastAsia"/>
          <w:b/>
          <w:bCs/>
          <w:color w:val="auto"/>
          <w:sz w:val="24"/>
        </w:rPr>
        <w:t>（六）响应有效期</w:t>
      </w:r>
      <w:bookmarkEnd w:id="258"/>
    </w:p>
    <w:p w14:paraId="18A67DBF">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015940C2">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59" w:name="_Toc21675_WPSOffice_Level2"/>
      <w:bookmarkStart w:id="260" w:name="_Toc21484"/>
      <w:r>
        <w:rPr>
          <w:rFonts w:hint="eastAsia" w:ascii="楷体" w:hAnsi="楷体" w:eastAsia="楷体" w:cs="楷体"/>
          <w:snapToGrid w:val="0"/>
          <w:color w:val="auto"/>
          <w:kern w:val="44"/>
          <w:sz w:val="32"/>
          <w:szCs w:val="32"/>
        </w:rPr>
        <w:t>四、响应无效的情形</w:t>
      </w:r>
      <w:bookmarkEnd w:id="259"/>
      <w:bookmarkEnd w:id="260"/>
    </w:p>
    <w:p w14:paraId="4BCE840B">
      <w:pPr>
        <w:widowControl/>
        <w:adjustRightInd w:val="0"/>
        <w:snapToGrid w:val="0"/>
        <w:spacing w:line="288" w:lineRule="auto"/>
        <w:ind w:firstLine="458" w:firstLineChars="200"/>
        <w:jc w:val="left"/>
        <w:outlineLvl w:val="2"/>
        <w:rPr>
          <w:rFonts w:ascii="宋体" w:hAnsi="宋体"/>
          <w:b/>
          <w:color w:val="auto"/>
          <w:spacing w:val="-6"/>
          <w:sz w:val="24"/>
          <w:szCs w:val="24"/>
        </w:rPr>
      </w:pPr>
      <w:bookmarkStart w:id="261" w:name="_Toc19232"/>
      <w:r>
        <w:rPr>
          <w:rFonts w:hint="eastAsia" w:ascii="宋体" w:hAnsi="宋体"/>
          <w:b/>
          <w:color w:val="auto"/>
          <w:spacing w:val="-6"/>
          <w:sz w:val="24"/>
          <w:szCs w:val="24"/>
        </w:rPr>
        <w:t>1、以下情况认定响应无效：</w:t>
      </w:r>
      <w:bookmarkEnd w:id="261"/>
    </w:p>
    <w:p w14:paraId="069505D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091D2C9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3A8E0185">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7D51AF3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6CEED41E">
      <w:pPr>
        <w:widowControl/>
        <w:adjustRightInd w:val="0"/>
        <w:snapToGrid w:val="0"/>
        <w:spacing w:line="288" w:lineRule="auto"/>
        <w:ind w:firstLine="458" w:firstLineChars="200"/>
        <w:jc w:val="left"/>
        <w:outlineLvl w:val="2"/>
        <w:rPr>
          <w:rFonts w:ascii="宋体" w:hAnsi="宋体"/>
          <w:b/>
          <w:color w:val="auto"/>
          <w:spacing w:val="-6"/>
          <w:sz w:val="24"/>
          <w:szCs w:val="24"/>
        </w:rPr>
      </w:pPr>
      <w:bookmarkStart w:id="262" w:name="_Toc32217"/>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bookmarkEnd w:id="262"/>
    </w:p>
    <w:p w14:paraId="029B46A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55166A1F">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1187FA77">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72267B54">
      <w:pPr>
        <w:adjustRightInd w:val="0"/>
        <w:snapToGrid w:val="0"/>
        <w:spacing w:line="288" w:lineRule="auto"/>
        <w:ind w:firstLine="458" w:firstLineChars="200"/>
        <w:outlineLvl w:val="2"/>
        <w:rPr>
          <w:rFonts w:ascii="宋体" w:hAnsi="宋体"/>
          <w:b/>
          <w:color w:val="auto"/>
          <w:spacing w:val="-6"/>
          <w:sz w:val="24"/>
          <w:szCs w:val="24"/>
        </w:rPr>
      </w:pPr>
      <w:bookmarkStart w:id="263" w:name="_Toc13149"/>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bookmarkEnd w:id="263"/>
    </w:p>
    <w:p w14:paraId="2216E426">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1130517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789B057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4EBFA65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31F42A59">
      <w:pPr>
        <w:widowControl/>
        <w:adjustRightInd w:val="0"/>
        <w:snapToGrid w:val="0"/>
        <w:spacing w:line="288" w:lineRule="auto"/>
        <w:ind w:firstLine="458" w:firstLineChars="200"/>
        <w:jc w:val="left"/>
        <w:outlineLvl w:val="2"/>
        <w:rPr>
          <w:rFonts w:ascii="宋体" w:hAnsi="宋体"/>
          <w:b/>
          <w:color w:val="auto"/>
          <w:spacing w:val="-6"/>
          <w:sz w:val="24"/>
          <w:szCs w:val="24"/>
        </w:rPr>
      </w:pPr>
      <w:bookmarkStart w:id="264" w:name="_Toc9654"/>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bookmarkEnd w:id="264"/>
    </w:p>
    <w:p w14:paraId="1940F50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5C52486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50383B7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w:t>
      </w:r>
      <w:r>
        <w:rPr>
          <w:rFonts w:hint="eastAsia" w:ascii="宋体" w:hAnsi="宋体"/>
          <w:color w:val="auto"/>
          <w:spacing w:val="-6"/>
          <w:sz w:val="24"/>
          <w:szCs w:val="24"/>
          <w:lang w:eastAsia="zh-CN"/>
        </w:rPr>
        <w:t>（</w:t>
      </w:r>
      <w:r>
        <w:rPr>
          <w:rFonts w:hint="eastAsia" w:ascii="宋体" w:hAnsi="宋体"/>
          <w:color w:val="auto"/>
          <w:spacing w:val="-6"/>
          <w:sz w:val="24"/>
          <w:szCs w:val="24"/>
        </w:rPr>
        <w:t>最高限价</w:t>
      </w:r>
      <w:r>
        <w:rPr>
          <w:rFonts w:hint="eastAsia" w:ascii="宋体" w:hAnsi="宋体"/>
          <w:color w:val="auto"/>
          <w:spacing w:val="-6"/>
          <w:sz w:val="24"/>
          <w:szCs w:val="24"/>
          <w:lang w:eastAsia="zh-CN"/>
        </w:rPr>
        <w:t>）</w:t>
      </w:r>
      <w:r>
        <w:rPr>
          <w:rFonts w:hint="eastAsia" w:ascii="宋体" w:hAnsi="宋体"/>
          <w:color w:val="auto"/>
          <w:spacing w:val="-6"/>
          <w:sz w:val="24"/>
          <w:szCs w:val="24"/>
        </w:rPr>
        <w:t>的；</w:t>
      </w:r>
    </w:p>
    <w:p w14:paraId="0EECA92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552098B0">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5）最终报价出现以下异常低价情形之一，且未提供项目具体成本测算等与报价合理性相关的书面说明及必要的证明材料的，或者其提供的说明和材料不能证明其报价合理性，经评审委员会认定有可能影响产品质量或者不能诚信履约的，响应无效。</w:t>
      </w:r>
    </w:p>
    <w:p w14:paraId="1F876538">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①</w:t>
      </w:r>
      <w:r>
        <w:rPr>
          <w:rFonts w:hint="eastAsia" w:ascii="宋体" w:hAnsi="宋体"/>
          <w:color w:val="auto"/>
          <w:spacing w:val="-6"/>
          <w:sz w:val="24"/>
          <w:szCs w:val="24"/>
          <w:lang w:val="en-US" w:eastAsia="zh-CN"/>
        </w:rPr>
        <w:t>投标（响应）报价低于全部通过符合性审查供应商投标（响应）报价平均值50%的，即投标（响应）报价&lt;全部通过符合性审查供应商投标（响应）报价平均值×50%； </w:t>
      </w:r>
    </w:p>
    <w:p w14:paraId="6F3FB069">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②</w:t>
      </w:r>
      <w:r>
        <w:rPr>
          <w:rFonts w:hint="eastAsia" w:ascii="宋体" w:hAnsi="宋体"/>
          <w:color w:val="auto"/>
          <w:spacing w:val="-6"/>
          <w:sz w:val="24"/>
          <w:szCs w:val="24"/>
          <w:lang w:val="en-US" w:eastAsia="zh-CN"/>
        </w:rPr>
        <w:t>投标（响应）报价低于通过符合性审查的次低报价供应商投标（响应）报价50%的，即投标（响应）报价&lt;通过符合性审查的次低报价供应商投标（响应）报价×50%； </w:t>
      </w:r>
    </w:p>
    <w:p w14:paraId="13ED959F">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③</w:t>
      </w:r>
      <w:r>
        <w:rPr>
          <w:rFonts w:hint="eastAsia" w:ascii="宋体" w:hAnsi="宋体"/>
          <w:color w:val="auto"/>
          <w:spacing w:val="-6"/>
          <w:sz w:val="24"/>
          <w:szCs w:val="24"/>
          <w:lang w:val="en-US" w:eastAsia="zh-CN"/>
        </w:rPr>
        <w:t>投标（响应）报价低于采购项目最高限价45%的，即投标（响应）报价&lt;采购项目最高限价×45%；</w:t>
      </w:r>
    </w:p>
    <w:p w14:paraId="42290BA5">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④</w:t>
      </w:r>
      <w:r>
        <w:rPr>
          <w:rFonts w:hint="eastAsia" w:ascii="宋体" w:hAnsi="宋体"/>
          <w:color w:val="auto"/>
          <w:spacing w:val="-6"/>
          <w:sz w:val="24"/>
          <w:szCs w:val="24"/>
          <w:lang w:val="en-US" w:eastAsia="zh-CN"/>
        </w:rPr>
        <w:t>评审委员会基于专业判断，认为供应商报价过低，有可能影响产品质量或者不能诚信履约的其他情形。</w:t>
      </w:r>
    </w:p>
    <w:p w14:paraId="74572751">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7843770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5215BD5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62BF279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0126B23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754CF28A">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4D263D4F">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49A90016">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1BD4A7D5">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2C75B9D3">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57"/>
    <w:bookmarkEnd w:id="58"/>
    <w:p w14:paraId="0A787015">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65" w:name="_Toc6009"/>
      <w:bookmarkStart w:id="266" w:name="_Toc12201"/>
      <w:bookmarkStart w:id="267" w:name="_Toc28358"/>
      <w:bookmarkStart w:id="268" w:name="_Toc13917"/>
      <w:bookmarkStart w:id="269" w:name="_Toc8571"/>
      <w:bookmarkStart w:id="270" w:name="_Toc30706"/>
      <w:bookmarkStart w:id="271" w:name="_Toc207550884"/>
      <w:bookmarkStart w:id="272" w:name="_Toc200"/>
      <w:bookmarkStart w:id="273" w:name="_Toc26820"/>
      <w:bookmarkStart w:id="274" w:name="_Toc24390"/>
      <w:bookmarkStart w:id="275" w:name="_Toc32590"/>
      <w:bookmarkStart w:id="276" w:name="_Toc11365"/>
      <w:bookmarkStart w:id="277" w:name="_Toc11859"/>
      <w:bookmarkStart w:id="278" w:name="_Toc24793"/>
      <w:bookmarkStart w:id="279" w:name="_Toc17194"/>
      <w:bookmarkStart w:id="280" w:name="_Toc25131"/>
      <w:bookmarkStart w:id="281" w:name="_Toc10403_WPSOffice_Level2"/>
      <w:bookmarkStart w:id="282" w:name="_Toc11828"/>
      <w:bookmarkStart w:id="283" w:name="_Toc433537967"/>
      <w:bookmarkStart w:id="284" w:name="_Toc8057"/>
      <w:bookmarkStart w:id="285" w:name="_Toc4601"/>
      <w:bookmarkStart w:id="286" w:name="_Toc27001"/>
      <w:bookmarkStart w:id="287" w:name="_Toc6184"/>
      <w:bookmarkStart w:id="288" w:name="_Toc22208"/>
      <w:bookmarkStart w:id="289" w:name="_Toc25705"/>
      <w:bookmarkStart w:id="290" w:name="_Toc6013"/>
      <w:bookmarkStart w:id="291" w:name="_Toc8275"/>
      <w:bookmarkStart w:id="292" w:name="_Toc467"/>
      <w:bookmarkStart w:id="293" w:name="_Toc9444"/>
      <w:bookmarkStart w:id="294" w:name="_Toc14125"/>
      <w:bookmarkStart w:id="295" w:name="_Toc23374"/>
      <w:bookmarkStart w:id="296" w:name="_Toc6290"/>
      <w:bookmarkStart w:id="297" w:name="_Toc20980"/>
      <w:bookmarkStart w:id="298" w:name="_Toc20654"/>
      <w:bookmarkStart w:id="299" w:name="_Toc14837"/>
      <w:bookmarkStart w:id="300" w:name="_Toc183786419"/>
      <w:r>
        <w:rPr>
          <w:rFonts w:hint="eastAsia" w:ascii="楷体" w:hAnsi="楷体" w:eastAsia="楷体" w:cs="楷体"/>
          <w:snapToGrid w:val="0"/>
          <w:color w:val="auto"/>
          <w:kern w:val="44"/>
          <w:sz w:val="32"/>
          <w:szCs w:val="32"/>
        </w:rPr>
        <w:t>五、开启响应文件</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2EE27D81">
      <w:pPr>
        <w:spacing w:line="288" w:lineRule="auto"/>
        <w:ind w:firstLine="482"/>
        <w:rPr>
          <w:color w:val="auto"/>
          <w:sz w:val="24"/>
        </w:rPr>
      </w:pPr>
      <w:bookmarkStart w:id="301" w:name="_Toc841"/>
      <w:bookmarkStart w:id="302" w:name="_Toc26833"/>
      <w:bookmarkStart w:id="303" w:name="_Toc12629"/>
      <w:bookmarkStart w:id="304" w:name="_Toc26778"/>
      <w:bookmarkStart w:id="305" w:name="_Toc30360"/>
      <w:bookmarkStart w:id="306" w:name="_Toc11659"/>
      <w:bookmarkStart w:id="307" w:name="_Toc15608"/>
      <w:bookmarkStart w:id="308" w:name="_Toc18007"/>
      <w:bookmarkStart w:id="309" w:name="_Toc28057"/>
      <w:bookmarkStart w:id="310" w:name="_Toc20003"/>
      <w:bookmarkStart w:id="311" w:name="_Toc32220"/>
      <w:bookmarkStart w:id="312" w:name="_Toc8052"/>
      <w:bookmarkStart w:id="313" w:name="_Toc18579"/>
      <w:bookmarkStart w:id="314" w:name="_Toc12021"/>
      <w:bookmarkStart w:id="315" w:name="_Toc667"/>
      <w:bookmarkStart w:id="316" w:name="_Toc6558"/>
      <w:bookmarkStart w:id="317" w:name="_Toc13314"/>
      <w:bookmarkStart w:id="318" w:name="_Toc9028"/>
      <w:bookmarkStart w:id="319" w:name="_Toc10811"/>
      <w:bookmarkStart w:id="320" w:name="_Toc22017"/>
      <w:bookmarkStart w:id="321" w:name="_Toc10561"/>
      <w:bookmarkStart w:id="322" w:name="_Toc29181"/>
      <w:bookmarkStart w:id="323" w:name="_Toc7609"/>
      <w:bookmarkStart w:id="324" w:name="_Toc25227"/>
      <w:bookmarkStart w:id="325" w:name="_Toc10251"/>
      <w:bookmarkStart w:id="326" w:name="_Toc22094"/>
      <w:bookmarkStart w:id="327" w:name="_Toc27046"/>
      <w:bookmarkStart w:id="328" w:name="_Toc4789"/>
      <w:bookmarkStart w:id="329" w:name="_Toc902"/>
      <w:bookmarkStart w:id="330" w:name="_Toc29445"/>
      <w:bookmarkStart w:id="331" w:name="_Toc650"/>
      <w:bookmarkStart w:id="332" w:name="_Toc8181"/>
      <w:bookmarkStart w:id="333" w:name="_Toc30679"/>
      <w:bookmarkStart w:id="334" w:name="_Toc5075"/>
      <w:r>
        <w:rPr>
          <w:rFonts w:hint="eastAsia"/>
          <w:color w:val="auto"/>
          <w:sz w:val="24"/>
        </w:rPr>
        <w:t>采购机构按照磋商文件规定的时间通过电子交易平台组织开启，所有供应商均应当准时在线参加。供应商不足3家的，不得开启。</w:t>
      </w:r>
    </w:p>
    <w:p w14:paraId="5A3AA73C">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2A81F1A9">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7BEFEF4B">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23AF7D05">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35" w:name="_Toc19902"/>
      <w:bookmarkStart w:id="336" w:name="_Toc533_WPSOffice_Level2"/>
      <w:r>
        <w:rPr>
          <w:rFonts w:hint="eastAsia" w:ascii="楷体" w:hAnsi="楷体" w:eastAsia="楷体" w:cs="楷体"/>
          <w:snapToGrid w:val="0"/>
          <w:color w:val="auto"/>
          <w:kern w:val="44"/>
          <w:sz w:val="32"/>
          <w:szCs w:val="32"/>
        </w:rPr>
        <w:t>六、</w:t>
      </w:r>
      <w:bookmarkEnd w:id="301"/>
      <w:bookmarkEnd w:id="302"/>
      <w:bookmarkEnd w:id="303"/>
      <w:r>
        <w:rPr>
          <w:rFonts w:hint="eastAsia" w:ascii="楷体" w:hAnsi="楷体" w:eastAsia="楷体" w:cs="楷体"/>
          <w:snapToGrid w:val="0"/>
          <w:color w:val="auto"/>
          <w:kern w:val="44"/>
          <w:sz w:val="32"/>
          <w:szCs w:val="32"/>
        </w:rPr>
        <w:t>评审和磋商</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65ABEBB2">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37" w:name="_Toc21990"/>
      <w:r>
        <w:rPr>
          <w:rFonts w:hint="eastAsia"/>
          <w:b/>
          <w:bCs/>
          <w:color w:val="auto"/>
          <w:sz w:val="24"/>
        </w:rPr>
        <w:t>（一）磋商小组</w:t>
      </w:r>
      <w:bookmarkEnd w:id="337"/>
    </w:p>
    <w:p w14:paraId="24D9A64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042A6B6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38" w:name="_Toc5050"/>
      <w:r>
        <w:rPr>
          <w:rFonts w:hint="eastAsia"/>
          <w:b/>
          <w:bCs/>
          <w:color w:val="auto"/>
          <w:sz w:val="24"/>
        </w:rPr>
        <w:t>（二）响应文件实质性响应的确定</w:t>
      </w:r>
      <w:bookmarkEnd w:id="338"/>
    </w:p>
    <w:p w14:paraId="67E9D38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1</w:t>
      </w:r>
      <w:r>
        <w:rPr>
          <w:rFonts w:hint="eastAsia"/>
          <w:color w:val="auto"/>
          <w:sz w:val="24"/>
        </w:rPr>
        <w:t>、无效的响应文件不再进入下一步磋商程序；</w:t>
      </w:r>
    </w:p>
    <w:p w14:paraId="629758E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2</w:t>
      </w:r>
      <w:r>
        <w:rPr>
          <w:rFonts w:hint="eastAsia"/>
          <w:color w:val="auto"/>
          <w:sz w:val="24"/>
        </w:rPr>
        <w:t>、判断响应文件的响应性仅基于响应文件本身而不靠外部证据；</w:t>
      </w:r>
    </w:p>
    <w:p w14:paraId="22A7095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1A8AE48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39" w:name="_Toc29318"/>
      <w:r>
        <w:rPr>
          <w:rFonts w:hint="eastAsia"/>
          <w:b/>
          <w:bCs/>
          <w:color w:val="auto"/>
          <w:sz w:val="24"/>
        </w:rPr>
        <w:t>（三）响应文件的详细评审和进一步磋商</w:t>
      </w:r>
      <w:bookmarkEnd w:id="339"/>
    </w:p>
    <w:p w14:paraId="1C780D4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7313520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4A2C51E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D73DA4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56D79D6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46960DE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21DB4C1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40" w:name="_Toc31672"/>
      <w:r>
        <w:rPr>
          <w:rFonts w:hint="eastAsia"/>
          <w:b/>
          <w:bCs/>
          <w:color w:val="auto"/>
          <w:sz w:val="24"/>
        </w:rPr>
        <w:t>（四）最后报价</w:t>
      </w:r>
      <w:bookmarkEnd w:id="340"/>
    </w:p>
    <w:p w14:paraId="06FD1A8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126FC67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AECB29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0A70010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rFonts w:hint="eastAsia"/>
          <w:color w:val="auto"/>
          <w:sz w:val="24"/>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694A062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41" w:name="_Toc25617"/>
      <w:r>
        <w:rPr>
          <w:rFonts w:hint="eastAsia"/>
          <w:b/>
          <w:bCs/>
          <w:color w:val="auto"/>
          <w:sz w:val="24"/>
        </w:rPr>
        <w:t>（五）错误修正</w:t>
      </w:r>
      <w:bookmarkEnd w:id="341"/>
    </w:p>
    <w:p w14:paraId="3A187E0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响应文件报价出现前后不一致的，除磋商文件另有规定外，按照下列规定修正：</w:t>
      </w:r>
    </w:p>
    <w:p w14:paraId="6261F79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（一）响应文件中报价表内容与响应文件中相应内容不一致的，以报价表为准；</w:t>
      </w:r>
    </w:p>
    <w:p w14:paraId="14D03B4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（二）大写金额和小写金额不一致的，以大写金额为准；</w:t>
      </w:r>
    </w:p>
    <w:p w14:paraId="036F52F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（三）单价金额小数点或者百分比有明显错位的，以报价表的总价为准，并修改单价；</w:t>
      </w:r>
    </w:p>
    <w:p w14:paraId="0F0CF37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（四）总价金额与按单价汇总金额不一致的，以单价金额计算结果为准；</w:t>
      </w:r>
    </w:p>
    <w:p w14:paraId="644CE25C">
      <w:pPr>
        <w:pStyle w:val="8"/>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7607EB1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rFonts w:hint="default"/>
          <w:b/>
          <w:bCs/>
          <w:color w:val="auto"/>
          <w:sz w:val="24"/>
          <w:szCs w:val="22"/>
          <w:lang w:val="en-US" w:eastAsia="zh-CN"/>
        </w:rPr>
      </w:pPr>
      <w:bookmarkStart w:id="342" w:name="_Toc296"/>
      <w:r>
        <w:rPr>
          <w:rFonts w:hint="eastAsia"/>
          <w:b/>
          <w:bCs/>
          <w:color w:val="auto"/>
          <w:sz w:val="24"/>
          <w:szCs w:val="22"/>
          <w:lang w:eastAsia="zh-CN"/>
        </w:rPr>
        <w:t>（</w:t>
      </w:r>
      <w:r>
        <w:rPr>
          <w:rFonts w:hint="eastAsia"/>
          <w:b/>
          <w:bCs/>
          <w:color w:val="auto"/>
          <w:sz w:val="24"/>
          <w:szCs w:val="22"/>
          <w:lang w:val="en-US" w:eastAsia="zh-CN"/>
        </w:rPr>
        <w:t>六</w:t>
      </w:r>
      <w:r>
        <w:rPr>
          <w:rFonts w:hint="eastAsia"/>
          <w:b/>
          <w:bCs/>
          <w:color w:val="auto"/>
          <w:sz w:val="24"/>
          <w:szCs w:val="22"/>
          <w:lang w:eastAsia="zh-CN"/>
        </w:rPr>
        <w:t>）</w:t>
      </w:r>
      <w:r>
        <w:rPr>
          <w:rFonts w:hint="eastAsia"/>
          <w:b/>
          <w:bCs/>
          <w:color w:val="auto"/>
          <w:sz w:val="24"/>
          <w:szCs w:val="22"/>
          <w:lang w:val="en-US" w:eastAsia="zh-CN"/>
        </w:rPr>
        <w:t>异常低价审查</w:t>
      </w:r>
      <w:bookmarkEnd w:id="342"/>
    </w:p>
    <w:p w14:paraId="4C3F262C">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评审中出现下列情形之一的，评审委员会应当启动异常低价投标（响应）审查程序： </w:t>
      </w:r>
    </w:p>
    <w:p w14:paraId="5B824E46">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1.投标（响应）报价低于全部通过符合性审查供应商投标（响应）报价平均值50%的，即投标（响应）报价&lt;全部通过符合性审查供应商投标（响应）报价平均值×50%； </w:t>
      </w:r>
    </w:p>
    <w:p w14:paraId="3DD990BB">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2.投标（响应）报价低于通过符合性审查的次低报价供应商投标（响应）报价50%的，即投标（响应）报价&lt;通过符合性审查的次低报价供应商投标（响应）报价×50%； </w:t>
      </w:r>
    </w:p>
    <w:p w14:paraId="32743BB5">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3.投标（响应）报价低于采购项目最高限价45%的，即投标（响应）报价&lt;采购项目最高限价×45%； </w:t>
      </w:r>
    </w:p>
    <w:p w14:paraId="17ACB28B">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4.评审委员会基于专业判断，认为供应商报价过低，有可能影响产品质量或者不能诚信履约的其他情形。 </w:t>
      </w:r>
    </w:p>
    <w:p w14:paraId="0041DAFF">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评审委员会启动异常低价投标（响应）审查后，属于前述第1项至第4项情形的，</w:t>
      </w:r>
      <w:r>
        <w:rPr>
          <w:rFonts w:hint="eastAsia"/>
          <w:b/>
          <w:bCs/>
          <w:color w:val="auto"/>
          <w:sz w:val="24"/>
          <w:szCs w:val="22"/>
        </w:rPr>
        <w:t>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b/>
          <w:bCs/>
          <w:color w:val="auto"/>
          <w:sz w:val="24"/>
          <w:szCs w:val="22"/>
          <w:lang w:val="en-US" w:eastAsia="zh-CN"/>
        </w:rPr>
        <w:t>供应商应当同时提供</w:t>
      </w:r>
      <w:r>
        <w:rPr>
          <w:rFonts w:hint="eastAsia"/>
          <w:b/>
          <w:bCs/>
          <w:color w:val="auto"/>
          <w:sz w:val="24"/>
          <w:szCs w:val="22"/>
        </w:rPr>
        <w:t>同类项目中标（成交）价格、类似产品市场价格水平、行业人工费用标准、国家有关部门指导行业协会发布的行业平均成本</w:t>
      </w:r>
      <w:r>
        <w:rPr>
          <w:rFonts w:hint="eastAsia"/>
          <w:b/>
          <w:bCs/>
          <w:color w:val="auto"/>
          <w:sz w:val="24"/>
          <w:szCs w:val="22"/>
          <w:lang w:val="en-US" w:eastAsia="zh-CN"/>
        </w:rPr>
        <w:t>等相关证明材料</w:t>
      </w:r>
      <w:r>
        <w:rPr>
          <w:rFonts w:hint="eastAsia"/>
          <w:color w:val="auto"/>
          <w:sz w:val="24"/>
          <w:szCs w:val="22"/>
          <w:lang w:eastAsia="zh-CN"/>
        </w:rPr>
        <w:t>，</w:t>
      </w:r>
      <w:r>
        <w:rPr>
          <w:rFonts w:hint="eastAsia"/>
          <w:color w:val="auto"/>
          <w:sz w:val="24"/>
          <w:szCs w:val="22"/>
        </w:rPr>
        <w:t>给予相关供应商的合理时间一般不少于30分钟。其中，属于第3项情形，供应商已随投标（响应）文件一并提交相关书面说明及必要的证明材料的，在评审现场可不再重复提交。 </w:t>
      </w:r>
    </w:p>
    <w:p w14:paraId="4951012D">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70CED14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43" w:name="_Toc16816"/>
      <w:r>
        <w:rPr>
          <w:rFonts w:hint="eastAsia"/>
          <w:b/>
          <w:bCs/>
          <w:color w:val="auto"/>
          <w:sz w:val="24"/>
        </w:rPr>
        <w:t>（</w:t>
      </w:r>
      <w:r>
        <w:rPr>
          <w:rFonts w:hint="eastAsia"/>
          <w:b/>
          <w:bCs/>
          <w:color w:val="auto"/>
          <w:sz w:val="24"/>
          <w:lang w:val="en-US" w:eastAsia="zh-CN"/>
        </w:rPr>
        <w:t>七</w:t>
      </w:r>
      <w:r>
        <w:rPr>
          <w:rFonts w:hint="eastAsia"/>
          <w:b/>
          <w:bCs/>
          <w:color w:val="auto"/>
          <w:sz w:val="24"/>
        </w:rPr>
        <w:t>）综合评分</w:t>
      </w:r>
      <w:bookmarkEnd w:id="343"/>
    </w:p>
    <w:p w14:paraId="2B64CFE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3723472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2FA9406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44" w:name="_Toc10782"/>
      <w:r>
        <w:rPr>
          <w:rFonts w:hint="eastAsia"/>
          <w:b/>
          <w:bCs/>
          <w:color w:val="auto"/>
          <w:sz w:val="24"/>
        </w:rPr>
        <w:t>（</w:t>
      </w:r>
      <w:r>
        <w:rPr>
          <w:rFonts w:hint="eastAsia"/>
          <w:b/>
          <w:bCs/>
          <w:color w:val="auto"/>
          <w:sz w:val="24"/>
          <w:lang w:val="en-US" w:eastAsia="zh-CN"/>
        </w:rPr>
        <w:t>八</w:t>
      </w:r>
      <w:r>
        <w:rPr>
          <w:rFonts w:hint="eastAsia"/>
          <w:b/>
          <w:bCs/>
          <w:color w:val="auto"/>
          <w:sz w:val="24"/>
        </w:rPr>
        <w:t>）汇总商务技术得分</w:t>
      </w:r>
      <w:bookmarkEnd w:id="344"/>
    </w:p>
    <w:p w14:paraId="4A2DE46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6AB0B76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19B1E43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45" w:name="_Toc24176"/>
      <w:r>
        <w:rPr>
          <w:rFonts w:hint="eastAsia"/>
          <w:b/>
          <w:bCs/>
          <w:color w:val="auto"/>
          <w:sz w:val="24"/>
        </w:rPr>
        <w:t>（</w:t>
      </w:r>
      <w:r>
        <w:rPr>
          <w:rFonts w:hint="eastAsia"/>
          <w:b/>
          <w:bCs/>
          <w:color w:val="auto"/>
          <w:sz w:val="24"/>
          <w:lang w:val="en-US" w:eastAsia="zh-CN"/>
        </w:rPr>
        <w:t>九</w:t>
      </w:r>
      <w:r>
        <w:rPr>
          <w:rFonts w:hint="eastAsia"/>
          <w:b/>
          <w:bCs/>
          <w:color w:val="auto"/>
          <w:sz w:val="24"/>
        </w:rPr>
        <w:t>）排序与推荐</w:t>
      </w:r>
      <w:bookmarkEnd w:id="345"/>
    </w:p>
    <w:p w14:paraId="7ABFE6C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46" w:name="OLE_LINK6"/>
      <w:r>
        <w:rPr>
          <w:rFonts w:hint="eastAsia"/>
          <w:color w:val="auto"/>
          <w:sz w:val="24"/>
        </w:rPr>
        <w:t>第二十一条第三款</w:t>
      </w:r>
      <w:bookmarkEnd w:id="346"/>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0D777198">
      <w:pPr>
        <w:keepNext w:val="0"/>
        <w:keepLines w:val="0"/>
        <w:pageBreakBefore w:val="0"/>
        <w:widowControl w:val="0"/>
        <w:kinsoku/>
        <w:wordWrap/>
        <w:overflowPunct/>
        <w:topLinePunct w:val="0"/>
        <w:autoSpaceDE/>
        <w:autoSpaceDN/>
        <w:bidi w:val="0"/>
        <w:adjustRightInd/>
        <w:snapToGrid/>
        <w:spacing w:line="288" w:lineRule="auto"/>
        <w:ind w:firstLine="401" w:firstLineChars="175"/>
        <w:textAlignment w:val="auto"/>
        <w:rPr>
          <w:color w:val="auto"/>
        </w:rPr>
      </w:pPr>
      <w:r>
        <w:rPr>
          <w:rFonts w:hint="eastAsia" w:ascii="仿宋" w:hAnsi="仿宋" w:eastAsia="仿宋" w:cs="仿宋"/>
          <w:b/>
          <w:color w:val="auto"/>
          <w:spacing w:val="-6"/>
          <w:sz w:val="24"/>
          <w:szCs w:val="24"/>
          <w:lang w:val="en-US" w:eastAsia="zh-CN"/>
        </w:rPr>
        <w:t>本次采购</w:t>
      </w:r>
      <w:r>
        <w:rPr>
          <w:rFonts w:hint="eastAsia" w:ascii="仿宋" w:hAnsi="仿宋" w:eastAsia="仿宋" w:cs="仿宋"/>
          <w:b/>
          <w:color w:val="auto"/>
          <w:spacing w:val="-6"/>
          <w:sz w:val="24"/>
          <w:szCs w:val="24"/>
        </w:rPr>
        <w:t>采用兼投兼评不兼中的方式，</w:t>
      </w:r>
      <w:r>
        <w:rPr>
          <w:rFonts w:hint="eastAsia" w:ascii="仿宋" w:hAnsi="仿宋" w:eastAsia="仿宋" w:cs="仿宋"/>
          <w:b/>
          <w:color w:val="auto"/>
          <w:spacing w:val="-6"/>
          <w:sz w:val="24"/>
          <w:szCs w:val="24"/>
          <w:lang w:val="en-US" w:eastAsia="zh-CN"/>
        </w:rPr>
        <w:t>响应方</w:t>
      </w:r>
      <w:r>
        <w:rPr>
          <w:rFonts w:hint="eastAsia" w:ascii="仿宋" w:hAnsi="仿宋" w:eastAsia="仿宋" w:cs="仿宋"/>
          <w:b/>
          <w:color w:val="auto"/>
          <w:spacing w:val="-6"/>
          <w:sz w:val="24"/>
          <w:szCs w:val="24"/>
        </w:rPr>
        <w:t>可</w:t>
      </w:r>
      <w:r>
        <w:rPr>
          <w:rFonts w:hint="eastAsia" w:ascii="仿宋" w:hAnsi="仿宋" w:eastAsia="仿宋" w:cs="仿宋"/>
          <w:b/>
          <w:color w:val="auto"/>
          <w:spacing w:val="-6"/>
          <w:sz w:val="24"/>
          <w:szCs w:val="24"/>
          <w:lang w:val="en-US" w:eastAsia="zh-CN"/>
        </w:rPr>
        <w:t>同时</w:t>
      </w:r>
      <w:r>
        <w:rPr>
          <w:rFonts w:hint="eastAsia" w:ascii="仿宋" w:hAnsi="仿宋" w:eastAsia="仿宋" w:cs="仿宋"/>
          <w:b/>
          <w:color w:val="auto"/>
          <w:spacing w:val="-6"/>
          <w:sz w:val="24"/>
          <w:szCs w:val="24"/>
        </w:rPr>
        <w:t>参加</w:t>
      </w:r>
      <w:r>
        <w:rPr>
          <w:rFonts w:hint="eastAsia" w:ascii="仿宋" w:hAnsi="仿宋" w:eastAsia="仿宋" w:cs="仿宋"/>
          <w:b/>
          <w:color w:val="auto"/>
          <w:spacing w:val="-6"/>
          <w:sz w:val="24"/>
          <w:szCs w:val="24"/>
          <w:lang w:val="en-US" w:eastAsia="zh-CN"/>
        </w:rPr>
        <w:t>两个</w:t>
      </w:r>
      <w:r>
        <w:rPr>
          <w:rFonts w:hint="eastAsia" w:ascii="仿宋" w:hAnsi="仿宋" w:eastAsia="仿宋" w:cs="仿宋"/>
          <w:b/>
          <w:color w:val="auto"/>
          <w:spacing w:val="-6"/>
          <w:sz w:val="24"/>
          <w:szCs w:val="24"/>
        </w:rPr>
        <w:t>标项的</w:t>
      </w:r>
      <w:r>
        <w:rPr>
          <w:rFonts w:hint="eastAsia" w:ascii="仿宋" w:hAnsi="仿宋" w:eastAsia="仿宋" w:cs="仿宋"/>
          <w:b/>
          <w:color w:val="auto"/>
          <w:spacing w:val="-6"/>
          <w:sz w:val="24"/>
          <w:szCs w:val="24"/>
          <w:lang w:val="en-US" w:eastAsia="zh-CN"/>
        </w:rPr>
        <w:t>响应</w:t>
      </w:r>
      <w:r>
        <w:rPr>
          <w:rFonts w:hint="eastAsia" w:ascii="仿宋" w:hAnsi="仿宋" w:eastAsia="仿宋" w:cs="仿宋"/>
          <w:b/>
          <w:color w:val="auto"/>
          <w:spacing w:val="-6"/>
          <w:sz w:val="24"/>
          <w:szCs w:val="24"/>
        </w:rPr>
        <w:t>，但最多只能成为一个标项的</w:t>
      </w:r>
      <w:r>
        <w:rPr>
          <w:rFonts w:hint="eastAsia" w:ascii="仿宋" w:hAnsi="仿宋" w:eastAsia="仿宋" w:cs="仿宋"/>
          <w:b/>
          <w:color w:val="auto"/>
          <w:spacing w:val="-6"/>
          <w:sz w:val="24"/>
          <w:szCs w:val="24"/>
          <w:lang w:val="en-US" w:eastAsia="zh-CN"/>
        </w:rPr>
        <w:t>成交人（</w:t>
      </w:r>
      <w:r>
        <w:rPr>
          <w:rFonts w:hint="eastAsia" w:ascii="仿宋" w:hAnsi="仿宋" w:eastAsia="仿宋" w:cs="仿宋"/>
          <w:b/>
          <w:color w:val="auto"/>
          <w:spacing w:val="-6"/>
          <w:sz w:val="24"/>
          <w:szCs w:val="24"/>
        </w:rPr>
        <w:t>根据标项顺序确定其</w:t>
      </w:r>
      <w:r>
        <w:rPr>
          <w:rFonts w:hint="eastAsia" w:ascii="仿宋" w:hAnsi="仿宋" w:eastAsia="仿宋" w:cs="仿宋"/>
          <w:b/>
          <w:color w:val="auto"/>
          <w:spacing w:val="-6"/>
          <w:sz w:val="24"/>
          <w:szCs w:val="24"/>
          <w:lang w:val="en-US" w:eastAsia="zh-CN"/>
        </w:rPr>
        <w:t>成交</w:t>
      </w:r>
      <w:r>
        <w:rPr>
          <w:rFonts w:hint="eastAsia" w:ascii="仿宋" w:hAnsi="仿宋" w:eastAsia="仿宋" w:cs="仿宋"/>
          <w:b/>
          <w:color w:val="auto"/>
          <w:spacing w:val="-6"/>
          <w:sz w:val="24"/>
          <w:szCs w:val="24"/>
        </w:rPr>
        <w:t>的标项</w:t>
      </w:r>
      <w:r>
        <w:rPr>
          <w:rFonts w:hint="eastAsia" w:ascii="仿宋" w:hAnsi="仿宋" w:eastAsia="仿宋" w:cs="仿宋"/>
          <w:b/>
          <w:color w:val="auto"/>
          <w:spacing w:val="-6"/>
          <w:sz w:val="24"/>
          <w:szCs w:val="24"/>
          <w:lang w:eastAsia="zh-CN"/>
        </w:rPr>
        <w:t>）</w:t>
      </w:r>
      <w:r>
        <w:rPr>
          <w:rFonts w:hint="eastAsia" w:ascii="仿宋" w:hAnsi="仿宋" w:eastAsia="仿宋" w:cs="仿宋"/>
          <w:b/>
          <w:color w:val="auto"/>
          <w:spacing w:val="-6"/>
          <w:sz w:val="24"/>
          <w:szCs w:val="24"/>
        </w:rPr>
        <w:t>。即</w:t>
      </w:r>
      <w:r>
        <w:rPr>
          <w:rFonts w:hint="eastAsia" w:ascii="仿宋" w:hAnsi="仿宋" w:eastAsia="仿宋" w:cs="仿宋"/>
          <w:b/>
          <w:color w:val="auto"/>
          <w:spacing w:val="-6"/>
          <w:sz w:val="24"/>
          <w:szCs w:val="24"/>
          <w:lang w:val="en-US" w:eastAsia="zh-CN"/>
        </w:rPr>
        <w:t>某响应方</w:t>
      </w:r>
      <w:r>
        <w:rPr>
          <w:rFonts w:hint="eastAsia" w:ascii="仿宋" w:hAnsi="仿宋" w:eastAsia="仿宋" w:cs="仿宋"/>
          <w:b/>
          <w:color w:val="auto"/>
          <w:spacing w:val="-6"/>
          <w:sz w:val="24"/>
          <w:szCs w:val="24"/>
        </w:rPr>
        <w:t>同时为</w:t>
      </w:r>
      <w:r>
        <w:rPr>
          <w:rFonts w:hint="eastAsia" w:ascii="仿宋" w:hAnsi="仿宋" w:eastAsia="仿宋" w:cs="仿宋"/>
          <w:b/>
          <w:color w:val="auto"/>
          <w:spacing w:val="-6"/>
          <w:sz w:val="24"/>
          <w:szCs w:val="24"/>
          <w:lang w:val="en-US" w:eastAsia="zh-CN"/>
        </w:rPr>
        <w:t>两个</w:t>
      </w:r>
      <w:r>
        <w:rPr>
          <w:rFonts w:hint="eastAsia" w:ascii="仿宋" w:hAnsi="仿宋" w:eastAsia="仿宋" w:cs="仿宋"/>
          <w:b/>
          <w:color w:val="auto"/>
          <w:spacing w:val="-6"/>
          <w:sz w:val="24"/>
          <w:szCs w:val="24"/>
        </w:rPr>
        <w:t>标项排名第一的</w:t>
      </w:r>
      <w:r>
        <w:rPr>
          <w:rFonts w:hint="eastAsia" w:ascii="仿宋" w:hAnsi="仿宋" w:eastAsia="仿宋" w:cs="仿宋"/>
          <w:b/>
          <w:color w:val="auto"/>
          <w:spacing w:val="-6"/>
          <w:sz w:val="24"/>
          <w:szCs w:val="24"/>
          <w:lang w:val="en-US" w:eastAsia="zh-CN"/>
        </w:rPr>
        <w:t>成交</w:t>
      </w:r>
      <w:r>
        <w:rPr>
          <w:rFonts w:hint="eastAsia" w:ascii="仿宋" w:hAnsi="仿宋" w:eastAsia="仿宋" w:cs="仿宋"/>
          <w:b/>
          <w:color w:val="auto"/>
          <w:spacing w:val="-6"/>
          <w:sz w:val="24"/>
          <w:szCs w:val="24"/>
        </w:rPr>
        <w:t>候选人时</w:t>
      </w:r>
      <w:r>
        <w:rPr>
          <w:rFonts w:hint="eastAsia" w:ascii="仿宋" w:hAnsi="仿宋" w:eastAsia="仿宋" w:cs="仿宋"/>
          <w:b/>
          <w:color w:val="auto"/>
          <w:spacing w:val="-6"/>
          <w:sz w:val="24"/>
          <w:szCs w:val="24"/>
          <w:lang w:eastAsia="zh-CN"/>
        </w:rPr>
        <w:t>，</w:t>
      </w:r>
      <w:r>
        <w:rPr>
          <w:rFonts w:hint="eastAsia" w:ascii="仿宋" w:hAnsi="仿宋" w:eastAsia="仿宋" w:cs="仿宋"/>
          <w:b/>
          <w:color w:val="auto"/>
          <w:spacing w:val="-6"/>
          <w:sz w:val="24"/>
          <w:szCs w:val="24"/>
          <w:lang w:val="en-US" w:eastAsia="zh-CN"/>
        </w:rPr>
        <w:t>这个响应方只能作为标项一的成交候选人，不作为</w:t>
      </w:r>
      <w:r>
        <w:rPr>
          <w:rFonts w:hint="eastAsia" w:ascii="仿宋" w:hAnsi="仿宋" w:eastAsia="仿宋" w:cs="仿宋"/>
          <w:b/>
          <w:color w:val="auto"/>
          <w:spacing w:val="-6"/>
          <w:sz w:val="24"/>
          <w:szCs w:val="24"/>
        </w:rPr>
        <w:t>标项</w:t>
      </w:r>
      <w:r>
        <w:rPr>
          <w:rFonts w:hint="eastAsia" w:ascii="仿宋" w:hAnsi="仿宋" w:eastAsia="仿宋" w:cs="仿宋"/>
          <w:b/>
          <w:color w:val="auto"/>
          <w:spacing w:val="-6"/>
          <w:sz w:val="24"/>
          <w:szCs w:val="24"/>
          <w:lang w:val="en-US" w:eastAsia="zh-CN"/>
        </w:rPr>
        <w:t>二的成交</w:t>
      </w:r>
      <w:r>
        <w:rPr>
          <w:rFonts w:hint="eastAsia" w:ascii="仿宋" w:hAnsi="仿宋" w:eastAsia="仿宋" w:cs="仿宋"/>
          <w:b/>
          <w:color w:val="auto"/>
          <w:spacing w:val="-6"/>
          <w:sz w:val="24"/>
          <w:szCs w:val="24"/>
        </w:rPr>
        <w:t>候选人，标项</w:t>
      </w:r>
      <w:r>
        <w:rPr>
          <w:rFonts w:hint="eastAsia" w:ascii="仿宋" w:hAnsi="仿宋" w:eastAsia="仿宋" w:cs="仿宋"/>
          <w:b/>
          <w:color w:val="auto"/>
          <w:spacing w:val="-6"/>
          <w:sz w:val="24"/>
          <w:szCs w:val="24"/>
          <w:lang w:val="en-US" w:eastAsia="zh-CN"/>
        </w:rPr>
        <w:t>二</w:t>
      </w:r>
      <w:r>
        <w:rPr>
          <w:rFonts w:hint="eastAsia" w:ascii="仿宋" w:hAnsi="仿宋" w:eastAsia="仿宋" w:cs="仿宋"/>
          <w:b/>
          <w:color w:val="auto"/>
          <w:spacing w:val="-6"/>
          <w:sz w:val="24"/>
          <w:szCs w:val="24"/>
        </w:rPr>
        <w:t>排名第二的</w:t>
      </w:r>
      <w:r>
        <w:rPr>
          <w:rFonts w:hint="eastAsia" w:ascii="仿宋" w:hAnsi="仿宋" w:eastAsia="仿宋" w:cs="仿宋"/>
          <w:b/>
          <w:color w:val="auto"/>
          <w:spacing w:val="-6"/>
          <w:sz w:val="24"/>
          <w:szCs w:val="24"/>
          <w:lang w:val="en-US" w:eastAsia="zh-CN"/>
        </w:rPr>
        <w:t>成交</w:t>
      </w:r>
      <w:r>
        <w:rPr>
          <w:rFonts w:hint="eastAsia" w:ascii="仿宋" w:hAnsi="仿宋" w:eastAsia="仿宋" w:cs="仿宋"/>
          <w:b/>
          <w:color w:val="auto"/>
          <w:spacing w:val="-6"/>
          <w:sz w:val="24"/>
          <w:szCs w:val="24"/>
        </w:rPr>
        <w:t>候选人</w:t>
      </w:r>
      <w:r>
        <w:rPr>
          <w:rFonts w:hint="eastAsia" w:ascii="仿宋" w:hAnsi="仿宋" w:eastAsia="仿宋" w:cs="仿宋"/>
          <w:b/>
          <w:color w:val="auto"/>
          <w:spacing w:val="-6"/>
          <w:sz w:val="24"/>
          <w:szCs w:val="24"/>
          <w:lang w:val="en-US" w:eastAsia="zh-CN"/>
        </w:rPr>
        <w:t>提升为第一成交候选人</w:t>
      </w:r>
      <w:r>
        <w:rPr>
          <w:rFonts w:hint="eastAsia" w:ascii="仿宋" w:hAnsi="仿宋" w:eastAsia="仿宋" w:cs="仿宋"/>
          <w:b/>
          <w:color w:val="auto"/>
          <w:spacing w:val="-6"/>
          <w:sz w:val="24"/>
          <w:szCs w:val="24"/>
          <w:lang w:eastAsia="zh-CN"/>
        </w:rPr>
        <w:t>。</w:t>
      </w:r>
      <w:r>
        <w:rPr>
          <w:rFonts w:hint="eastAsia" w:ascii="仿宋" w:hAnsi="仿宋" w:eastAsia="仿宋" w:cs="仿宋"/>
          <w:b/>
          <w:color w:val="auto"/>
          <w:kern w:val="0"/>
          <w:sz w:val="24"/>
          <w:szCs w:val="24"/>
        </w:rPr>
        <w:t>说明：如</w:t>
      </w:r>
      <w:r>
        <w:rPr>
          <w:rFonts w:hint="eastAsia" w:ascii="仿宋" w:hAnsi="仿宋" w:eastAsia="仿宋" w:cs="仿宋"/>
          <w:b/>
          <w:color w:val="auto"/>
          <w:kern w:val="0"/>
          <w:sz w:val="24"/>
          <w:szCs w:val="24"/>
          <w:lang w:val="en-US" w:eastAsia="zh-CN"/>
        </w:rPr>
        <w:t>两个</w:t>
      </w:r>
      <w:r>
        <w:rPr>
          <w:rFonts w:hint="eastAsia" w:ascii="仿宋" w:hAnsi="仿宋" w:eastAsia="仿宋" w:cs="仿宋"/>
          <w:b/>
          <w:color w:val="auto"/>
          <w:kern w:val="0"/>
          <w:sz w:val="24"/>
          <w:szCs w:val="24"/>
        </w:rPr>
        <w:t>标项排名第一的</w:t>
      </w:r>
      <w:r>
        <w:rPr>
          <w:rFonts w:hint="eastAsia" w:ascii="仿宋" w:hAnsi="仿宋" w:eastAsia="仿宋" w:cs="仿宋"/>
          <w:b/>
          <w:color w:val="auto"/>
          <w:kern w:val="0"/>
          <w:sz w:val="24"/>
          <w:szCs w:val="24"/>
          <w:lang w:val="en-US" w:eastAsia="zh-CN"/>
        </w:rPr>
        <w:t>成交</w:t>
      </w:r>
      <w:r>
        <w:rPr>
          <w:rFonts w:hint="eastAsia" w:ascii="仿宋" w:hAnsi="仿宋" w:eastAsia="仿宋" w:cs="仿宋"/>
          <w:b/>
          <w:color w:val="auto"/>
          <w:spacing w:val="-6"/>
          <w:sz w:val="24"/>
          <w:szCs w:val="24"/>
        </w:rPr>
        <w:t>候选人为同一家，则标项</w:t>
      </w:r>
      <w:r>
        <w:rPr>
          <w:rFonts w:hint="eastAsia" w:ascii="仿宋" w:hAnsi="仿宋" w:eastAsia="仿宋" w:cs="仿宋"/>
          <w:b/>
          <w:color w:val="auto"/>
          <w:spacing w:val="-6"/>
          <w:sz w:val="24"/>
          <w:szCs w:val="24"/>
          <w:lang w:val="en-US" w:eastAsia="zh-CN"/>
        </w:rPr>
        <w:t>二</w:t>
      </w:r>
      <w:r>
        <w:rPr>
          <w:rFonts w:hint="eastAsia" w:ascii="仿宋" w:hAnsi="仿宋" w:eastAsia="仿宋" w:cs="仿宋"/>
          <w:b/>
          <w:color w:val="auto"/>
          <w:spacing w:val="-6"/>
          <w:sz w:val="24"/>
          <w:szCs w:val="24"/>
        </w:rPr>
        <w:t>有效</w:t>
      </w:r>
      <w:r>
        <w:rPr>
          <w:rFonts w:hint="eastAsia" w:ascii="仿宋" w:hAnsi="仿宋" w:eastAsia="仿宋" w:cs="仿宋"/>
          <w:b/>
          <w:color w:val="auto"/>
          <w:spacing w:val="-6"/>
          <w:sz w:val="24"/>
          <w:szCs w:val="24"/>
          <w:lang w:val="en-US" w:eastAsia="zh-CN"/>
        </w:rPr>
        <w:t>响应方</w:t>
      </w:r>
      <w:r>
        <w:rPr>
          <w:rFonts w:hint="eastAsia" w:ascii="仿宋" w:hAnsi="仿宋" w:eastAsia="仿宋" w:cs="仿宋"/>
          <w:b/>
          <w:color w:val="auto"/>
          <w:spacing w:val="-6"/>
          <w:sz w:val="24"/>
          <w:szCs w:val="24"/>
        </w:rPr>
        <w:t>须≥</w:t>
      </w:r>
      <w:r>
        <w:rPr>
          <w:rFonts w:hint="eastAsia" w:ascii="仿宋" w:hAnsi="仿宋" w:eastAsia="仿宋" w:cs="仿宋"/>
          <w:b/>
          <w:color w:val="auto"/>
          <w:spacing w:val="-6"/>
          <w:sz w:val="24"/>
          <w:szCs w:val="24"/>
          <w:lang w:val="en-US" w:eastAsia="zh-CN"/>
        </w:rPr>
        <w:t>4</w:t>
      </w:r>
      <w:r>
        <w:rPr>
          <w:rFonts w:hint="eastAsia" w:ascii="仿宋" w:hAnsi="仿宋" w:eastAsia="仿宋" w:cs="仿宋"/>
          <w:b/>
          <w:color w:val="auto"/>
          <w:spacing w:val="-6"/>
          <w:sz w:val="24"/>
          <w:szCs w:val="24"/>
        </w:rPr>
        <w:t>家，</w:t>
      </w:r>
      <w:r>
        <w:rPr>
          <w:rFonts w:hint="eastAsia" w:ascii="仿宋" w:hAnsi="仿宋" w:eastAsia="仿宋" w:cs="仿宋"/>
          <w:b/>
          <w:color w:val="auto"/>
          <w:spacing w:val="-6"/>
          <w:sz w:val="24"/>
          <w:szCs w:val="24"/>
          <w:lang w:val="en-US" w:eastAsia="zh-CN"/>
        </w:rPr>
        <w:t>否则标项二</w:t>
      </w:r>
      <w:r>
        <w:rPr>
          <w:rFonts w:hint="eastAsia" w:ascii="仿宋" w:hAnsi="仿宋" w:eastAsia="仿宋" w:cs="仿宋"/>
          <w:b/>
          <w:color w:val="auto"/>
          <w:spacing w:val="-6"/>
          <w:sz w:val="24"/>
          <w:szCs w:val="24"/>
        </w:rPr>
        <w:t>废标。</w:t>
      </w:r>
    </w:p>
    <w:p w14:paraId="27AE11A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47" w:name="_Toc30105"/>
      <w:r>
        <w:rPr>
          <w:rFonts w:hint="eastAsia"/>
          <w:b/>
          <w:bCs/>
          <w:color w:val="auto"/>
          <w:sz w:val="24"/>
        </w:rPr>
        <w:t>（</w:t>
      </w:r>
      <w:r>
        <w:rPr>
          <w:rFonts w:hint="eastAsia"/>
          <w:b/>
          <w:bCs/>
          <w:color w:val="auto"/>
          <w:sz w:val="24"/>
          <w:lang w:val="en-US" w:eastAsia="zh-CN"/>
        </w:rPr>
        <w:t>十</w:t>
      </w:r>
      <w:r>
        <w:rPr>
          <w:rFonts w:hint="eastAsia"/>
          <w:b/>
          <w:bCs/>
          <w:color w:val="auto"/>
          <w:sz w:val="24"/>
        </w:rPr>
        <w:t>）编写评审报告</w:t>
      </w:r>
      <w:bookmarkEnd w:id="347"/>
    </w:p>
    <w:p w14:paraId="4812B23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34B7B88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48" w:name="_Toc23789"/>
      <w:r>
        <w:rPr>
          <w:rFonts w:hint="eastAsia"/>
          <w:b/>
          <w:bCs/>
          <w:color w:val="auto"/>
          <w:sz w:val="24"/>
        </w:rPr>
        <w:t>（十</w:t>
      </w:r>
      <w:r>
        <w:rPr>
          <w:rFonts w:hint="eastAsia"/>
          <w:b/>
          <w:bCs/>
          <w:color w:val="auto"/>
          <w:sz w:val="24"/>
          <w:lang w:val="en-US" w:eastAsia="zh-CN"/>
        </w:rPr>
        <w:t>一</w:t>
      </w:r>
      <w:r>
        <w:rPr>
          <w:rFonts w:hint="eastAsia"/>
          <w:b/>
          <w:bCs/>
          <w:color w:val="auto"/>
          <w:sz w:val="24"/>
        </w:rPr>
        <w:t>）磋商评审过程的保密性</w:t>
      </w:r>
      <w:bookmarkEnd w:id="348"/>
    </w:p>
    <w:p w14:paraId="09447DD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7E388F4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271E1ACD">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49" w:name="_Toc22706"/>
      <w:bookmarkStart w:id="350" w:name="_Toc12279"/>
      <w:bookmarkStart w:id="351" w:name="_Toc26757"/>
      <w:bookmarkStart w:id="352" w:name="_Toc8603"/>
      <w:bookmarkStart w:id="353" w:name="_Toc15767"/>
      <w:bookmarkStart w:id="354" w:name="_Toc28002"/>
      <w:bookmarkStart w:id="355" w:name="_Toc32587"/>
      <w:bookmarkStart w:id="356" w:name="_Toc6273"/>
      <w:bookmarkStart w:id="357" w:name="_Toc1270"/>
      <w:bookmarkStart w:id="358" w:name="_Toc4483"/>
      <w:bookmarkStart w:id="359" w:name="_Toc21515"/>
      <w:bookmarkStart w:id="360" w:name="_Toc10879"/>
      <w:bookmarkStart w:id="361" w:name="_Toc7256"/>
      <w:bookmarkStart w:id="362" w:name="_Toc17917"/>
      <w:bookmarkStart w:id="363" w:name="_Toc30131"/>
      <w:bookmarkStart w:id="364" w:name="_Toc29830"/>
      <w:bookmarkStart w:id="365" w:name="_Toc30041"/>
      <w:bookmarkStart w:id="366" w:name="_Toc9496"/>
      <w:bookmarkStart w:id="367" w:name="_Toc26044"/>
      <w:bookmarkStart w:id="368" w:name="_Toc27426"/>
      <w:bookmarkStart w:id="369" w:name="_Toc2251"/>
      <w:bookmarkStart w:id="370" w:name="_Toc13854"/>
      <w:bookmarkStart w:id="371" w:name="_Toc7264_WPSOffice_Level2"/>
      <w:bookmarkStart w:id="372" w:name="_Toc21433"/>
      <w:bookmarkStart w:id="373" w:name="_Toc18073"/>
      <w:bookmarkStart w:id="374" w:name="_Toc5340"/>
      <w:bookmarkStart w:id="375" w:name="_Toc20162"/>
      <w:bookmarkStart w:id="376" w:name="_Toc326"/>
      <w:bookmarkStart w:id="377" w:name="_Toc26288"/>
      <w:bookmarkStart w:id="378" w:name="_Toc14468"/>
      <w:bookmarkStart w:id="379" w:name="_Toc3813"/>
      <w:bookmarkStart w:id="380" w:name="_Toc16451"/>
      <w:bookmarkStart w:id="381" w:name="_Toc22665"/>
      <w:bookmarkStart w:id="382" w:name="_Toc5529"/>
      <w:bookmarkStart w:id="383" w:name="_Toc29029"/>
      <w:bookmarkStart w:id="384" w:name="_Toc17524"/>
      <w:r>
        <w:rPr>
          <w:rFonts w:hint="eastAsia" w:ascii="楷体" w:hAnsi="楷体" w:eastAsia="楷体" w:cs="楷体"/>
          <w:snapToGrid w:val="0"/>
          <w:color w:val="auto"/>
          <w:kern w:val="44"/>
          <w:sz w:val="32"/>
          <w:szCs w:val="32"/>
        </w:rPr>
        <w:t>七、合同授予</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20D8CB8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85" w:name="_Toc1405"/>
      <w:r>
        <w:rPr>
          <w:rFonts w:hint="eastAsia"/>
          <w:b/>
          <w:bCs/>
          <w:color w:val="auto"/>
          <w:sz w:val="24"/>
        </w:rPr>
        <w:t>（一）资格最终审查</w:t>
      </w:r>
      <w:bookmarkEnd w:id="385"/>
    </w:p>
    <w:p w14:paraId="5571CC4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2F79AF2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86" w:name="_Toc8693"/>
      <w:r>
        <w:rPr>
          <w:rFonts w:hint="eastAsia"/>
          <w:b/>
          <w:bCs/>
          <w:color w:val="auto"/>
          <w:sz w:val="24"/>
        </w:rPr>
        <w:t>（二）接受和拒绝部分或所有磋商内容的权力</w:t>
      </w:r>
      <w:bookmarkEnd w:id="386"/>
    </w:p>
    <w:p w14:paraId="100299E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2A72F00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87" w:name="_Toc6807"/>
      <w:r>
        <w:rPr>
          <w:rFonts w:hint="eastAsia"/>
          <w:b/>
          <w:bCs/>
          <w:color w:val="auto"/>
          <w:sz w:val="24"/>
        </w:rPr>
        <w:t>（三）成交通知书</w:t>
      </w:r>
      <w:bookmarkEnd w:id="387"/>
    </w:p>
    <w:p w14:paraId="3DE8458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15F4C40E">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7BDFB29D">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4952CE22">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88" w:name="_Toc3584"/>
      <w:r>
        <w:rPr>
          <w:rFonts w:hint="eastAsia"/>
          <w:b/>
          <w:bCs/>
          <w:color w:val="auto"/>
          <w:sz w:val="24"/>
        </w:rPr>
        <w:t>（四）授予合同时变更数量的权力</w:t>
      </w:r>
      <w:bookmarkEnd w:id="388"/>
    </w:p>
    <w:p w14:paraId="1DA8AAAE">
      <w:pPr>
        <w:pStyle w:val="29"/>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2542686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bookmarkStart w:id="389" w:name="_Toc1416"/>
      <w:r>
        <w:rPr>
          <w:rFonts w:hint="eastAsia"/>
          <w:b/>
          <w:bCs/>
          <w:color w:val="auto"/>
          <w:sz w:val="24"/>
        </w:rPr>
        <w:t>（五）签订合同</w:t>
      </w:r>
      <w:bookmarkEnd w:id="389"/>
    </w:p>
    <w:p w14:paraId="35067263">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149D824B">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3F797228">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390395F9">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16F2BDF5">
      <w:pPr>
        <w:pStyle w:val="6"/>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bookmarkStart w:id="390" w:name="_Toc9608_WPSOffice_Level2"/>
      <w:bookmarkStart w:id="391" w:name="_Toc11412"/>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bookmarkEnd w:id="390"/>
      <w:bookmarkEnd w:id="391"/>
    </w:p>
    <w:p w14:paraId="6FB7421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494AA02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bookmarkStart w:id="392" w:name="_Toc17845"/>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bookmarkEnd w:id="392"/>
    </w:p>
    <w:p w14:paraId="60B6767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bookmarkStart w:id="393" w:name="_Toc27127"/>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bookmarkEnd w:id="393"/>
    </w:p>
    <w:p w14:paraId="09CEBD4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bookmarkStart w:id="394" w:name="_Toc7924"/>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bookmarkEnd w:id="394"/>
    </w:p>
    <w:p w14:paraId="77903AB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bookmarkStart w:id="395" w:name="_Toc2211"/>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bookmarkEnd w:id="395"/>
    </w:p>
    <w:p w14:paraId="5EA9188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bookmarkStart w:id="396" w:name="_Toc10191"/>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bookmarkEnd w:id="396"/>
    </w:p>
    <w:p w14:paraId="20DAD44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706FF155">
      <w:pPr>
        <w:pStyle w:val="4"/>
        <w:keepNext/>
        <w:keepLines/>
        <w:pageBreakBefore w:val="0"/>
        <w:widowControl w:val="0"/>
        <w:kinsoku/>
        <w:wordWrap/>
        <w:overflowPunct/>
        <w:topLinePunct w:val="0"/>
        <w:autoSpaceDE/>
        <w:autoSpaceDN/>
        <w:bidi w:val="0"/>
        <w:adjustRightInd w:val="0"/>
        <w:snapToGrid/>
        <w:spacing w:line="240" w:lineRule="auto"/>
        <w:textAlignment w:val="auto"/>
        <w:outlineLvl w:val="0"/>
        <w:rPr>
          <w:rFonts w:hint="eastAsia" w:ascii="Times New Roman" w:hAnsi="Times New Roman" w:eastAsia="黑体" w:cs="Times New Roman"/>
          <w:b/>
          <w:color w:val="auto"/>
          <w:kern w:val="44"/>
          <w:sz w:val="36"/>
          <w:szCs w:val="22"/>
          <w:lang w:val="en-US" w:eastAsia="zh-CN" w:bidi="ar-SA"/>
        </w:rPr>
      </w:pPr>
      <w:bookmarkStart w:id="397" w:name="_Toc10023"/>
      <w:bookmarkStart w:id="398" w:name="_Toc24700"/>
      <w:bookmarkStart w:id="399" w:name="_Toc30987"/>
      <w:bookmarkStart w:id="400" w:name="_Toc11599"/>
      <w:bookmarkStart w:id="401" w:name="_Toc31754"/>
      <w:bookmarkStart w:id="402" w:name="_Toc18478"/>
      <w:bookmarkStart w:id="403" w:name="_Toc27094"/>
      <w:r>
        <w:rPr>
          <w:rStyle w:val="55"/>
          <w:rFonts w:ascii="Times New Roman" w:hAnsi="Times New Roman"/>
          <w:b/>
          <w:snapToGrid w:val="0"/>
          <w:color w:val="auto"/>
        </w:rPr>
        <w:br w:type="page"/>
      </w:r>
      <w:bookmarkStart w:id="404" w:name="_Toc32694_WPSOffice_Level1"/>
      <w:bookmarkStart w:id="405" w:name="_Toc7843"/>
      <w:bookmarkStart w:id="406" w:name="_Toc646"/>
      <w:bookmarkStart w:id="407" w:name="_Toc23632"/>
      <w:bookmarkStart w:id="408" w:name="_Toc10406"/>
      <w:bookmarkStart w:id="409" w:name="_Toc22180"/>
      <w:bookmarkStart w:id="410" w:name="_Toc12012"/>
      <w:bookmarkStart w:id="411" w:name="_Toc23225"/>
      <w:bookmarkStart w:id="412" w:name="_Toc16902"/>
      <w:bookmarkStart w:id="413" w:name="_Toc14142"/>
      <w:bookmarkStart w:id="414" w:name="_Toc365"/>
      <w:bookmarkStart w:id="415" w:name="_Toc17708"/>
      <w:bookmarkStart w:id="416" w:name="_Toc8630"/>
      <w:bookmarkStart w:id="417" w:name="_Toc26169"/>
      <w:bookmarkStart w:id="418" w:name="_Toc27781"/>
      <w:bookmarkStart w:id="419" w:name="_Toc14406"/>
      <w:bookmarkStart w:id="420" w:name="_Toc30301"/>
      <w:bookmarkStart w:id="421" w:name="_Toc26100"/>
      <w:bookmarkStart w:id="422" w:name="_Toc24396"/>
      <w:bookmarkStart w:id="423" w:name="_Toc30158"/>
      <w:bookmarkStart w:id="424" w:name="_Toc5470"/>
      <w:bookmarkStart w:id="425" w:name="_Toc7338"/>
      <w:bookmarkStart w:id="426" w:name="_Toc17768"/>
      <w:bookmarkStart w:id="427" w:name="_Toc27525"/>
      <w:bookmarkStart w:id="428" w:name="_Toc7293"/>
      <w:bookmarkStart w:id="429" w:name="_Toc12347"/>
      <w:bookmarkStart w:id="430" w:name="_Toc20593"/>
      <w:bookmarkStart w:id="431" w:name="_Toc15038"/>
      <w:bookmarkStart w:id="432" w:name="_Toc32035"/>
      <w:bookmarkStart w:id="433" w:name="_Toc9109"/>
      <w:bookmarkStart w:id="434" w:name="_Toc15832"/>
      <w:bookmarkStart w:id="435" w:name="_Toc6438"/>
      <w:bookmarkStart w:id="436" w:name="_Toc3282"/>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404"/>
      <w:bookmarkEnd w:id="405"/>
    </w:p>
    <w:bookmarkEnd w:id="397"/>
    <w:bookmarkEnd w:id="398"/>
    <w:bookmarkEnd w:id="399"/>
    <w:bookmarkEnd w:id="400"/>
    <w:bookmarkEnd w:id="401"/>
    <w:bookmarkEnd w:id="402"/>
    <w:bookmarkEnd w:id="403"/>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14:paraId="3AE4D202">
      <w:pPr>
        <w:pStyle w:val="6"/>
        <w:keepNext/>
        <w:keepLines w:val="0"/>
        <w:pageBreakBefore w:val="0"/>
        <w:widowControl w:val="0"/>
        <w:kinsoku/>
        <w:wordWrap/>
        <w:overflowPunct/>
        <w:topLinePunct w:val="0"/>
        <w:autoSpaceDE/>
        <w:autoSpaceDN/>
        <w:bidi w:val="0"/>
        <w:adjustRightInd/>
        <w:snapToGrid/>
        <w:spacing w:before="0" w:beforeLines="50" w:after="0" w:afterLines="50" w:line="264" w:lineRule="auto"/>
        <w:ind w:left="0" w:firstLine="0"/>
        <w:textAlignment w:val="auto"/>
        <w:rPr>
          <w:color w:val="auto"/>
        </w:rPr>
      </w:pPr>
      <w:bookmarkStart w:id="437" w:name="_Toc3408"/>
      <w:bookmarkStart w:id="438" w:name="_Toc16135"/>
      <w:bookmarkStart w:id="439" w:name="_Toc15793"/>
      <w:bookmarkStart w:id="440" w:name="_Toc18168"/>
      <w:bookmarkStart w:id="441" w:name="_Toc26478"/>
      <w:bookmarkStart w:id="442" w:name="_Toc13126"/>
      <w:bookmarkStart w:id="443" w:name="_Toc24036"/>
      <w:bookmarkStart w:id="444" w:name="_Toc23754"/>
      <w:bookmarkStart w:id="445" w:name="_Toc24099_WPSOffice_Level2"/>
      <w:bookmarkStart w:id="446" w:name="_Toc27955"/>
      <w:bookmarkStart w:id="447" w:name="_Toc29510"/>
      <w:bookmarkStart w:id="448" w:name="_Toc3691"/>
      <w:bookmarkStart w:id="449" w:name="_Toc3711"/>
      <w:bookmarkStart w:id="450" w:name="_Toc21296"/>
      <w:bookmarkStart w:id="451" w:name="_Toc1660"/>
      <w:bookmarkStart w:id="452" w:name="_Toc14512"/>
      <w:bookmarkStart w:id="453" w:name="_Toc20153"/>
      <w:bookmarkStart w:id="454" w:name="_Toc31434"/>
      <w:r>
        <w:rPr>
          <w:rFonts w:hint="eastAsia"/>
          <w:color w:val="auto"/>
        </w:rPr>
        <w:t>一、</w:t>
      </w:r>
      <w:bookmarkEnd w:id="437"/>
      <w:bookmarkEnd w:id="438"/>
      <w:bookmarkEnd w:id="439"/>
      <w:bookmarkEnd w:id="440"/>
      <w:bookmarkEnd w:id="441"/>
      <w:bookmarkEnd w:id="442"/>
      <w:bookmarkEnd w:id="443"/>
      <w:bookmarkStart w:id="455" w:name="_Toc19947"/>
      <w:bookmarkStart w:id="456" w:name="_Toc18217"/>
      <w:r>
        <w:rPr>
          <w:rFonts w:hint="eastAsia"/>
          <w:color w:val="auto"/>
        </w:rPr>
        <w:t>货物清单及技术服务要求</w:t>
      </w:r>
      <w:bookmarkEnd w:id="444"/>
      <w:bookmarkEnd w:id="445"/>
      <w:bookmarkEnd w:id="455"/>
      <w:bookmarkEnd w:id="456"/>
    </w:p>
    <w:tbl>
      <w:tblPr>
        <w:tblStyle w:val="47"/>
        <w:tblW w:w="9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45"/>
        <w:gridCol w:w="2250"/>
        <w:gridCol w:w="795"/>
        <w:gridCol w:w="1290"/>
        <w:gridCol w:w="1575"/>
      </w:tblGrid>
      <w:tr w14:paraId="7921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039" w:type="dxa"/>
            <w:tcBorders>
              <w:top w:val="single" w:color="auto" w:sz="4" w:space="0"/>
              <w:left w:val="single" w:color="auto" w:sz="4" w:space="0"/>
              <w:bottom w:val="single" w:color="auto" w:sz="4" w:space="0"/>
              <w:right w:val="single" w:color="auto" w:sz="4" w:space="0"/>
            </w:tcBorders>
            <w:vAlign w:val="center"/>
          </w:tcPr>
          <w:p w14:paraId="2698D0BA">
            <w:pPr>
              <w:keepLines w:val="0"/>
              <w:pageBreakBefore w:val="0"/>
              <w:widowControl w:val="0"/>
              <w:kinsoku/>
              <w:wordWrap/>
              <w:overflowPunct/>
              <w:topLinePunct w:val="0"/>
              <w:autoSpaceDE/>
              <w:autoSpaceDN/>
              <w:bidi w:val="0"/>
              <w:adjustRightInd/>
              <w:spacing w:line="264" w:lineRule="auto"/>
              <w:jc w:val="center"/>
              <w:textAlignment w:val="auto"/>
              <w:rPr>
                <w:rFonts w:ascii="宋体" w:hAnsi="宋体" w:cs="宋体"/>
                <w:bCs/>
                <w:color w:val="auto"/>
                <w:spacing w:val="-6"/>
                <w:sz w:val="24"/>
              </w:rPr>
            </w:pPr>
            <w:r>
              <w:rPr>
                <w:rFonts w:hint="eastAsia" w:ascii="宋体" w:hAnsi="宋体" w:cs="宋体"/>
                <w:bCs/>
                <w:color w:val="auto"/>
                <w:spacing w:val="-6"/>
                <w:sz w:val="24"/>
              </w:rPr>
              <w:t>序号</w:t>
            </w:r>
          </w:p>
        </w:tc>
        <w:tc>
          <w:tcPr>
            <w:tcW w:w="2445" w:type="dxa"/>
            <w:tcBorders>
              <w:top w:val="single" w:color="auto" w:sz="4" w:space="0"/>
              <w:left w:val="single" w:color="auto" w:sz="4" w:space="0"/>
              <w:bottom w:val="single" w:color="auto" w:sz="4" w:space="0"/>
              <w:right w:val="single" w:color="auto" w:sz="4" w:space="0"/>
            </w:tcBorders>
            <w:vAlign w:val="center"/>
          </w:tcPr>
          <w:p w14:paraId="1424CD50">
            <w:pPr>
              <w:keepLines w:val="0"/>
              <w:pageBreakBefore w:val="0"/>
              <w:widowControl w:val="0"/>
              <w:kinsoku/>
              <w:wordWrap/>
              <w:overflowPunct/>
              <w:topLinePunct w:val="0"/>
              <w:autoSpaceDE/>
              <w:autoSpaceDN/>
              <w:bidi w:val="0"/>
              <w:adjustRightInd/>
              <w:spacing w:line="264" w:lineRule="auto"/>
              <w:jc w:val="center"/>
              <w:textAlignment w:val="auto"/>
              <w:rPr>
                <w:rFonts w:hint="eastAsia" w:ascii="宋体" w:hAnsi="宋体" w:eastAsia="宋体" w:cs="宋体"/>
                <w:bCs/>
                <w:color w:val="auto"/>
                <w:spacing w:val="-6"/>
                <w:sz w:val="24"/>
                <w:lang w:eastAsia="zh-CN"/>
              </w:rPr>
            </w:pPr>
            <w:r>
              <w:rPr>
                <w:rFonts w:hint="eastAsia" w:ascii="宋体" w:hAnsi="宋体" w:cs="宋体"/>
                <w:bCs/>
                <w:color w:val="auto"/>
                <w:spacing w:val="-6"/>
                <w:sz w:val="24"/>
                <w:lang w:val="en-US" w:eastAsia="zh-CN"/>
              </w:rPr>
              <w:t>货物</w:t>
            </w:r>
          </w:p>
        </w:tc>
        <w:tc>
          <w:tcPr>
            <w:tcW w:w="2250" w:type="dxa"/>
            <w:tcBorders>
              <w:top w:val="single" w:color="auto" w:sz="4" w:space="0"/>
              <w:left w:val="single" w:color="auto" w:sz="4" w:space="0"/>
              <w:bottom w:val="single" w:color="auto" w:sz="4" w:space="0"/>
              <w:right w:val="single" w:color="000000" w:sz="4" w:space="0"/>
            </w:tcBorders>
            <w:vAlign w:val="center"/>
          </w:tcPr>
          <w:p w14:paraId="76AF2030">
            <w:pPr>
              <w:keepLines w:val="0"/>
              <w:pageBreakBefore w:val="0"/>
              <w:widowControl w:val="0"/>
              <w:kinsoku/>
              <w:wordWrap/>
              <w:overflowPunct/>
              <w:topLinePunct w:val="0"/>
              <w:autoSpaceDE/>
              <w:autoSpaceDN/>
              <w:bidi w:val="0"/>
              <w:adjustRightInd/>
              <w:spacing w:line="264" w:lineRule="auto"/>
              <w:jc w:val="center"/>
              <w:textAlignment w:val="auto"/>
              <w:rPr>
                <w:rFonts w:ascii="宋体" w:hAnsi="宋体" w:cs="宋体"/>
                <w:bCs/>
                <w:color w:val="auto"/>
                <w:spacing w:val="-6"/>
                <w:sz w:val="24"/>
              </w:rPr>
            </w:pPr>
            <w:r>
              <w:rPr>
                <w:rFonts w:hint="eastAsia" w:ascii="宋体" w:hAnsi="宋体" w:cs="宋体"/>
                <w:bCs/>
                <w:color w:val="auto"/>
                <w:spacing w:val="-6"/>
                <w:sz w:val="24"/>
              </w:rPr>
              <w:t>简述</w:t>
            </w:r>
          </w:p>
        </w:tc>
        <w:tc>
          <w:tcPr>
            <w:tcW w:w="795" w:type="dxa"/>
            <w:tcBorders>
              <w:top w:val="single" w:color="auto" w:sz="4" w:space="0"/>
              <w:left w:val="single" w:color="000000" w:sz="4" w:space="0"/>
              <w:bottom w:val="single" w:color="auto" w:sz="4" w:space="0"/>
              <w:right w:val="single" w:color="auto" w:sz="4" w:space="0"/>
            </w:tcBorders>
            <w:vAlign w:val="center"/>
          </w:tcPr>
          <w:p w14:paraId="4D7BEDD8">
            <w:pPr>
              <w:keepLines w:val="0"/>
              <w:pageBreakBefore w:val="0"/>
              <w:widowControl w:val="0"/>
              <w:kinsoku/>
              <w:wordWrap/>
              <w:overflowPunct/>
              <w:topLinePunct w:val="0"/>
              <w:autoSpaceDE/>
              <w:autoSpaceDN/>
              <w:bidi w:val="0"/>
              <w:adjustRightInd/>
              <w:spacing w:line="264" w:lineRule="auto"/>
              <w:jc w:val="center"/>
              <w:textAlignment w:val="auto"/>
              <w:rPr>
                <w:rFonts w:ascii="宋体" w:hAnsi="宋体" w:cs="宋体"/>
                <w:bCs/>
                <w:color w:val="auto"/>
                <w:spacing w:val="-6"/>
                <w:sz w:val="24"/>
              </w:rPr>
            </w:pPr>
            <w:r>
              <w:rPr>
                <w:rFonts w:hint="eastAsia" w:ascii="宋体" w:hAnsi="宋体" w:cs="宋体"/>
                <w:bCs/>
                <w:color w:val="auto"/>
                <w:spacing w:val="-6"/>
                <w:sz w:val="24"/>
              </w:rPr>
              <w:t>数量</w:t>
            </w:r>
          </w:p>
        </w:tc>
        <w:tc>
          <w:tcPr>
            <w:tcW w:w="1290" w:type="dxa"/>
            <w:tcBorders>
              <w:top w:val="single" w:color="auto" w:sz="4" w:space="0"/>
              <w:left w:val="single" w:color="auto" w:sz="4" w:space="0"/>
              <w:bottom w:val="single" w:color="auto" w:sz="4" w:space="0"/>
              <w:right w:val="single" w:color="auto" w:sz="4" w:space="0"/>
            </w:tcBorders>
            <w:vAlign w:val="center"/>
          </w:tcPr>
          <w:p w14:paraId="23BDB160">
            <w:pPr>
              <w:keepLines w:val="0"/>
              <w:pageBreakBefore w:val="0"/>
              <w:widowControl w:val="0"/>
              <w:kinsoku/>
              <w:wordWrap/>
              <w:overflowPunct/>
              <w:topLinePunct w:val="0"/>
              <w:autoSpaceDE/>
              <w:autoSpaceDN/>
              <w:bidi w:val="0"/>
              <w:adjustRightInd/>
              <w:spacing w:line="264" w:lineRule="auto"/>
              <w:jc w:val="center"/>
              <w:textAlignment w:val="auto"/>
              <w:rPr>
                <w:rFonts w:ascii="宋体" w:hAnsi="宋体" w:cs="宋体"/>
                <w:bCs/>
                <w:color w:val="auto"/>
                <w:spacing w:val="-6"/>
                <w:sz w:val="24"/>
              </w:rPr>
            </w:pPr>
            <w:r>
              <w:rPr>
                <w:rFonts w:hint="eastAsia" w:ascii="宋体" w:hAnsi="宋体" w:cs="宋体"/>
                <w:bCs/>
                <w:color w:val="auto"/>
                <w:spacing w:val="-6"/>
                <w:sz w:val="24"/>
              </w:rPr>
              <w:t>最高限价</w:t>
            </w:r>
          </w:p>
        </w:tc>
        <w:tc>
          <w:tcPr>
            <w:tcW w:w="1575" w:type="dxa"/>
            <w:tcBorders>
              <w:top w:val="single" w:color="auto" w:sz="4" w:space="0"/>
              <w:left w:val="single" w:color="auto" w:sz="4" w:space="0"/>
              <w:bottom w:val="single" w:color="auto" w:sz="4" w:space="0"/>
              <w:right w:val="single" w:color="auto" w:sz="4" w:space="0"/>
            </w:tcBorders>
            <w:vAlign w:val="center"/>
          </w:tcPr>
          <w:p w14:paraId="4C3FA7BB">
            <w:pPr>
              <w:keepLines w:val="0"/>
              <w:pageBreakBefore w:val="0"/>
              <w:widowControl w:val="0"/>
              <w:kinsoku/>
              <w:wordWrap/>
              <w:overflowPunct/>
              <w:topLinePunct w:val="0"/>
              <w:autoSpaceDE/>
              <w:autoSpaceDN/>
              <w:bidi w:val="0"/>
              <w:adjustRightInd/>
              <w:spacing w:line="264" w:lineRule="auto"/>
              <w:ind w:firstLine="211"/>
              <w:jc w:val="center"/>
              <w:textAlignment w:val="auto"/>
              <w:rPr>
                <w:rFonts w:ascii="宋体" w:hAnsi="宋体" w:cs="宋体"/>
                <w:bCs/>
                <w:color w:val="auto"/>
                <w:spacing w:val="-6"/>
                <w:sz w:val="24"/>
              </w:rPr>
            </w:pPr>
            <w:r>
              <w:rPr>
                <w:rFonts w:hint="eastAsia" w:ascii="宋体" w:hAnsi="宋体" w:cs="宋体"/>
                <w:bCs/>
                <w:color w:val="auto"/>
                <w:spacing w:val="-6"/>
                <w:sz w:val="24"/>
              </w:rPr>
              <w:t>预算</w:t>
            </w:r>
          </w:p>
        </w:tc>
      </w:tr>
      <w:tr w14:paraId="1049B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039" w:type="dxa"/>
            <w:tcBorders>
              <w:top w:val="single" w:color="auto" w:sz="4" w:space="0"/>
              <w:left w:val="single" w:color="auto" w:sz="4" w:space="0"/>
              <w:bottom w:val="single" w:color="auto" w:sz="4" w:space="0"/>
              <w:right w:val="single" w:color="auto" w:sz="4" w:space="0"/>
            </w:tcBorders>
            <w:vAlign w:val="center"/>
          </w:tcPr>
          <w:p w14:paraId="0881825C">
            <w:pPr>
              <w:keepLines w:val="0"/>
              <w:pageBreakBefore w:val="0"/>
              <w:widowControl w:val="0"/>
              <w:kinsoku/>
              <w:wordWrap/>
              <w:overflowPunct/>
              <w:topLinePunct w:val="0"/>
              <w:autoSpaceDE/>
              <w:autoSpaceDN/>
              <w:bidi w:val="0"/>
              <w:adjustRightInd/>
              <w:spacing w:line="264" w:lineRule="auto"/>
              <w:jc w:val="center"/>
              <w:textAlignment w:val="auto"/>
              <w:rPr>
                <w:rFonts w:hint="default" w:ascii="宋体" w:hAnsi="宋体" w:eastAsia="宋体" w:cs="宋体"/>
                <w:bCs/>
                <w:color w:val="auto"/>
                <w:spacing w:val="-6"/>
                <w:sz w:val="24"/>
                <w:lang w:val="en-US" w:eastAsia="zh-CN"/>
              </w:rPr>
            </w:pPr>
            <w:r>
              <w:rPr>
                <w:rFonts w:hint="eastAsia" w:ascii="宋体" w:hAnsi="宋体" w:cs="宋体"/>
                <w:bCs/>
                <w:color w:val="auto"/>
                <w:spacing w:val="-6"/>
                <w:sz w:val="24"/>
                <w:lang w:val="en-US" w:eastAsia="zh-CN"/>
              </w:rPr>
              <w:t>标项一</w:t>
            </w:r>
          </w:p>
        </w:tc>
        <w:tc>
          <w:tcPr>
            <w:tcW w:w="2445" w:type="dxa"/>
            <w:tcBorders>
              <w:top w:val="single" w:color="auto" w:sz="4" w:space="0"/>
              <w:left w:val="single" w:color="auto" w:sz="4" w:space="0"/>
              <w:bottom w:val="single" w:color="auto" w:sz="4" w:space="0"/>
              <w:right w:val="single" w:color="auto" w:sz="4" w:space="0"/>
            </w:tcBorders>
            <w:vAlign w:val="center"/>
          </w:tcPr>
          <w:p w14:paraId="6800C4F9">
            <w:pPr>
              <w:keepLines w:val="0"/>
              <w:pageBreakBefore w:val="0"/>
              <w:widowControl w:val="0"/>
              <w:kinsoku/>
              <w:wordWrap/>
              <w:overflowPunct/>
              <w:topLinePunct w:val="0"/>
              <w:autoSpaceDE/>
              <w:autoSpaceDN/>
              <w:bidi w:val="0"/>
              <w:adjustRightInd/>
              <w:spacing w:line="264" w:lineRule="auto"/>
              <w:jc w:val="center"/>
              <w:textAlignment w:val="auto"/>
              <w:rPr>
                <w:rFonts w:ascii="宋体" w:hAnsi="宋体" w:cs="宋体"/>
                <w:bCs/>
                <w:color w:val="auto"/>
                <w:spacing w:val="-6"/>
                <w:sz w:val="24"/>
              </w:rPr>
            </w:pPr>
            <w:r>
              <w:rPr>
                <w:rFonts w:hint="eastAsia" w:ascii="宋体" w:hAnsi="宋体" w:cs="宋体"/>
                <w:bCs/>
                <w:color w:val="auto"/>
                <w:spacing w:val="-6"/>
                <w:sz w:val="24"/>
              </w:rPr>
              <w:t>2026年外文纸质图书1</w:t>
            </w:r>
          </w:p>
        </w:tc>
        <w:tc>
          <w:tcPr>
            <w:tcW w:w="2250" w:type="dxa"/>
            <w:tcBorders>
              <w:top w:val="single" w:color="auto" w:sz="4" w:space="0"/>
              <w:left w:val="single" w:color="auto" w:sz="4" w:space="0"/>
              <w:bottom w:val="single" w:color="auto" w:sz="4" w:space="0"/>
              <w:right w:val="single" w:color="000000" w:sz="4" w:space="0"/>
            </w:tcBorders>
            <w:vAlign w:val="center"/>
          </w:tcPr>
          <w:p w14:paraId="4F339E6A">
            <w:pPr>
              <w:keepLines w:val="0"/>
              <w:pageBreakBefore w:val="0"/>
              <w:widowControl w:val="0"/>
              <w:kinsoku/>
              <w:wordWrap/>
              <w:overflowPunct/>
              <w:topLinePunct w:val="0"/>
              <w:autoSpaceDE/>
              <w:autoSpaceDN/>
              <w:bidi w:val="0"/>
              <w:adjustRightInd/>
              <w:spacing w:line="264" w:lineRule="auto"/>
              <w:jc w:val="center"/>
              <w:textAlignment w:val="auto"/>
              <w:rPr>
                <w:rFonts w:hint="eastAsia" w:ascii="宋体" w:hAnsi="宋体" w:eastAsia="宋体" w:cs="宋体"/>
                <w:bCs/>
                <w:color w:val="auto"/>
                <w:spacing w:val="-6"/>
                <w:sz w:val="24"/>
                <w:lang w:eastAsia="zh-CN"/>
              </w:rPr>
            </w:pPr>
            <w:r>
              <w:rPr>
                <w:rFonts w:hint="eastAsia" w:ascii="宋体" w:hAnsi="宋体" w:cs="宋体"/>
                <w:bCs/>
                <w:color w:val="auto"/>
                <w:spacing w:val="-6"/>
                <w:sz w:val="24"/>
              </w:rPr>
              <w:t>自然科学类及其他</w:t>
            </w:r>
            <w:r>
              <w:rPr>
                <w:rFonts w:hint="eastAsia" w:ascii="宋体" w:hAnsi="宋体" w:cs="宋体"/>
                <w:bCs/>
                <w:color w:val="auto"/>
                <w:spacing w:val="-6"/>
                <w:sz w:val="24"/>
                <w:lang w:eastAsia="zh-CN"/>
              </w:rPr>
              <w:t>，</w:t>
            </w:r>
          </w:p>
          <w:p w14:paraId="4931DC2C">
            <w:pPr>
              <w:keepLines w:val="0"/>
              <w:pageBreakBefore w:val="0"/>
              <w:widowControl w:val="0"/>
              <w:kinsoku/>
              <w:wordWrap/>
              <w:overflowPunct/>
              <w:topLinePunct w:val="0"/>
              <w:autoSpaceDE/>
              <w:autoSpaceDN/>
              <w:bidi w:val="0"/>
              <w:adjustRightInd/>
              <w:spacing w:line="264" w:lineRule="auto"/>
              <w:jc w:val="center"/>
              <w:textAlignment w:val="auto"/>
              <w:rPr>
                <w:rFonts w:ascii="宋体" w:hAnsi="宋体" w:cs="宋体"/>
                <w:bCs/>
                <w:color w:val="auto"/>
                <w:spacing w:val="-6"/>
                <w:sz w:val="24"/>
              </w:rPr>
            </w:pPr>
            <w:r>
              <w:rPr>
                <w:rFonts w:hint="eastAsia" w:ascii="宋体" w:hAnsi="宋体" w:cs="宋体"/>
                <w:bCs/>
                <w:color w:val="auto"/>
                <w:spacing w:val="-6"/>
                <w:sz w:val="24"/>
              </w:rPr>
              <w:t>详见采购需求</w:t>
            </w:r>
          </w:p>
        </w:tc>
        <w:tc>
          <w:tcPr>
            <w:tcW w:w="795" w:type="dxa"/>
            <w:tcBorders>
              <w:top w:val="single" w:color="auto" w:sz="4" w:space="0"/>
              <w:left w:val="single" w:color="000000" w:sz="4" w:space="0"/>
              <w:bottom w:val="single" w:color="auto" w:sz="4" w:space="0"/>
              <w:right w:val="single" w:color="auto" w:sz="4" w:space="0"/>
            </w:tcBorders>
            <w:vAlign w:val="center"/>
          </w:tcPr>
          <w:p w14:paraId="56E4A765">
            <w:pPr>
              <w:keepLines w:val="0"/>
              <w:pageBreakBefore w:val="0"/>
              <w:widowControl w:val="0"/>
              <w:kinsoku/>
              <w:wordWrap/>
              <w:overflowPunct/>
              <w:topLinePunct w:val="0"/>
              <w:autoSpaceDE/>
              <w:autoSpaceDN/>
              <w:bidi w:val="0"/>
              <w:adjustRightInd/>
              <w:spacing w:line="264" w:lineRule="auto"/>
              <w:jc w:val="center"/>
              <w:textAlignment w:val="auto"/>
              <w:rPr>
                <w:rFonts w:ascii="宋体" w:hAnsi="宋体" w:cs="宋体"/>
                <w:bCs/>
                <w:color w:val="auto"/>
                <w:spacing w:val="-6"/>
                <w:sz w:val="24"/>
              </w:rPr>
            </w:pPr>
            <w:r>
              <w:rPr>
                <w:rFonts w:hint="eastAsia" w:ascii="宋体" w:hAnsi="宋体" w:cs="宋体"/>
                <w:bCs/>
                <w:color w:val="auto"/>
                <w:spacing w:val="-6"/>
                <w:sz w:val="24"/>
              </w:rPr>
              <w:t>1批</w:t>
            </w:r>
          </w:p>
        </w:tc>
        <w:tc>
          <w:tcPr>
            <w:tcW w:w="1290" w:type="dxa"/>
            <w:tcBorders>
              <w:top w:val="single" w:color="auto" w:sz="4" w:space="0"/>
              <w:left w:val="single" w:color="auto" w:sz="4" w:space="0"/>
              <w:bottom w:val="single" w:color="auto" w:sz="4" w:space="0"/>
              <w:right w:val="single" w:color="auto" w:sz="4" w:space="0"/>
            </w:tcBorders>
            <w:vAlign w:val="center"/>
          </w:tcPr>
          <w:p w14:paraId="1B6BA9DF">
            <w:pPr>
              <w:keepLines w:val="0"/>
              <w:pageBreakBefore w:val="0"/>
              <w:widowControl w:val="0"/>
              <w:kinsoku/>
              <w:wordWrap/>
              <w:overflowPunct/>
              <w:topLinePunct w:val="0"/>
              <w:autoSpaceDE/>
              <w:autoSpaceDN/>
              <w:bidi w:val="0"/>
              <w:adjustRightInd/>
              <w:spacing w:line="264" w:lineRule="auto"/>
              <w:jc w:val="center"/>
              <w:textAlignment w:val="auto"/>
              <w:rPr>
                <w:rFonts w:ascii="宋体" w:hAnsi="宋体" w:cs="宋体"/>
                <w:bCs/>
                <w:color w:val="auto"/>
                <w:spacing w:val="-6"/>
                <w:sz w:val="24"/>
              </w:rPr>
            </w:pPr>
            <w:r>
              <w:rPr>
                <w:rFonts w:hint="eastAsia" w:ascii="宋体" w:hAnsi="宋体" w:cs="宋体"/>
                <w:bCs/>
                <w:color w:val="auto"/>
                <w:spacing w:val="-6"/>
                <w:sz w:val="24"/>
              </w:rPr>
              <w:t>最高折扣84%</w:t>
            </w:r>
          </w:p>
        </w:tc>
        <w:tc>
          <w:tcPr>
            <w:tcW w:w="1575" w:type="dxa"/>
            <w:tcBorders>
              <w:top w:val="single" w:color="auto" w:sz="4" w:space="0"/>
              <w:left w:val="single" w:color="auto" w:sz="4" w:space="0"/>
              <w:bottom w:val="single" w:color="auto" w:sz="4" w:space="0"/>
              <w:right w:val="single" w:color="auto" w:sz="4" w:space="0"/>
            </w:tcBorders>
            <w:vAlign w:val="center"/>
          </w:tcPr>
          <w:p w14:paraId="52642C5F">
            <w:pPr>
              <w:keepLines w:val="0"/>
              <w:pageBreakBefore w:val="0"/>
              <w:widowControl w:val="0"/>
              <w:kinsoku/>
              <w:wordWrap/>
              <w:overflowPunct/>
              <w:topLinePunct w:val="0"/>
              <w:autoSpaceDE/>
              <w:autoSpaceDN/>
              <w:bidi w:val="0"/>
              <w:adjustRightInd/>
              <w:spacing w:line="264" w:lineRule="auto"/>
              <w:jc w:val="both"/>
              <w:textAlignment w:val="auto"/>
              <w:rPr>
                <w:rFonts w:ascii="宋体" w:hAnsi="宋体" w:cs="宋体"/>
                <w:bCs/>
                <w:color w:val="auto"/>
                <w:spacing w:val="-6"/>
                <w:sz w:val="24"/>
              </w:rPr>
            </w:pPr>
            <w:r>
              <w:rPr>
                <w:rFonts w:hint="eastAsia" w:ascii="宋体" w:hAnsi="宋体" w:cs="宋体"/>
                <w:bCs/>
                <w:color w:val="auto"/>
                <w:spacing w:val="-6"/>
                <w:sz w:val="24"/>
              </w:rPr>
              <w:t>￥</w:t>
            </w:r>
            <w:r>
              <w:rPr>
                <w:rFonts w:ascii="宋体" w:hAnsi="宋体" w:cs="宋体"/>
                <w:bCs/>
                <w:color w:val="auto"/>
                <w:spacing w:val="-6"/>
                <w:sz w:val="24"/>
              </w:rPr>
              <w:t>1</w:t>
            </w:r>
            <w:r>
              <w:rPr>
                <w:rFonts w:hint="eastAsia" w:ascii="宋体" w:hAnsi="宋体" w:cs="宋体"/>
                <w:bCs/>
                <w:color w:val="auto"/>
                <w:spacing w:val="-6"/>
                <w:sz w:val="24"/>
              </w:rPr>
              <w:t>00000元</w:t>
            </w:r>
          </w:p>
        </w:tc>
      </w:tr>
      <w:tr w14:paraId="70754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039" w:type="dxa"/>
            <w:tcBorders>
              <w:top w:val="single" w:color="auto" w:sz="4" w:space="0"/>
              <w:left w:val="single" w:color="auto" w:sz="4" w:space="0"/>
              <w:bottom w:val="single" w:color="auto" w:sz="4" w:space="0"/>
              <w:right w:val="single" w:color="auto" w:sz="4" w:space="0"/>
            </w:tcBorders>
            <w:vAlign w:val="center"/>
          </w:tcPr>
          <w:p w14:paraId="4C48A443">
            <w:pPr>
              <w:keepLines w:val="0"/>
              <w:pageBreakBefore w:val="0"/>
              <w:widowControl w:val="0"/>
              <w:kinsoku/>
              <w:wordWrap/>
              <w:overflowPunct/>
              <w:topLinePunct w:val="0"/>
              <w:autoSpaceDE/>
              <w:autoSpaceDN/>
              <w:bidi w:val="0"/>
              <w:adjustRightInd/>
              <w:spacing w:line="264" w:lineRule="auto"/>
              <w:jc w:val="center"/>
              <w:textAlignment w:val="auto"/>
              <w:rPr>
                <w:rFonts w:hint="default" w:ascii="宋体" w:hAnsi="宋体" w:eastAsia="宋体" w:cs="宋体"/>
                <w:bCs/>
                <w:color w:val="auto"/>
                <w:spacing w:val="-6"/>
                <w:sz w:val="24"/>
                <w:lang w:val="en-US" w:eastAsia="zh-CN"/>
              </w:rPr>
            </w:pPr>
            <w:r>
              <w:rPr>
                <w:rFonts w:hint="eastAsia" w:ascii="宋体" w:hAnsi="宋体" w:cs="宋体"/>
                <w:bCs/>
                <w:color w:val="auto"/>
                <w:spacing w:val="-6"/>
                <w:sz w:val="24"/>
                <w:lang w:val="en-US" w:eastAsia="zh-CN"/>
              </w:rPr>
              <w:t>标项二</w:t>
            </w:r>
          </w:p>
        </w:tc>
        <w:tc>
          <w:tcPr>
            <w:tcW w:w="2445" w:type="dxa"/>
            <w:tcBorders>
              <w:top w:val="single" w:color="auto" w:sz="4" w:space="0"/>
              <w:left w:val="single" w:color="auto" w:sz="4" w:space="0"/>
              <w:bottom w:val="single" w:color="auto" w:sz="4" w:space="0"/>
              <w:right w:val="single" w:color="auto" w:sz="4" w:space="0"/>
            </w:tcBorders>
            <w:vAlign w:val="center"/>
          </w:tcPr>
          <w:p w14:paraId="76AF7B77">
            <w:pPr>
              <w:keepLines w:val="0"/>
              <w:pageBreakBefore w:val="0"/>
              <w:widowControl w:val="0"/>
              <w:kinsoku/>
              <w:wordWrap/>
              <w:overflowPunct/>
              <w:topLinePunct w:val="0"/>
              <w:autoSpaceDE/>
              <w:autoSpaceDN/>
              <w:bidi w:val="0"/>
              <w:adjustRightInd/>
              <w:spacing w:line="264" w:lineRule="auto"/>
              <w:jc w:val="center"/>
              <w:textAlignment w:val="auto"/>
              <w:rPr>
                <w:rFonts w:hint="eastAsia" w:ascii="宋体" w:hAnsi="宋体" w:cs="宋体"/>
                <w:bCs/>
                <w:color w:val="auto"/>
                <w:spacing w:val="-6"/>
                <w:sz w:val="24"/>
              </w:rPr>
            </w:pPr>
            <w:r>
              <w:rPr>
                <w:rFonts w:hint="eastAsia" w:ascii="宋体" w:hAnsi="宋体" w:cs="宋体"/>
                <w:bCs/>
                <w:color w:val="auto"/>
                <w:spacing w:val="-6"/>
                <w:sz w:val="24"/>
              </w:rPr>
              <w:t>2026年外文纸质图书2</w:t>
            </w:r>
          </w:p>
        </w:tc>
        <w:tc>
          <w:tcPr>
            <w:tcW w:w="2250" w:type="dxa"/>
            <w:tcBorders>
              <w:top w:val="single" w:color="auto" w:sz="4" w:space="0"/>
              <w:left w:val="single" w:color="auto" w:sz="4" w:space="0"/>
              <w:bottom w:val="single" w:color="auto" w:sz="4" w:space="0"/>
              <w:right w:val="single" w:color="000000" w:sz="4" w:space="0"/>
            </w:tcBorders>
            <w:vAlign w:val="center"/>
          </w:tcPr>
          <w:p w14:paraId="0CADEE8C">
            <w:pPr>
              <w:keepLines w:val="0"/>
              <w:pageBreakBefore w:val="0"/>
              <w:widowControl w:val="0"/>
              <w:kinsoku/>
              <w:wordWrap/>
              <w:overflowPunct/>
              <w:topLinePunct w:val="0"/>
              <w:autoSpaceDE/>
              <w:autoSpaceDN/>
              <w:bidi w:val="0"/>
              <w:adjustRightInd/>
              <w:spacing w:line="264" w:lineRule="auto"/>
              <w:jc w:val="center"/>
              <w:textAlignment w:val="auto"/>
              <w:rPr>
                <w:rFonts w:hint="eastAsia" w:ascii="宋体" w:hAnsi="宋体" w:eastAsia="宋体" w:cs="宋体"/>
                <w:bCs/>
                <w:color w:val="auto"/>
                <w:spacing w:val="-6"/>
                <w:sz w:val="24"/>
                <w:lang w:eastAsia="zh-CN"/>
              </w:rPr>
            </w:pPr>
            <w:r>
              <w:rPr>
                <w:rFonts w:hint="eastAsia" w:ascii="宋体" w:hAnsi="宋体" w:cs="宋体"/>
                <w:bCs/>
                <w:color w:val="auto"/>
                <w:spacing w:val="-6"/>
                <w:sz w:val="24"/>
              </w:rPr>
              <w:t>人文社科类及其他</w:t>
            </w:r>
            <w:r>
              <w:rPr>
                <w:rFonts w:hint="eastAsia" w:ascii="宋体" w:hAnsi="宋体" w:cs="宋体"/>
                <w:bCs/>
                <w:color w:val="auto"/>
                <w:spacing w:val="-6"/>
                <w:sz w:val="24"/>
                <w:lang w:eastAsia="zh-CN"/>
              </w:rPr>
              <w:t>，</w:t>
            </w:r>
          </w:p>
          <w:p w14:paraId="27DAE17A">
            <w:pPr>
              <w:keepLines w:val="0"/>
              <w:pageBreakBefore w:val="0"/>
              <w:widowControl w:val="0"/>
              <w:kinsoku/>
              <w:wordWrap/>
              <w:overflowPunct/>
              <w:topLinePunct w:val="0"/>
              <w:autoSpaceDE/>
              <w:autoSpaceDN/>
              <w:bidi w:val="0"/>
              <w:adjustRightInd/>
              <w:spacing w:line="264" w:lineRule="auto"/>
              <w:jc w:val="center"/>
              <w:textAlignment w:val="auto"/>
              <w:rPr>
                <w:rFonts w:hint="eastAsia" w:ascii="宋体" w:hAnsi="宋体" w:cs="宋体"/>
                <w:bCs/>
                <w:color w:val="auto"/>
                <w:spacing w:val="-6"/>
                <w:sz w:val="24"/>
              </w:rPr>
            </w:pPr>
            <w:r>
              <w:rPr>
                <w:rFonts w:hint="eastAsia" w:ascii="宋体" w:hAnsi="宋体" w:cs="宋体"/>
                <w:bCs/>
                <w:color w:val="auto"/>
                <w:spacing w:val="-6"/>
                <w:sz w:val="24"/>
              </w:rPr>
              <w:t>详见采购需求</w:t>
            </w:r>
          </w:p>
        </w:tc>
        <w:tc>
          <w:tcPr>
            <w:tcW w:w="795" w:type="dxa"/>
            <w:tcBorders>
              <w:top w:val="single" w:color="auto" w:sz="4" w:space="0"/>
              <w:left w:val="single" w:color="000000" w:sz="4" w:space="0"/>
              <w:bottom w:val="single" w:color="auto" w:sz="4" w:space="0"/>
              <w:right w:val="single" w:color="auto" w:sz="4" w:space="0"/>
            </w:tcBorders>
            <w:vAlign w:val="center"/>
          </w:tcPr>
          <w:p w14:paraId="5E00B37A">
            <w:pPr>
              <w:keepLines w:val="0"/>
              <w:pageBreakBefore w:val="0"/>
              <w:widowControl w:val="0"/>
              <w:kinsoku/>
              <w:wordWrap/>
              <w:overflowPunct/>
              <w:topLinePunct w:val="0"/>
              <w:autoSpaceDE/>
              <w:autoSpaceDN/>
              <w:bidi w:val="0"/>
              <w:adjustRightInd/>
              <w:spacing w:line="264" w:lineRule="auto"/>
              <w:jc w:val="center"/>
              <w:textAlignment w:val="auto"/>
              <w:rPr>
                <w:rFonts w:hint="eastAsia" w:ascii="宋体" w:hAnsi="宋体" w:cs="宋体"/>
                <w:bCs/>
                <w:color w:val="auto"/>
                <w:spacing w:val="-6"/>
                <w:sz w:val="24"/>
              </w:rPr>
            </w:pPr>
            <w:r>
              <w:rPr>
                <w:rFonts w:hint="eastAsia" w:ascii="宋体" w:hAnsi="宋体" w:cs="宋体"/>
                <w:bCs/>
                <w:color w:val="auto"/>
                <w:spacing w:val="-6"/>
                <w:sz w:val="24"/>
              </w:rPr>
              <w:t>1批</w:t>
            </w:r>
          </w:p>
        </w:tc>
        <w:tc>
          <w:tcPr>
            <w:tcW w:w="1290" w:type="dxa"/>
            <w:tcBorders>
              <w:top w:val="single" w:color="auto" w:sz="4" w:space="0"/>
              <w:left w:val="single" w:color="auto" w:sz="4" w:space="0"/>
              <w:bottom w:val="single" w:color="auto" w:sz="4" w:space="0"/>
              <w:right w:val="single" w:color="auto" w:sz="4" w:space="0"/>
            </w:tcBorders>
            <w:vAlign w:val="center"/>
          </w:tcPr>
          <w:p w14:paraId="2A12578F">
            <w:pPr>
              <w:keepLines w:val="0"/>
              <w:pageBreakBefore w:val="0"/>
              <w:widowControl w:val="0"/>
              <w:kinsoku/>
              <w:wordWrap/>
              <w:overflowPunct/>
              <w:topLinePunct w:val="0"/>
              <w:autoSpaceDE/>
              <w:autoSpaceDN/>
              <w:bidi w:val="0"/>
              <w:adjustRightInd/>
              <w:spacing w:line="264" w:lineRule="auto"/>
              <w:jc w:val="center"/>
              <w:textAlignment w:val="auto"/>
              <w:rPr>
                <w:rFonts w:hint="eastAsia" w:ascii="宋体" w:hAnsi="宋体" w:cs="宋体"/>
                <w:bCs/>
                <w:color w:val="auto"/>
                <w:spacing w:val="-6"/>
                <w:sz w:val="24"/>
              </w:rPr>
            </w:pPr>
            <w:r>
              <w:rPr>
                <w:rFonts w:hint="eastAsia" w:ascii="宋体" w:hAnsi="宋体" w:cs="宋体"/>
                <w:bCs/>
                <w:color w:val="auto"/>
                <w:spacing w:val="-6"/>
                <w:sz w:val="24"/>
              </w:rPr>
              <w:t>最高折扣84%</w:t>
            </w:r>
          </w:p>
        </w:tc>
        <w:tc>
          <w:tcPr>
            <w:tcW w:w="1575" w:type="dxa"/>
            <w:tcBorders>
              <w:top w:val="single" w:color="auto" w:sz="4" w:space="0"/>
              <w:left w:val="single" w:color="auto" w:sz="4" w:space="0"/>
              <w:bottom w:val="single" w:color="auto" w:sz="4" w:space="0"/>
              <w:right w:val="single" w:color="auto" w:sz="4" w:space="0"/>
            </w:tcBorders>
            <w:vAlign w:val="center"/>
          </w:tcPr>
          <w:p w14:paraId="3ED43073">
            <w:pPr>
              <w:keepLines w:val="0"/>
              <w:pageBreakBefore w:val="0"/>
              <w:widowControl w:val="0"/>
              <w:kinsoku/>
              <w:wordWrap/>
              <w:overflowPunct/>
              <w:topLinePunct w:val="0"/>
              <w:autoSpaceDE/>
              <w:autoSpaceDN/>
              <w:bidi w:val="0"/>
              <w:adjustRightInd/>
              <w:spacing w:line="264" w:lineRule="auto"/>
              <w:jc w:val="both"/>
              <w:textAlignment w:val="auto"/>
              <w:rPr>
                <w:rFonts w:hint="eastAsia" w:ascii="宋体" w:hAnsi="宋体" w:cs="宋体"/>
                <w:bCs/>
                <w:color w:val="auto"/>
                <w:spacing w:val="-6"/>
                <w:sz w:val="24"/>
              </w:rPr>
            </w:pPr>
            <w:r>
              <w:rPr>
                <w:rFonts w:hint="eastAsia" w:ascii="宋体" w:hAnsi="宋体" w:cs="宋体"/>
                <w:bCs/>
                <w:color w:val="auto"/>
                <w:spacing w:val="-6"/>
                <w:sz w:val="24"/>
              </w:rPr>
              <w:t>￥100000元</w:t>
            </w:r>
          </w:p>
        </w:tc>
      </w:tr>
    </w:tbl>
    <w:p w14:paraId="2F4BB09F">
      <w:pPr>
        <w:keepLines w:val="0"/>
        <w:pageBreakBefore w:val="0"/>
        <w:widowControl w:val="0"/>
        <w:kinsoku/>
        <w:wordWrap/>
        <w:overflowPunct/>
        <w:topLinePunct w:val="0"/>
        <w:autoSpaceDE/>
        <w:autoSpaceDN/>
        <w:bidi w:val="0"/>
        <w:adjustRightInd/>
        <w:snapToGrid w:val="0"/>
        <w:spacing w:line="264" w:lineRule="auto"/>
        <w:ind w:firstLine="482" w:firstLineChars="200"/>
        <w:textAlignment w:val="auto"/>
        <w:rPr>
          <w:rFonts w:ascii="宋体" w:hAnsi="宋体" w:cs="宋体"/>
          <w:b/>
          <w:color w:val="auto"/>
          <w:sz w:val="24"/>
        </w:rPr>
      </w:pPr>
      <w:bookmarkStart w:id="457" w:name="OLE_LINK8"/>
      <w:r>
        <w:rPr>
          <w:rFonts w:hint="eastAsia" w:ascii="宋体" w:hAnsi="宋体" w:cs="宋体"/>
          <w:b/>
          <w:color w:val="auto"/>
          <w:sz w:val="24"/>
        </w:rPr>
        <w:t>（一）具体技术要求：</w:t>
      </w:r>
    </w:p>
    <w:p w14:paraId="16E2E6F9">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hint="eastAsia" w:ascii="宋体" w:hAnsi="宋体" w:cs="宋体"/>
          <w:color w:val="auto"/>
          <w:sz w:val="24"/>
        </w:rPr>
        <w:t>1.供应商为专门从事图书经销的法人单位，有从事图书经销和数据加工业务的专业人员。近两年有供应图书并提供相应机读数据（采访、编目）的经历。</w:t>
      </w:r>
    </w:p>
    <w:p w14:paraId="74B66E08">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hint="eastAsia" w:ascii="宋体" w:hAnsi="宋体" w:cs="宋体"/>
          <w:color w:val="auto"/>
          <w:sz w:val="24"/>
        </w:rPr>
        <w:t>2.供应商无条件、及时、定期提供国外各类型出版社目录（纸版、电子版）及其他专业书目及报价。供应商能够</w:t>
      </w:r>
      <w:r>
        <w:rPr>
          <w:color w:val="auto"/>
          <w:sz w:val="24"/>
        </w:rPr>
        <w:t>组织参加全国大型原版书展</w:t>
      </w:r>
      <w:r>
        <w:rPr>
          <w:rFonts w:hint="eastAsia"/>
          <w:color w:val="auto"/>
          <w:sz w:val="24"/>
        </w:rPr>
        <w:t>、</w:t>
      </w:r>
      <w:r>
        <w:rPr>
          <w:color w:val="auto"/>
          <w:sz w:val="24"/>
        </w:rPr>
        <w:t>举办原版学术新书展</w:t>
      </w:r>
      <w:r>
        <w:rPr>
          <w:rFonts w:hint="eastAsia" w:ascii="宋体" w:hAnsi="宋体" w:cs="宋体"/>
          <w:color w:val="auto"/>
          <w:sz w:val="24"/>
        </w:rPr>
        <w:t>及其他支撑服务。供应商负责提供标准的新书征订书目数据和机读编目数据（数据要求参见《中国机读目录式使用手册》、《CALIS联机合作编制手册》），并且其数据须完全符合用户图书集成管理系统的格式及运行要求，提供的所有数据都能在用户系统无障碍的使用。提供图书加工工作（包括书目数据著录、盖章、打印书标、贴条形码、磁条和书标）和典藏分配工作。</w:t>
      </w:r>
    </w:p>
    <w:p w14:paraId="6EF433D0">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hint="eastAsia" w:ascii="宋体" w:hAnsi="宋体" w:cs="宋体"/>
          <w:color w:val="auto"/>
          <w:sz w:val="24"/>
        </w:rPr>
        <w:t>3.供应商应根据本校的订购情况建立“杭州电子科技大学图书馆预订图书数据库”，有对用户预订的图书进行查重的能力。用户可以退回由于采访数据不完整而造成错订的图书。</w:t>
      </w:r>
    </w:p>
    <w:p w14:paraId="39007DE6">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hint="eastAsia" w:ascii="宋体" w:hAnsi="宋体" w:cs="宋体"/>
          <w:color w:val="auto"/>
          <w:sz w:val="24"/>
        </w:rPr>
        <w:t>4.供应商能按用户的订购书目提供未经使用的正版图书。图书来源渠道较广，经营图书品种丰富</w:t>
      </w:r>
      <w:r>
        <w:rPr>
          <w:rFonts w:hint="eastAsia" w:ascii="宋体" w:hAnsi="宋体" w:cs="宋体"/>
          <w:b/>
          <w:color w:val="auto"/>
          <w:sz w:val="24"/>
        </w:rPr>
        <w:t>。</w:t>
      </w:r>
    </w:p>
    <w:p w14:paraId="58A613D8">
      <w:pPr>
        <w:keepLines w:val="0"/>
        <w:pageBreakBefore w:val="0"/>
        <w:widowControl w:val="0"/>
        <w:kinsoku/>
        <w:wordWrap/>
        <w:overflowPunct/>
        <w:topLinePunct w:val="0"/>
        <w:autoSpaceDE/>
        <w:autoSpaceDN/>
        <w:bidi w:val="0"/>
        <w:adjustRightInd/>
        <w:spacing w:line="264" w:lineRule="auto"/>
        <w:ind w:firstLine="480" w:firstLineChars="200"/>
        <w:textAlignment w:val="auto"/>
        <w:rPr>
          <w:rFonts w:ascii="宋体" w:hAnsi="宋体" w:cs="宋体"/>
          <w:color w:val="auto"/>
          <w:sz w:val="24"/>
        </w:rPr>
      </w:pPr>
      <w:r>
        <w:rPr>
          <w:rFonts w:hint="eastAsia" w:ascii="宋体" w:hAnsi="宋体" w:cs="宋体"/>
          <w:color w:val="auto"/>
          <w:sz w:val="24"/>
        </w:rPr>
        <w:t>5.供应商能提供符合国家财税法律规定要求的售书发票。</w:t>
      </w:r>
    </w:p>
    <w:p w14:paraId="0799EAF8">
      <w:pPr>
        <w:keepLines w:val="0"/>
        <w:pageBreakBefore w:val="0"/>
        <w:widowControl w:val="0"/>
        <w:kinsoku/>
        <w:wordWrap/>
        <w:overflowPunct/>
        <w:topLinePunct w:val="0"/>
        <w:autoSpaceDE/>
        <w:autoSpaceDN/>
        <w:bidi w:val="0"/>
        <w:adjustRightInd/>
        <w:snapToGrid w:val="0"/>
        <w:spacing w:line="264" w:lineRule="auto"/>
        <w:ind w:firstLine="482" w:firstLineChars="200"/>
        <w:textAlignment w:val="auto"/>
        <w:rPr>
          <w:rFonts w:ascii="宋体" w:hAnsi="宋体" w:cs="宋体"/>
          <w:b/>
          <w:color w:val="auto"/>
          <w:sz w:val="24"/>
        </w:rPr>
      </w:pPr>
      <w:r>
        <w:rPr>
          <w:rFonts w:hint="eastAsia" w:ascii="宋体" w:hAnsi="宋体" w:cs="宋体"/>
          <w:b/>
          <w:color w:val="auto"/>
          <w:sz w:val="24"/>
        </w:rPr>
        <w:t>（二）具体服务要求：</w:t>
      </w:r>
    </w:p>
    <w:p w14:paraId="05F51174">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hint="eastAsia" w:ascii="宋体" w:hAnsi="宋体" w:cs="宋体"/>
          <w:color w:val="auto"/>
          <w:sz w:val="24"/>
        </w:rPr>
        <w:t>1.供应商在收到图书订单后应及时回复，确认是否收到订单，并按用户提出的书目及包装要求，将加工好的图书及时送交到用户指定地点，为此所发生的费用全部由供应商承担。</w:t>
      </w:r>
    </w:p>
    <w:p w14:paraId="18CF6F4E">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hint="eastAsia" w:ascii="宋体" w:hAnsi="宋体" w:cs="宋体"/>
          <w:color w:val="auto"/>
          <w:sz w:val="24"/>
        </w:rPr>
        <w:t>2.供应商必须按用户订购的图书品种、数量及时供货，除取消出版、出版变更或发生影响协议履行的不可抗力事情外，若不能按时供货的图书种数或册数超过订单订购数的20%即可认定该供应商不具备供货条件。一旦用户提出终止供货的要求，该供应商必须接受，终止供货造成的损失由供应商承担。为尽可能消除因供应商不能按协议规定要求供货所造成的影响，用户有权采取相应的补救措施（如直接向出版商邮购图书或向其他供应商补订图书），由此给用户造成的各项损失或增加的各项费用（如折扣损失、邮费、数据费、加工费）等均由违约的供应商承担。</w:t>
      </w:r>
    </w:p>
    <w:p w14:paraId="26C4BEBE">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ascii="宋体" w:hAnsi="宋体" w:cs="宋体"/>
          <w:color w:val="auto"/>
          <w:sz w:val="24"/>
        </w:rPr>
        <w:t>3</w:t>
      </w:r>
      <w:r>
        <w:rPr>
          <w:rFonts w:hint="eastAsia" w:ascii="宋体" w:hAnsi="宋体" w:cs="宋体"/>
          <w:color w:val="auto"/>
          <w:sz w:val="24"/>
        </w:rPr>
        <w:t>.供应商在递交每一批图书时，同时免费提供加盖供应商公章的该批图书的清单一式两份，以及规范的机读编目数据（US MARC）及对应的EXCEL格式书目文件各一份。图书分类应采用现行（中图法）的最新版本。</w:t>
      </w:r>
    </w:p>
    <w:p w14:paraId="5EBFF15E">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ascii="宋体" w:hAnsi="宋体" w:cs="宋体"/>
          <w:color w:val="auto"/>
          <w:sz w:val="24"/>
        </w:rPr>
        <w:t>4</w:t>
      </w:r>
      <w:r>
        <w:rPr>
          <w:rFonts w:hint="eastAsia" w:ascii="宋体" w:hAnsi="宋体" w:cs="宋体"/>
          <w:color w:val="auto"/>
          <w:sz w:val="24"/>
        </w:rPr>
        <w:t>.供应商对送交到用户的图书不能有任何质量问题。若验收时发现有污染、图文不清、缺页、倒装、缺附件等不合格的图书，以及与订单不符的图书，一律予以退货，不能以已加工为理由拒绝，由此造成的损失及费用全部由供应商承担。若发现明显不适宜用户收藏的图书，供应商应允许用户无条件退还。</w:t>
      </w:r>
    </w:p>
    <w:p w14:paraId="7C40F88A">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ascii="宋体" w:hAnsi="宋体" w:cs="宋体"/>
          <w:color w:val="auto"/>
          <w:sz w:val="24"/>
        </w:rPr>
        <w:t>5</w:t>
      </w:r>
      <w:r>
        <w:rPr>
          <w:rFonts w:hint="eastAsia" w:ascii="宋体" w:hAnsi="宋体" w:cs="宋体"/>
          <w:color w:val="auto"/>
          <w:sz w:val="24"/>
        </w:rPr>
        <w:t>.</w:t>
      </w:r>
      <w:r>
        <w:rPr>
          <w:rFonts w:hint="eastAsia"/>
          <w:color w:val="auto"/>
        </w:rPr>
        <w:t xml:space="preserve"> </w:t>
      </w:r>
      <w:r>
        <w:rPr>
          <w:rFonts w:hint="eastAsia" w:ascii="宋体" w:hAnsi="宋体" w:cs="宋体"/>
          <w:color w:val="auto"/>
          <w:sz w:val="24"/>
        </w:rPr>
        <w:t>供应商应根据用户要求给每册图书加盖馆藏章（以及所附光盘、磁带等其它附件加盖相应章）加贴16CM新安全可充消磁条，所需材料费用均由供应商承担。</w:t>
      </w:r>
    </w:p>
    <w:p w14:paraId="6E19DAFD">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ascii="宋体" w:hAnsi="宋体" w:cs="宋体"/>
          <w:color w:val="auto"/>
          <w:sz w:val="24"/>
        </w:rPr>
        <w:t>6</w:t>
      </w:r>
      <w:r>
        <w:rPr>
          <w:rFonts w:hint="eastAsia" w:ascii="宋体" w:hAnsi="宋体" w:cs="宋体"/>
          <w:color w:val="auto"/>
          <w:sz w:val="24"/>
        </w:rPr>
        <w:t>.供应商在收到用户订单后，现货60日、期货180日还不能到货的图书，列出清单,并说明原因向用户反馈。用户根据实际情况再确定是否改换供应商或继续征订。</w:t>
      </w:r>
    </w:p>
    <w:p w14:paraId="14AF3F1F">
      <w:pPr>
        <w:keepLines w:val="0"/>
        <w:pageBreakBefore w:val="0"/>
        <w:widowControl w:val="0"/>
        <w:kinsoku/>
        <w:wordWrap/>
        <w:overflowPunct/>
        <w:topLinePunct w:val="0"/>
        <w:autoSpaceDE/>
        <w:autoSpaceDN/>
        <w:bidi w:val="0"/>
        <w:adjustRightInd/>
        <w:spacing w:line="264" w:lineRule="auto"/>
        <w:ind w:firstLine="480" w:firstLineChars="200"/>
        <w:textAlignment w:val="auto"/>
        <w:rPr>
          <w:rFonts w:ascii="宋体" w:hAnsi="宋体" w:cs="宋体"/>
          <w:color w:val="auto"/>
          <w:sz w:val="24"/>
        </w:rPr>
      </w:pPr>
      <w:r>
        <w:rPr>
          <w:rFonts w:ascii="宋体" w:hAnsi="宋体" w:cs="宋体"/>
          <w:color w:val="auto"/>
          <w:sz w:val="24"/>
        </w:rPr>
        <w:t>7</w:t>
      </w:r>
      <w:r>
        <w:rPr>
          <w:rFonts w:hint="eastAsia" w:ascii="宋体" w:hAnsi="宋体" w:cs="宋体"/>
          <w:color w:val="auto"/>
          <w:sz w:val="24"/>
        </w:rPr>
        <w:t>.供应商应在用户提供订单后及时征订图书，并及时反馈后续图书征订信息。现采图书1个月内到馆率不低于98%。电子订单预订图书前6个月的到馆率不低于90%，全年平均到馆率不得低于90%。</w:t>
      </w:r>
    </w:p>
    <w:p w14:paraId="6011747D">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bCs/>
          <w:color w:val="auto"/>
          <w:sz w:val="24"/>
        </w:rPr>
      </w:pPr>
      <w:r>
        <w:rPr>
          <w:rFonts w:ascii="宋体" w:hAnsi="宋体" w:cs="宋体"/>
          <w:bCs/>
          <w:color w:val="auto"/>
          <w:sz w:val="24"/>
        </w:rPr>
        <w:t>8</w:t>
      </w:r>
      <w:r>
        <w:rPr>
          <w:rFonts w:hint="eastAsia" w:ascii="宋体" w:hAnsi="宋体" w:cs="宋体"/>
          <w:bCs/>
          <w:color w:val="auto"/>
          <w:sz w:val="24"/>
        </w:rPr>
        <w:t>.图书加工要求：</w:t>
      </w:r>
    </w:p>
    <w:p w14:paraId="1E511643">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hint="eastAsia" w:ascii="宋体" w:hAnsi="宋体" w:cs="宋体"/>
          <w:color w:val="auto"/>
          <w:sz w:val="24"/>
        </w:rPr>
        <w:t>（1）根据用户要求在指定时间内到图书馆现场进行到馆加工，主要包含以下工序：拆包核对；根据要求盖馆藏章以及其它相应章，书名页正中合适位置盖方型馆藏章（出版社上方需留出贴条码位置），目录页上方空白位置盖方型馆藏章，书口盖椭圆型章，有章均为蓝色，要求盖得工整、无残缺；贴16CM新安全可充消磁条，装的磁条应该隐蔽、平整；在指定位置贴条形码（条形码由甲方提供）；进行文献分类编目（分类编目须严格遵循《中国图书分类法》第五版及新版中国机读目录格式使用手册（2012年版）有关之规则，具体要求以甲方图书馆要求为准）；打印、粘贴图书书标，加透明保护膜（书标和保护膜由图书馆提供）；图书典藏；图书入库上架。</w:t>
      </w:r>
    </w:p>
    <w:p w14:paraId="4E3D4039">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hint="eastAsia" w:ascii="宋体" w:hAnsi="宋体" w:cs="宋体"/>
          <w:color w:val="auto"/>
          <w:sz w:val="24"/>
        </w:rPr>
        <w:t>（2）供应商不得以任何理由拒绝完成用户按工作规范提出的修改任务，用户对此种修改不承担任何费用。</w:t>
      </w:r>
    </w:p>
    <w:p w14:paraId="167118DD">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ascii="宋体" w:hAnsi="宋体" w:cs="宋体"/>
          <w:color w:val="auto"/>
          <w:sz w:val="24"/>
        </w:rPr>
      </w:pPr>
      <w:r>
        <w:rPr>
          <w:rFonts w:hint="eastAsia" w:ascii="宋体" w:hAnsi="宋体" w:cs="宋体"/>
          <w:color w:val="auto"/>
          <w:sz w:val="24"/>
        </w:rPr>
        <w:t>（3）因供应商原因，发生图书的漏编、错编、误加工等错误，供应商有义务纠正并按要求补编、改正并承担相应费用。</w:t>
      </w:r>
    </w:p>
    <w:p w14:paraId="57B9759D">
      <w:pPr>
        <w:keepLines w:val="0"/>
        <w:pageBreakBefore w:val="0"/>
        <w:widowControl w:val="0"/>
        <w:kinsoku/>
        <w:wordWrap/>
        <w:overflowPunct/>
        <w:topLinePunct w:val="0"/>
        <w:autoSpaceDE/>
        <w:autoSpaceDN/>
        <w:bidi w:val="0"/>
        <w:adjustRightInd/>
        <w:spacing w:line="264" w:lineRule="auto"/>
        <w:ind w:firstLine="480" w:firstLineChars="200"/>
        <w:textAlignment w:val="auto"/>
        <w:rPr>
          <w:rFonts w:ascii="宋体" w:hAnsi="宋体" w:cs="宋体"/>
          <w:color w:val="auto"/>
          <w:sz w:val="24"/>
        </w:rPr>
      </w:pPr>
      <w:r>
        <w:rPr>
          <w:rFonts w:ascii="宋体" w:hAnsi="宋体" w:cs="宋体"/>
          <w:color w:val="auto"/>
          <w:sz w:val="24"/>
        </w:rPr>
        <w:t>（</w:t>
      </w:r>
      <w:r>
        <w:rPr>
          <w:rFonts w:hint="eastAsia" w:ascii="宋体" w:hAnsi="宋体" w:cs="宋体"/>
          <w:color w:val="auto"/>
          <w:sz w:val="24"/>
        </w:rPr>
        <w:t>4</w:t>
      </w:r>
      <w:r>
        <w:rPr>
          <w:rFonts w:ascii="宋体" w:hAnsi="宋体" w:cs="宋体"/>
          <w:color w:val="auto"/>
          <w:sz w:val="24"/>
        </w:rPr>
        <w:t>）供应商应确保编目图书和书目数据安全。合作期间，因供应商原因造成编目图书损坏或遗失情况，有权向供应商提出索赔。合作期间编制的书目数据，供应商不得以任何名义向外泄露。</w:t>
      </w:r>
    </w:p>
    <w:p w14:paraId="6F9C6D9F">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rPr>
      </w:pPr>
      <w:r>
        <w:rPr>
          <w:rFonts w:hint="eastAsia" w:ascii="宋体" w:hAnsi="宋体" w:cs="宋体"/>
          <w:bCs/>
          <w:color w:val="auto"/>
          <w:sz w:val="24"/>
          <w:szCs w:val="22"/>
        </w:rPr>
        <w:t>9、特色服务：提供支持图书馆建设及阅读推广活动方案，供应商提供详细方案。</w:t>
      </w:r>
      <w:bookmarkEnd w:id="457"/>
    </w:p>
    <w:p w14:paraId="6374556E">
      <w:pPr>
        <w:keepLines w:val="0"/>
        <w:pageBreakBefore w:val="0"/>
        <w:widowControl w:val="0"/>
        <w:kinsoku/>
        <w:wordWrap/>
        <w:overflowPunct/>
        <w:topLinePunct w:val="0"/>
        <w:autoSpaceDE/>
        <w:autoSpaceDN/>
        <w:bidi w:val="0"/>
        <w:adjustRightInd/>
        <w:snapToGrid w:val="0"/>
        <w:spacing w:line="264" w:lineRule="auto"/>
        <w:ind w:firstLine="482" w:firstLineChars="200"/>
        <w:textAlignment w:val="auto"/>
        <w:rPr>
          <w:rFonts w:hint="eastAsia" w:ascii="宋体" w:hAnsi="宋体" w:cs="宋体"/>
          <w:b/>
          <w:color w:val="auto"/>
          <w:sz w:val="24"/>
          <w:szCs w:val="22"/>
          <w:lang w:val="zh-CN"/>
        </w:rPr>
      </w:pPr>
      <w:r>
        <w:rPr>
          <w:rFonts w:hint="eastAsia" w:ascii="宋体" w:hAnsi="宋体" w:cs="宋体"/>
          <w:b/>
          <w:color w:val="auto"/>
          <w:sz w:val="24"/>
          <w:szCs w:val="22"/>
          <w:lang w:val="zh-CN"/>
        </w:rPr>
        <w:t>（</w:t>
      </w:r>
      <w:r>
        <w:rPr>
          <w:rFonts w:hint="eastAsia" w:ascii="宋体" w:hAnsi="宋体" w:cs="宋体"/>
          <w:b/>
          <w:color w:val="auto"/>
          <w:sz w:val="24"/>
          <w:szCs w:val="22"/>
          <w:lang w:val="en-US" w:eastAsia="zh-CN"/>
        </w:rPr>
        <w:t>三</w:t>
      </w:r>
      <w:r>
        <w:rPr>
          <w:rFonts w:hint="eastAsia" w:ascii="宋体" w:hAnsi="宋体" w:cs="宋体"/>
          <w:b/>
          <w:color w:val="auto"/>
          <w:sz w:val="24"/>
          <w:szCs w:val="22"/>
          <w:lang w:val="zh-CN"/>
        </w:rPr>
        <w:t>）质量保证与售后服务：</w:t>
      </w:r>
    </w:p>
    <w:p w14:paraId="702DDBA0">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rPr>
      </w:pPr>
      <w:r>
        <w:rPr>
          <w:rFonts w:hint="eastAsia" w:ascii="宋体" w:hAnsi="宋体" w:cs="宋体"/>
          <w:bCs/>
          <w:color w:val="auto"/>
          <w:sz w:val="24"/>
          <w:szCs w:val="22"/>
          <w:lang w:val="en-US" w:eastAsia="zh-CN"/>
        </w:rPr>
        <w:t>1</w:t>
      </w:r>
      <w:r>
        <w:rPr>
          <w:rFonts w:hint="eastAsia" w:ascii="宋体" w:hAnsi="宋体" w:cs="宋体"/>
          <w:bCs/>
          <w:color w:val="auto"/>
          <w:sz w:val="24"/>
          <w:szCs w:val="22"/>
          <w:lang w:val="zh-CN"/>
        </w:rPr>
        <w:t>.甲方因误订不适合馆藏的图书，在未加盖馆藏章、不影响第二次销售的情况下，乙方应允许退货。</w:t>
      </w:r>
    </w:p>
    <w:p w14:paraId="3AF84A1E">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rPr>
      </w:pPr>
      <w:r>
        <w:rPr>
          <w:rFonts w:hint="eastAsia" w:ascii="宋体" w:hAnsi="宋体" w:cs="宋体"/>
          <w:bCs/>
          <w:color w:val="auto"/>
          <w:sz w:val="24"/>
          <w:szCs w:val="22"/>
          <w:lang w:val="en-US" w:eastAsia="zh-CN"/>
        </w:rPr>
        <w:t>2</w:t>
      </w:r>
      <w:r>
        <w:rPr>
          <w:rFonts w:hint="eastAsia" w:ascii="宋体" w:hAnsi="宋体" w:cs="宋体"/>
          <w:bCs/>
          <w:color w:val="auto"/>
          <w:sz w:val="24"/>
          <w:szCs w:val="22"/>
          <w:lang w:val="zh-CN"/>
        </w:rPr>
        <w:t>.出现以下情况乙方承诺无条件予以退换，并承担所退图书的运输费用：</w:t>
      </w:r>
    </w:p>
    <w:p w14:paraId="45E79C02">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rPr>
      </w:pPr>
      <w:r>
        <w:rPr>
          <w:rFonts w:hint="eastAsia" w:ascii="宋体" w:hAnsi="宋体" w:cs="宋体"/>
          <w:bCs/>
          <w:color w:val="auto"/>
          <w:sz w:val="24"/>
          <w:szCs w:val="22"/>
          <w:lang w:val="zh-CN"/>
        </w:rPr>
        <w:t>(1)运输过程中出现图书破损、污损；</w:t>
      </w:r>
      <w:r>
        <w:rPr>
          <w:rFonts w:hint="eastAsia" w:ascii="宋体" w:hAnsi="宋体" w:cs="宋体"/>
          <w:bCs/>
          <w:color w:val="auto"/>
          <w:sz w:val="24"/>
          <w:szCs w:val="22"/>
        </w:rPr>
        <w:t>\</w:t>
      </w:r>
      <w:r>
        <w:rPr>
          <w:rFonts w:hint="eastAsia" w:ascii="宋体" w:hAnsi="宋体" w:cs="宋体"/>
          <w:bCs/>
          <w:color w:val="auto"/>
          <w:sz w:val="24"/>
          <w:szCs w:val="22"/>
          <w:lang w:val="zh-CN"/>
        </w:rPr>
        <w:t>(2)出版社印刷、装订造成的图书质量问题；</w:t>
      </w:r>
    </w:p>
    <w:p w14:paraId="0D07BC54">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rPr>
      </w:pPr>
      <w:r>
        <w:rPr>
          <w:rFonts w:hint="eastAsia" w:ascii="宋体" w:hAnsi="宋体" w:cs="宋体"/>
          <w:bCs/>
          <w:color w:val="auto"/>
          <w:sz w:val="24"/>
          <w:szCs w:val="22"/>
          <w:lang w:val="zh-CN"/>
        </w:rPr>
        <w:t>(3)活页书、袋装书、线装书，小于64开本（包括64开）的图书以及明显不适合甲方收藏的图书；</w:t>
      </w:r>
    </w:p>
    <w:p w14:paraId="3ACED4BF">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rPr>
      </w:pPr>
      <w:r>
        <w:rPr>
          <w:rFonts w:hint="eastAsia" w:ascii="宋体" w:hAnsi="宋体" w:cs="宋体"/>
          <w:bCs/>
          <w:color w:val="auto"/>
          <w:sz w:val="24"/>
          <w:szCs w:val="22"/>
          <w:lang w:val="zh-CN"/>
        </w:rPr>
        <w:t>(4)实际到书与采访订单不符（书名、ISBN、出版年、价格等）的图书；</w:t>
      </w:r>
    </w:p>
    <w:p w14:paraId="6CCBD476">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rPr>
      </w:pPr>
      <w:r>
        <w:rPr>
          <w:rFonts w:hint="eastAsia" w:ascii="宋体" w:hAnsi="宋体" w:cs="宋体"/>
          <w:bCs/>
          <w:color w:val="auto"/>
          <w:sz w:val="24"/>
          <w:szCs w:val="22"/>
          <w:lang w:val="zh-CN"/>
        </w:rPr>
        <w:t>(5)由于乙方原因造成的错发、重发的图书；</w:t>
      </w:r>
    </w:p>
    <w:p w14:paraId="29CD7138">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rPr>
      </w:pPr>
      <w:r>
        <w:rPr>
          <w:rFonts w:hint="eastAsia" w:ascii="宋体" w:hAnsi="宋体" w:cs="宋体"/>
          <w:bCs/>
          <w:color w:val="auto"/>
          <w:sz w:val="24"/>
          <w:szCs w:val="22"/>
          <w:lang w:val="zh-CN"/>
        </w:rPr>
        <w:t>(6)因乙方提供书目信息错误或不明确（如读者对象、版次未注明等）而造成甲方订购错误的图书。</w:t>
      </w:r>
    </w:p>
    <w:p w14:paraId="26688727">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rPr>
      </w:pPr>
      <w:r>
        <w:rPr>
          <w:rFonts w:hint="eastAsia" w:ascii="宋体" w:hAnsi="宋体" w:cs="宋体"/>
          <w:bCs/>
          <w:color w:val="auto"/>
          <w:sz w:val="24"/>
          <w:szCs w:val="22"/>
          <w:lang w:val="en-US" w:eastAsia="zh-CN"/>
        </w:rPr>
        <w:t>3</w:t>
      </w:r>
      <w:r>
        <w:rPr>
          <w:rFonts w:hint="eastAsia" w:ascii="宋体" w:hAnsi="宋体" w:cs="宋体"/>
          <w:bCs/>
          <w:color w:val="auto"/>
          <w:sz w:val="24"/>
          <w:szCs w:val="22"/>
          <w:lang w:val="zh-CN"/>
        </w:rPr>
        <w:t>.订购图书涨价超过30%，乙方未征求甲方意见，甲方可以退货，乙方不得拒绝。</w:t>
      </w:r>
    </w:p>
    <w:p w14:paraId="3949029B">
      <w:pPr>
        <w:keepLines w:val="0"/>
        <w:pageBreakBefore w:val="0"/>
        <w:widowControl w:val="0"/>
        <w:kinsoku/>
        <w:wordWrap/>
        <w:overflowPunct/>
        <w:topLinePunct w:val="0"/>
        <w:autoSpaceDE/>
        <w:autoSpaceDN/>
        <w:bidi w:val="0"/>
        <w:adjustRightInd/>
        <w:snapToGrid w:val="0"/>
        <w:spacing w:line="264" w:lineRule="auto"/>
        <w:ind w:firstLine="482" w:firstLineChars="200"/>
        <w:textAlignment w:val="auto"/>
        <w:rPr>
          <w:rFonts w:hint="default" w:ascii="宋体" w:hAnsi="宋体" w:cs="宋体"/>
          <w:b/>
          <w:color w:val="auto"/>
          <w:sz w:val="24"/>
          <w:szCs w:val="22"/>
          <w:lang w:val="en-US" w:eastAsia="zh-CN"/>
        </w:rPr>
      </w:pPr>
      <w:r>
        <w:rPr>
          <w:rFonts w:hint="eastAsia" w:ascii="宋体" w:hAnsi="宋体" w:cs="宋体"/>
          <w:b/>
          <w:color w:val="auto"/>
          <w:sz w:val="24"/>
          <w:szCs w:val="22"/>
          <w:lang w:val="en-US" w:eastAsia="zh-CN"/>
        </w:rPr>
        <w:t>（四）违约责任</w:t>
      </w:r>
    </w:p>
    <w:p w14:paraId="1EECCDBA">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eastAsia="zh-CN"/>
        </w:rPr>
      </w:pPr>
      <w:r>
        <w:rPr>
          <w:rFonts w:hint="eastAsia" w:ascii="宋体" w:hAnsi="宋体" w:cs="宋体"/>
          <w:bCs/>
          <w:color w:val="auto"/>
          <w:sz w:val="24"/>
          <w:szCs w:val="22"/>
          <w:lang w:val="zh-CN" w:eastAsia="zh-CN"/>
        </w:rPr>
        <w:t>乙方出现以下情况之一，将视为乙方违约，甲方有权终止合同(协议)，所产生的一切后果由乙方负责。</w:t>
      </w:r>
    </w:p>
    <w:p w14:paraId="2D8B03EF">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en-US" w:eastAsia="zh-CN"/>
        </w:rPr>
      </w:pPr>
      <w:r>
        <w:rPr>
          <w:rFonts w:hint="eastAsia" w:ascii="宋体" w:hAnsi="宋体" w:cs="宋体"/>
          <w:bCs/>
          <w:color w:val="auto"/>
          <w:sz w:val="24"/>
          <w:szCs w:val="22"/>
          <w:lang w:val="zh-CN" w:eastAsia="zh-CN"/>
        </w:rPr>
        <w:t>（1）配发高价低折类图书、特价类图书；</w:t>
      </w:r>
    </w:p>
    <w:p w14:paraId="4D9AD9F3">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eastAsia="zh-CN"/>
        </w:rPr>
      </w:pPr>
      <w:r>
        <w:rPr>
          <w:rFonts w:hint="eastAsia" w:ascii="宋体" w:hAnsi="宋体" w:cs="宋体"/>
          <w:bCs/>
          <w:color w:val="auto"/>
          <w:sz w:val="24"/>
          <w:szCs w:val="22"/>
          <w:lang w:val="zh-CN" w:eastAsia="zh-CN"/>
        </w:rPr>
        <w:t>（2）未经甲方同意私自搭配图书；</w:t>
      </w:r>
    </w:p>
    <w:p w14:paraId="23998914">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en-US" w:eastAsia="zh-CN"/>
        </w:rPr>
      </w:pPr>
      <w:r>
        <w:rPr>
          <w:rFonts w:hint="eastAsia" w:ascii="宋体" w:hAnsi="宋体" w:cs="宋体"/>
          <w:bCs/>
          <w:color w:val="auto"/>
          <w:sz w:val="24"/>
          <w:szCs w:val="22"/>
          <w:lang w:val="zh-CN" w:eastAsia="zh-CN"/>
        </w:rPr>
        <w:t>（3）配发盗版、盗印图书及其他非法出版物；</w:t>
      </w:r>
    </w:p>
    <w:p w14:paraId="2094FDE6">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eastAsia="zh-CN"/>
        </w:rPr>
      </w:pPr>
      <w:r>
        <w:rPr>
          <w:rFonts w:hint="eastAsia" w:ascii="宋体" w:hAnsi="宋体" w:cs="宋体"/>
          <w:bCs/>
          <w:color w:val="auto"/>
          <w:sz w:val="24"/>
          <w:szCs w:val="22"/>
          <w:lang w:val="zh-CN" w:eastAsia="zh-CN"/>
        </w:rPr>
        <w:t>（4）未按甲方要求提供承诺的加工服务，差错率高，经提醒未及时整改；</w:t>
      </w:r>
    </w:p>
    <w:p w14:paraId="0051ADD8">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eastAsia="zh-CN"/>
        </w:rPr>
      </w:pPr>
      <w:r>
        <w:rPr>
          <w:rFonts w:hint="eastAsia" w:ascii="宋体" w:hAnsi="宋体" w:cs="宋体"/>
          <w:bCs/>
          <w:color w:val="auto"/>
          <w:sz w:val="24"/>
          <w:szCs w:val="22"/>
          <w:lang w:val="zh-CN" w:eastAsia="zh-CN"/>
        </w:rPr>
        <w:t>（5）在本次采购中的承诺未能履行并经甲方提醒仍未能执行，如到书率不能满足85%以上、未到书长期不予回告等；</w:t>
      </w:r>
    </w:p>
    <w:p w14:paraId="6B2C0DEB">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zh-CN" w:eastAsia="zh-CN"/>
        </w:rPr>
      </w:pPr>
      <w:r>
        <w:rPr>
          <w:rFonts w:hint="eastAsia" w:ascii="宋体" w:hAnsi="宋体" w:cs="宋体"/>
          <w:bCs/>
          <w:color w:val="auto"/>
          <w:sz w:val="24"/>
          <w:szCs w:val="22"/>
          <w:lang w:val="zh-CN" w:eastAsia="zh-CN"/>
        </w:rPr>
        <w:t>（6）因触犯国家法律法规而受到有关部门调查起诉；</w:t>
      </w:r>
    </w:p>
    <w:p w14:paraId="07D87263">
      <w:pPr>
        <w:keepLines w:val="0"/>
        <w:pageBreakBefore w:val="0"/>
        <w:widowControl w:val="0"/>
        <w:kinsoku/>
        <w:wordWrap/>
        <w:overflowPunct/>
        <w:topLinePunct w:val="0"/>
        <w:autoSpaceDE/>
        <w:autoSpaceDN/>
        <w:bidi w:val="0"/>
        <w:adjustRightInd/>
        <w:snapToGrid w:val="0"/>
        <w:spacing w:line="264" w:lineRule="auto"/>
        <w:ind w:firstLine="480" w:firstLineChars="200"/>
        <w:textAlignment w:val="auto"/>
        <w:rPr>
          <w:rFonts w:hint="eastAsia" w:ascii="宋体" w:hAnsi="宋体" w:cs="宋体"/>
          <w:bCs/>
          <w:color w:val="auto"/>
          <w:sz w:val="24"/>
          <w:szCs w:val="22"/>
          <w:lang w:val="en-US" w:eastAsia="zh-CN"/>
        </w:rPr>
      </w:pPr>
      <w:r>
        <w:rPr>
          <w:rFonts w:hint="eastAsia" w:ascii="宋体" w:hAnsi="宋体" w:cs="宋体"/>
          <w:bCs/>
          <w:color w:val="auto"/>
          <w:sz w:val="24"/>
          <w:szCs w:val="22"/>
          <w:lang w:val="zh-CN" w:eastAsia="zh-CN"/>
        </w:rPr>
        <w:t>（7）其他违反本协议及采购文件有关条款之行为。</w:t>
      </w:r>
    </w:p>
    <w:p w14:paraId="7D340B3F">
      <w:pPr>
        <w:pStyle w:val="6"/>
        <w:keepNext/>
        <w:keepLines w:val="0"/>
        <w:pageBreakBefore w:val="0"/>
        <w:widowControl w:val="0"/>
        <w:kinsoku/>
        <w:wordWrap/>
        <w:overflowPunct/>
        <w:topLinePunct w:val="0"/>
        <w:autoSpaceDE/>
        <w:autoSpaceDN/>
        <w:bidi w:val="0"/>
        <w:adjustRightInd/>
        <w:snapToGrid/>
        <w:spacing w:before="0" w:beforeLines="50" w:after="0" w:afterLines="50" w:line="264" w:lineRule="auto"/>
        <w:ind w:left="0" w:firstLine="0"/>
        <w:textAlignment w:val="auto"/>
        <w:rPr>
          <w:rFonts w:hint="eastAsia" w:hAnsi="Times New Roman" w:cs="Times New Roman"/>
          <w:color w:val="auto"/>
          <w:szCs w:val="22"/>
        </w:rPr>
      </w:pPr>
      <w:bookmarkStart w:id="458" w:name="_Toc25856"/>
      <w:bookmarkStart w:id="459" w:name="_Toc25478_WPSOffice_Level2"/>
      <w:r>
        <w:rPr>
          <w:rFonts w:hint="eastAsia" w:hAnsi="Times New Roman" w:cs="Times New Roman"/>
          <w:color w:val="auto"/>
          <w:szCs w:val="22"/>
        </w:rPr>
        <w:t>二、商务要求</w:t>
      </w:r>
      <w:bookmarkEnd w:id="458"/>
      <w:bookmarkEnd w:id="459"/>
    </w:p>
    <w:p w14:paraId="78D0FA81">
      <w:pPr>
        <w:keepLines w:val="0"/>
        <w:pageBreakBefore w:val="0"/>
        <w:widowControl w:val="0"/>
        <w:kinsoku/>
        <w:wordWrap/>
        <w:overflowPunct/>
        <w:topLinePunct w:val="0"/>
        <w:autoSpaceDE/>
        <w:autoSpaceDN/>
        <w:bidi w:val="0"/>
        <w:adjustRightInd/>
        <w:spacing w:line="264" w:lineRule="auto"/>
        <w:ind w:firstLine="420" w:firstLineChars="175"/>
        <w:textAlignment w:val="auto"/>
        <w:rPr>
          <w:color w:val="auto"/>
          <w:sz w:val="24"/>
        </w:rPr>
      </w:pPr>
      <w:bookmarkStart w:id="460" w:name="OLE_LINK9"/>
      <w:r>
        <w:rPr>
          <w:rFonts w:hint="eastAsia"/>
          <w:color w:val="auto"/>
          <w:sz w:val="24"/>
        </w:rPr>
        <w:t>甲方：采购人，乙方：成交供应商</w:t>
      </w:r>
    </w:p>
    <w:p w14:paraId="3A1F69D2">
      <w:pPr>
        <w:keepLines w:val="0"/>
        <w:pageBreakBefore w:val="0"/>
        <w:widowControl w:val="0"/>
        <w:kinsoku/>
        <w:wordWrap/>
        <w:overflowPunct/>
        <w:topLinePunct w:val="0"/>
        <w:autoSpaceDE/>
        <w:autoSpaceDN/>
        <w:bidi w:val="0"/>
        <w:adjustRightInd/>
        <w:spacing w:line="264" w:lineRule="auto"/>
        <w:ind w:firstLine="422" w:firstLineChars="175"/>
        <w:textAlignment w:val="auto"/>
        <w:rPr>
          <w:rFonts w:hAnsi="宋体" w:cs="宋体"/>
          <w:color w:val="auto"/>
          <w:sz w:val="24"/>
        </w:rPr>
      </w:pPr>
      <w:r>
        <w:rPr>
          <w:rFonts w:hint="eastAsia" w:hAnsi="宋体" w:cs="宋体"/>
          <w:b/>
          <w:bCs/>
          <w:color w:val="auto"/>
          <w:sz w:val="24"/>
        </w:rPr>
        <w:t>1、</w:t>
      </w:r>
      <w:r>
        <w:rPr>
          <w:rFonts w:hint="eastAsia"/>
          <w:color w:val="auto"/>
          <w:sz w:val="24"/>
        </w:rPr>
        <w:t>▲</w:t>
      </w:r>
      <w:r>
        <w:rPr>
          <w:rFonts w:hint="eastAsia" w:hAnsi="宋体" w:cs="宋体"/>
          <w:b/>
          <w:bCs/>
          <w:color w:val="auto"/>
          <w:sz w:val="24"/>
        </w:rPr>
        <w:t>项目完成时间和交货方式：</w:t>
      </w:r>
      <w:r>
        <w:rPr>
          <w:rFonts w:hint="eastAsia" w:hAnsi="宋体" w:cs="宋体"/>
          <w:color w:val="auto"/>
          <w:sz w:val="24"/>
        </w:rPr>
        <w:t>订单图书五个月内、现采图书一个月内到货，通过采购人验收。乙方根据甲方用户提出的书目订单，将加工好的图书进行满足远距离运输、防湿和防破、装卸要求的包装后，及时送交用户，并按指定位置摆放整齐，在到达用户指定地点前发生的不可预见的风险均由乙方负责，所发生的费用均由乙方承担。</w:t>
      </w:r>
    </w:p>
    <w:p w14:paraId="43E4C4A4">
      <w:pPr>
        <w:keepLines w:val="0"/>
        <w:pageBreakBefore w:val="0"/>
        <w:widowControl w:val="0"/>
        <w:kinsoku/>
        <w:wordWrap/>
        <w:overflowPunct/>
        <w:topLinePunct w:val="0"/>
        <w:autoSpaceDE/>
        <w:autoSpaceDN/>
        <w:bidi w:val="0"/>
        <w:adjustRightInd/>
        <w:spacing w:line="264" w:lineRule="auto"/>
        <w:ind w:firstLine="422" w:firstLineChars="175"/>
        <w:textAlignment w:val="auto"/>
        <w:rPr>
          <w:rFonts w:hAnsi="宋体" w:cs="宋体"/>
          <w:color w:val="auto"/>
          <w:sz w:val="24"/>
        </w:rPr>
      </w:pPr>
      <w:r>
        <w:rPr>
          <w:rFonts w:hint="eastAsia" w:hAnsi="宋体" w:cs="宋体"/>
          <w:b/>
          <w:bCs/>
          <w:color w:val="auto"/>
          <w:sz w:val="24"/>
        </w:rPr>
        <w:t>2、</w:t>
      </w:r>
      <w:r>
        <w:rPr>
          <w:rFonts w:hint="eastAsia"/>
          <w:color w:val="auto"/>
          <w:sz w:val="24"/>
        </w:rPr>
        <w:t>▲</w:t>
      </w:r>
      <w:r>
        <w:rPr>
          <w:rFonts w:hint="eastAsia" w:hAnsi="宋体" w:cs="宋体"/>
          <w:b/>
          <w:bCs/>
          <w:color w:val="auto"/>
          <w:sz w:val="24"/>
        </w:rPr>
        <w:t>交货地点 ：</w:t>
      </w:r>
      <w:r>
        <w:rPr>
          <w:rFonts w:hint="eastAsia" w:hAnsi="宋体" w:cs="宋体"/>
          <w:color w:val="auto"/>
          <w:sz w:val="24"/>
        </w:rPr>
        <w:t>杭州电子科技大学</w:t>
      </w:r>
      <w:r>
        <w:rPr>
          <w:rFonts w:hint="eastAsia" w:hAnsi="宋体" w:cs="宋体"/>
          <w:color w:val="auto"/>
          <w:sz w:val="24"/>
          <w:u w:val="single"/>
        </w:rPr>
        <w:t xml:space="preserve">  下沙  </w:t>
      </w:r>
      <w:r>
        <w:rPr>
          <w:rFonts w:hint="eastAsia" w:hAnsi="宋体" w:cs="宋体"/>
          <w:color w:val="auto"/>
          <w:sz w:val="24"/>
        </w:rPr>
        <w:t>校区。</w:t>
      </w:r>
    </w:p>
    <w:p w14:paraId="51762D3D">
      <w:pPr>
        <w:keepLines w:val="0"/>
        <w:pageBreakBefore w:val="0"/>
        <w:widowControl w:val="0"/>
        <w:kinsoku/>
        <w:wordWrap/>
        <w:overflowPunct/>
        <w:topLinePunct w:val="0"/>
        <w:autoSpaceDE/>
        <w:autoSpaceDN/>
        <w:bidi w:val="0"/>
        <w:adjustRightInd/>
        <w:spacing w:line="264" w:lineRule="auto"/>
        <w:ind w:firstLine="422" w:firstLineChars="175"/>
        <w:textAlignment w:val="auto"/>
        <w:rPr>
          <w:color w:val="auto"/>
          <w:sz w:val="24"/>
        </w:rPr>
      </w:pPr>
      <w:r>
        <w:rPr>
          <w:rFonts w:hint="eastAsia" w:hAnsi="宋体" w:cs="宋体"/>
          <w:b/>
          <w:bCs/>
          <w:color w:val="auto"/>
          <w:sz w:val="24"/>
        </w:rPr>
        <w:t>3、</w:t>
      </w:r>
      <w:r>
        <w:rPr>
          <w:rFonts w:hint="eastAsia"/>
          <w:color w:val="auto"/>
          <w:sz w:val="24"/>
        </w:rPr>
        <w:t>▲</w:t>
      </w:r>
      <w:r>
        <w:rPr>
          <w:rFonts w:hint="eastAsia" w:hAnsi="宋体" w:cs="宋体"/>
          <w:b/>
          <w:bCs/>
          <w:color w:val="auto"/>
          <w:sz w:val="24"/>
        </w:rPr>
        <w:t>质保期</w:t>
      </w:r>
      <w:r>
        <w:rPr>
          <w:rFonts w:hint="eastAsia" w:hAnsi="宋体" w:cs="宋体"/>
          <w:color w:val="auto"/>
          <w:sz w:val="24"/>
        </w:rPr>
        <w:t>：质保不低于</w:t>
      </w:r>
      <w:r>
        <w:rPr>
          <w:rFonts w:hint="eastAsia" w:hAnsi="宋体" w:cs="宋体"/>
          <w:color w:val="auto"/>
          <w:sz w:val="24"/>
          <w:u w:val="single"/>
        </w:rPr>
        <w:t xml:space="preserve">   </w:t>
      </w:r>
      <w:r>
        <w:rPr>
          <w:rFonts w:hAnsi="宋体" w:cs="宋体"/>
          <w:color w:val="auto"/>
          <w:sz w:val="24"/>
          <w:u w:val="single"/>
        </w:rPr>
        <w:t>1</w:t>
      </w:r>
      <w:r>
        <w:rPr>
          <w:rFonts w:hint="eastAsia" w:hAnsi="宋体" w:cs="宋体"/>
          <w:color w:val="auto"/>
          <w:sz w:val="24"/>
          <w:u w:val="single"/>
        </w:rPr>
        <w:t xml:space="preserve">  </w:t>
      </w:r>
      <w:r>
        <w:rPr>
          <w:rFonts w:hint="eastAsia" w:hAnsi="宋体" w:cs="宋体"/>
          <w:color w:val="auto"/>
          <w:sz w:val="24"/>
        </w:rPr>
        <w:t>年，质保期内书刊质量发生问题免费保换。</w:t>
      </w:r>
    </w:p>
    <w:p w14:paraId="61E944EB">
      <w:pPr>
        <w:keepLines w:val="0"/>
        <w:pageBreakBefore w:val="0"/>
        <w:widowControl w:val="0"/>
        <w:kinsoku/>
        <w:wordWrap/>
        <w:overflowPunct/>
        <w:topLinePunct w:val="0"/>
        <w:autoSpaceDE/>
        <w:autoSpaceDN/>
        <w:bidi w:val="0"/>
        <w:adjustRightInd/>
        <w:spacing w:line="264" w:lineRule="auto"/>
        <w:ind w:firstLine="422" w:firstLineChars="175"/>
        <w:textAlignment w:val="auto"/>
        <w:rPr>
          <w:rFonts w:hint="eastAsia" w:hAnsi="宋体" w:cs="宋体"/>
          <w:color w:val="auto"/>
          <w:sz w:val="24"/>
        </w:rPr>
      </w:pPr>
      <w:r>
        <w:rPr>
          <w:rFonts w:hint="eastAsia" w:hAnsi="宋体" w:cs="宋体"/>
          <w:b/>
          <w:bCs/>
          <w:color w:val="auto"/>
          <w:sz w:val="24"/>
        </w:rPr>
        <w:t>4、</w:t>
      </w:r>
      <w:r>
        <w:rPr>
          <w:rFonts w:hint="eastAsia"/>
          <w:color w:val="auto"/>
          <w:sz w:val="24"/>
        </w:rPr>
        <w:t>▲</w:t>
      </w:r>
      <w:r>
        <w:rPr>
          <w:rFonts w:hint="eastAsia" w:hAnsi="宋体" w:cs="宋体"/>
          <w:b/>
          <w:bCs/>
          <w:color w:val="auto"/>
          <w:sz w:val="24"/>
        </w:rPr>
        <w:t>付款方式：</w:t>
      </w:r>
      <w:r>
        <w:rPr>
          <w:rFonts w:hint="eastAsia" w:ascii="Times New Roman" w:hAnsi="宋体" w:cs="宋体"/>
          <w:color w:val="auto"/>
          <w:sz w:val="24"/>
          <w:szCs w:val="22"/>
        </w:rPr>
        <w:t>项目完成验收合格并收到发票后 15 个工作日内，甲方向乙方按实结算货款。付款前，</w:t>
      </w:r>
      <w:r>
        <w:rPr>
          <w:rFonts w:hint="eastAsia" w:ascii="Times New Roman" w:hAnsi="宋体" w:cs="宋体"/>
          <w:color w:val="auto"/>
          <w:sz w:val="24"/>
          <w:szCs w:val="22"/>
          <w:lang w:val="zh-CN"/>
        </w:rPr>
        <w:t>乙方应为甲方提供符合国家有关法律规定和甲方财务规定的正式图书销售发票，附盖公司公章或财务专用章的图书清单，每种书附出版社官方碑价网址。在同一张发票上反映其原币码洋、到货日实时汇率、销售折扣、人民币实洋，以及图书的种数和册数等内容，以便甲方按实洋付款</w:t>
      </w:r>
      <w:r>
        <w:rPr>
          <w:rFonts w:hint="eastAsia" w:ascii="Times New Roman" w:hAnsi="宋体" w:cs="宋体"/>
          <w:color w:val="auto"/>
          <w:sz w:val="24"/>
          <w:szCs w:val="22"/>
        </w:rPr>
        <w:t>。</w:t>
      </w:r>
      <w:r>
        <w:rPr>
          <w:rFonts w:hint="eastAsia" w:hAnsi="宋体" w:cs="宋体"/>
          <w:color w:val="auto"/>
          <w:sz w:val="24"/>
        </w:rPr>
        <w:t>结算</w:t>
      </w:r>
      <w:r>
        <w:rPr>
          <w:rFonts w:hint="eastAsia" w:hAnsi="宋体" w:cs="宋体"/>
          <w:color w:val="auto"/>
          <w:sz w:val="24"/>
          <w:lang w:val="en-US" w:eastAsia="zh-CN"/>
        </w:rPr>
        <w:t>方式</w:t>
      </w:r>
      <w:r>
        <w:rPr>
          <w:rFonts w:hint="eastAsia" w:hAnsi="宋体" w:cs="宋体"/>
          <w:color w:val="auto"/>
          <w:sz w:val="24"/>
        </w:rPr>
        <w:t>：原版图书的外币价格×汇率×_______%折扣计算，甲方以人民币支付（外币价格为国外出版社所公布的标准价格；汇率为到货日的实时汇率）。</w:t>
      </w:r>
      <w:bookmarkEnd w:id="460"/>
    </w:p>
    <w:p w14:paraId="7799372D">
      <w:pPr>
        <w:pStyle w:val="6"/>
        <w:keepNext/>
        <w:keepLines w:val="0"/>
        <w:pageBreakBefore w:val="0"/>
        <w:widowControl w:val="0"/>
        <w:kinsoku/>
        <w:wordWrap/>
        <w:overflowPunct/>
        <w:topLinePunct w:val="0"/>
        <w:autoSpaceDE/>
        <w:autoSpaceDN/>
        <w:bidi w:val="0"/>
        <w:adjustRightInd/>
        <w:snapToGrid/>
        <w:spacing w:before="0" w:beforeLines="50" w:after="0" w:afterLines="50" w:line="264" w:lineRule="auto"/>
        <w:ind w:left="0" w:firstLine="0"/>
        <w:textAlignment w:val="auto"/>
        <w:rPr>
          <w:rFonts w:hint="eastAsia" w:hAnsi="Times New Roman" w:cs="Times New Roman"/>
          <w:color w:val="auto"/>
          <w:szCs w:val="22"/>
          <w:lang w:eastAsia="zh-CN"/>
        </w:rPr>
      </w:pPr>
      <w:bookmarkStart w:id="461" w:name="_Toc5330"/>
      <w:bookmarkStart w:id="462" w:name="_Toc883_WPSOffice_Level2"/>
      <w:r>
        <w:rPr>
          <w:rFonts w:hint="eastAsia" w:hAnsi="Times New Roman" w:cs="Times New Roman"/>
          <w:color w:val="auto"/>
          <w:szCs w:val="22"/>
          <w:lang w:val="en-US" w:eastAsia="zh-CN"/>
        </w:rPr>
        <w:t>三、</w:t>
      </w:r>
      <w:r>
        <w:rPr>
          <w:rFonts w:hint="eastAsia" w:hAnsi="Times New Roman" w:cs="Times New Roman"/>
          <w:color w:val="auto"/>
          <w:szCs w:val="22"/>
        </w:rPr>
        <w:t>评分标准及</w:t>
      </w:r>
      <w:r>
        <w:rPr>
          <w:rFonts w:hint="eastAsia" w:hAnsi="Times New Roman" w:cs="Times New Roman"/>
          <w:color w:val="auto"/>
          <w:szCs w:val="22"/>
          <w:lang w:val="en-US" w:eastAsia="zh-CN"/>
        </w:rPr>
        <w:t>合同基本条款</w:t>
      </w:r>
      <w:r>
        <w:rPr>
          <w:rFonts w:hint="eastAsia" w:hAnsi="Times New Roman" w:cs="Times New Roman"/>
          <w:color w:val="auto"/>
          <w:szCs w:val="22"/>
        </w:rPr>
        <w:t>中明确的其它相关要求</w:t>
      </w:r>
      <w:r>
        <w:rPr>
          <w:rFonts w:hint="eastAsia" w:hAnsi="Times New Roman" w:cs="Times New Roman"/>
          <w:color w:val="auto"/>
          <w:szCs w:val="22"/>
          <w:lang w:eastAsia="zh-CN"/>
        </w:rPr>
        <w:t>。</w:t>
      </w:r>
      <w:bookmarkEnd w:id="461"/>
      <w:bookmarkEnd w:id="462"/>
    </w:p>
    <w:p w14:paraId="16564941">
      <w:pPr>
        <w:spacing w:line="288" w:lineRule="auto"/>
        <w:jc w:val="left"/>
        <w:rPr>
          <w:rStyle w:val="55"/>
          <w:color w:val="auto"/>
        </w:rPr>
      </w:pPr>
      <w:r>
        <w:rPr>
          <w:rFonts w:hint="eastAsia" w:ascii="宋体" w:hAnsi="宋体" w:cs="宋体"/>
          <w:color w:val="auto"/>
          <w:sz w:val="24"/>
          <w:szCs w:val="24"/>
        </w:rPr>
        <w:br w:type="page"/>
      </w:r>
    </w:p>
    <w:bookmarkEnd w:id="446"/>
    <w:bookmarkEnd w:id="447"/>
    <w:bookmarkEnd w:id="448"/>
    <w:bookmarkEnd w:id="449"/>
    <w:bookmarkEnd w:id="450"/>
    <w:bookmarkEnd w:id="451"/>
    <w:bookmarkEnd w:id="452"/>
    <w:bookmarkEnd w:id="453"/>
    <w:bookmarkEnd w:id="454"/>
    <w:p w14:paraId="4CA9DF2F">
      <w:pPr>
        <w:pStyle w:val="4"/>
        <w:bidi w:val="0"/>
        <w:outlineLvl w:val="0"/>
        <w:rPr>
          <w:rFonts w:hint="eastAsia"/>
          <w:color w:val="auto"/>
          <w:szCs w:val="22"/>
        </w:rPr>
      </w:pPr>
      <w:bookmarkStart w:id="463" w:name="_Toc15023"/>
      <w:bookmarkStart w:id="464" w:name="_Toc386_WPSOffice_Level1"/>
      <w:bookmarkStart w:id="465" w:name="_Toc17732"/>
      <w:bookmarkStart w:id="466" w:name="_Toc16392"/>
      <w:bookmarkStart w:id="467" w:name="_Toc11774"/>
      <w:bookmarkStart w:id="468" w:name="_Toc25130"/>
      <w:bookmarkStart w:id="469" w:name="_Toc18295"/>
      <w:bookmarkStart w:id="470" w:name="_Toc1851"/>
      <w:bookmarkStart w:id="471" w:name="_Toc28691"/>
      <w:bookmarkStart w:id="472" w:name="_Toc19657"/>
      <w:bookmarkStart w:id="473" w:name="_Toc19846"/>
      <w:bookmarkStart w:id="474" w:name="_Toc3339"/>
      <w:bookmarkStart w:id="475" w:name="_Toc18980"/>
      <w:bookmarkStart w:id="476" w:name="_Toc26662"/>
      <w:bookmarkStart w:id="477" w:name="_Toc8403"/>
      <w:bookmarkStart w:id="478" w:name="_Toc11902"/>
      <w:bookmarkStart w:id="479" w:name="_Toc12327"/>
      <w:bookmarkStart w:id="480" w:name="_Toc13623"/>
      <w:bookmarkStart w:id="481" w:name="_Toc3709"/>
      <w:bookmarkStart w:id="482" w:name="_Toc98"/>
      <w:bookmarkStart w:id="483" w:name="_Toc9292"/>
      <w:r>
        <w:rPr>
          <w:rFonts w:hint="eastAsia"/>
          <w:color w:val="auto"/>
          <w:szCs w:val="22"/>
        </w:rPr>
        <w:t>第四部分 评审办法与评分标准</w:t>
      </w:r>
      <w:bookmarkEnd w:id="463"/>
      <w:bookmarkEnd w:id="464"/>
    </w:p>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14:paraId="46CA7EFF">
      <w:pPr>
        <w:pStyle w:val="6"/>
        <w:ind w:left="0" w:firstLine="0"/>
        <w:outlineLvl w:val="1"/>
        <w:rPr>
          <w:color w:val="auto"/>
        </w:rPr>
      </w:pPr>
      <w:bookmarkStart w:id="484" w:name="_Toc6749_WPSOffice_Level2"/>
      <w:bookmarkStart w:id="485" w:name="_Toc15627"/>
      <w:r>
        <w:rPr>
          <w:rFonts w:hint="eastAsia"/>
          <w:color w:val="auto"/>
        </w:rPr>
        <w:t>一、评审方法</w:t>
      </w:r>
      <w:bookmarkEnd w:id="484"/>
      <w:bookmarkEnd w:id="485"/>
    </w:p>
    <w:p w14:paraId="2181E3AF">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7EB14A40">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2AFFAA2D">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12E33BC1">
      <w:pPr>
        <w:pStyle w:val="6"/>
        <w:ind w:left="0" w:firstLine="0"/>
        <w:outlineLvl w:val="1"/>
        <w:rPr>
          <w:bCs/>
          <w:color w:val="auto"/>
          <w:sz w:val="24"/>
          <w:szCs w:val="24"/>
        </w:rPr>
      </w:pPr>
      <w:bookmarkStart w:id="486" w:name="_Toc24140"/>
      <w:bookmarkStart w:id="487" w:name="_Toc7356_WPSOffice_Level2"/>
      <w:r>
        <w:rPr>
          <w:rFonts w:hint="eastAsia"/>
          <w:bCs/>
          <w:color w:val="auto"/>
          <w:sz w:val="24"/>
          <w:szCs w:val="24"/>
        </w:rPr>
        <w:t>二、评审标准</w:t>
      </w:r>
      <w:bookmarkEnd w:id="486"/>
      <w:bookmarkEnd w:id="487"/>
    </w:p>
    <w:p w14:paraId="1339DE22">
      <w:pPr>
        <w:pStyle w:val="23"/>
        <w:spacing w:line="276" w:lineRule="auto"/>
        <w:ind w:left="0" w:leftChars="0" w:firstLine="422" w:firstLineChars="175"/>
        <w:rPr>
          <w:rFonts w:ascii="Times New Roman" w:hAnsi="Times New Roman"/>
          <w:b/>
          <w:color w:val="auto"/>
          <w:sz w:val="24"/>
        </w:rPr>
      </w:pPr>
      <w:r>
        <w:rPr>
          <w:rFonts w:hint="eastAsia" w:ascii="宋体" w:hAnsi="宋体" w:cs="宋体"/>
          <w:b/>
          <w:bCs/>
          <w:color w:val="auto"/>
          <w:sz w:val="24"/>
          <w:lang w:val="en-US" w:eastAsia="zh-CN"/>
        </w:rPr>
        <w:t>1</w:t>
      </w:r>
      <w:r>
        <w:rPr>
          <w:rFonts w:hint="eastAsia" w:ascii="宋体" w:hAnsi="宋体" w:cs="宋体"/>
          <w:b/>
          <w:bCs/>
          <w:color w:val="auto"/>
          <w:sz w:val="24"/>
        </w:rPr>
        <w:t>、</w:t>
      </w:r>
      <w:r>
        <w:rPr>
          <w:rFonts w:hint="eastAsia" w:ascii="Times New Roman" w:hAnsi="Times New Roman"/>
          <w:b/>
          <w:color w:val="auto"/>
          <w:sz w:val="24"/>
        </w:rPr>
        <w:t>商务分和技术分（70分）</w:t>
      </w:r>
    </w:p>
    <w:tbl>
      <w:tblPr>
        <w:tblStyle w:val="47"/>
        <w:tblW w:w="9705" w:type="dxa"/>
        <w:tblInd w:w="1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735"/>
        <w:gridCol w:w="7665"/>
      </w:tblGrid>
      <w:tr w14:paraId="566C2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05" w:type="dxa"/>
            <w:tcBorders>
              <w:top w:val="single" w:color="auto" w:sz="4" w:space="0"/>
              <w:left w:val="single" w:color="auto" w:sz="4" w:space="0"/>
              <w:bottom w:val="single" w:color="auto" w:sz="4" w:space="0"/>
              <w:right w:val="single" w:color="auto" w:sz="4" w:space="0"/>
            </w:tcBorders>
            <w:vAlign w:val="center"/>
          </w:tcPr>
          <w:p w14:paraId="7BB0BF2A">
            <w:pPr>
              <w:adjustRightInd w:val="0"/>
              <w:snapToGrid w:val="0"/>
              <w:spacing w:line="276" w:lineRule="auto"/>
              <w:jc w:val="center"/>
              <w:rPr>
                <w:rFonts w:ascii="宋体" w:hAnsi="宋体" w:cs="宋体"/>
                <w:b/>
                <w:bCs/>
                <w:color w:val="auto"/>
                <w:sz w:val="24"/>
              </w:rPr>
            </w:pPr>
            <w:r>
              <w:rPr>
                <w:rFonts w:hint="eastAsia" w:ascii="宋体" w:hAnsi="宋体"/>
                <w:b/>
                <w:color w:val="auto"/>
                <w:sz w:val="24"/>
                <w:lang w:bidi="ar"/>
              </w:rPr>
              <w:t>评审因素</w:t>
            </w:r>
          </w:p>
        </w:tc>
        <w:tc>
          <w:tcPr>
            <w:tcW w:w="735" w:type="dxa"/>
            <w:tcBorders>
              <w:top w:val="single" w:color="auto" w:sz="4" w:space="0"/>
              <w:left w:val="single" w:color="auto" w:sz="4" w:space="0"/>
              <w:bottom w:val="single" w:color="auto" w:sz="4" w:space="0"/>
              <w:right w:val="single" w:color="auto" w:sz="4" w:space="0"/>
            </w:tcBorders>
            <w:vAlign w:val="center"/>
          </w:tcPr>
          <w:p w14:paraId="25006C21">
            <w:pPr>
              <w:adjustRightInd w:val="0"/>
              <w:snapToGrid w:val="0"/>
              <w:spacing w:line="276" w:lineRule="auto"/>
              <w:jc w:val="center"/>
              <w:rPr>
                <w:rFonts w:ascii="宋体" w:hAnsi="宋体" w:cs="宋体"/>
                <w:b/>
                <w:bCs/>
                <w:color w:val="auto"/>
                <w:sz w:val="24"/>
              </w:rPr>
            </w:pPr>
            <w:r>
              <w:rPr>
                <w:rFonts w:hint="eastAsia" w:ascii="宋体" w:hAnsi="宋体"/>
                <w:b/>
                <w:color w:val="auto"/>
                <w:sz w:val="24"/>
                <w:lang w:bidi="ar"/>
              </w:rPr>
              <w:t>分值</w:t>
            </w:r>
          </w:p>
        </w:tc>
        <w:tc>
          <w:tcPr>
            <w:tcW w:w="7665" w:type="dxa"/>
            <w:tcBorders>
              <w:top w:val="single" w:color="auto" w:sz="4" w:space="0"/>
              <w:left w:val="single" w:color="auto" w:sz="4" w:space="0"/>
              <w:bottom w:val="single" w:color="auto" w:sz="4" w:space="0"/>
              <w:right w:val="single" w:color="auto" w:sz="4" w:space="0"/>
            </w:tcBorders>
            <w:vAlign w:val="center"/>
          </w:tcPr>
          <w:p w14:paraId="0D9D1597">
            <w:pPr>
              <w:adjustRightInd w:val="0"/>
              <w:snapToGrid w:val="0"/>
              <w:spacing w:line="276" w:lineRule="auto"/>
              <w:jc w:val="center"/>
              <w:rPr>
                <w:rFonts w:ascii="宋体" w:hAnsi="宋体" w:cs="宋体"/>
                <w:color w:val="auto"/>
                <w:sz w:val="24"/>
              </w:rPr>
            </w:pPr>
            <w:r>
              <w:rPr>
                <w:rFonts w:hint="eastAsia" w:ascii="宋体" w:hAnsi="宋体"/>
                <w:b/>
                <w:color w:val="auto"/>
                <w:sz w:val="24"/>
                <w:lang w:bidi="ar"/>
              </w:rPr>
              <w:t>评分细则</w:t>
            </w:r>
          </w:p>
        </w:tc>
      </w:tr>
      <w:tr w14:paraId="69EBF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705" w:type="dxa"/>
            <w:gridSpan w:val="3"/>
            <w:vAlign w:val="center"/>
          </w:tcPr>
          <w:p w14:paraId="60EB8B0C">
            <w:pPr>
              <w:spacing w:line="276" w:lineRule="auto"/>
              <w:rPr>
                <w:rFonts w:ascii="宋体" w:hAnsi="宋体" w:cs="宋体"/>
                <w:color w:val="auto"/>
                <w:sz w:val="24"/>
              </w:rPr>
            </w:pPr>
            <w:r>
              <w:rPr>
                <w:rFonts w:hint="eastAsia" w:ascii="宋体" w:hAnsi="宋体" w:cs="宋体"/>
                <w:b/>
                <w:bCs/>
                <w:color w:val="auto"/>
                <w:sz w:val="24"/>
              </w:rPr>
              <w:t>商务分（19）</w:t>
            </w:r>
          </w:p>
        </w:tc>
      </w:tr>
      <w:tr w14:paraId="25708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05" w:type="dxa"/>
            <w:vAlign w:val="center"/>
          </w:tcPr>
          <w:p w14:paraId="3380A3EB">
            <w:pPr>
              <w:spacing w:line="276" w:lineRule="auto"/>
              <w:jc w:val="center"/>
              <w:rPr>
                <w:rFonts w:ascii="宋体" w:hAnsi="宋体" w:cs="宋体"/>
                <w:b/>
                <w:bCs/>
                <w:color w:val="auto"/>
                <w:sz w:val="24"/>
              </w:rPr>
            </w:pPr>
            <w:r>
              <w:rPr>
                <w:rFonts w:hint="eastAsia" w:ascii="宋体" w:hAnsi="宋体" w:cs="宋体"/>
                <w:b/>
                <w:bCs/>
                <w:color w:val="auto"/>
                <w:sz w:val="24"/>
              </w:rPr>
              <w:t>实力</w:t>
            </w:r>
          </w:p>
        </w:tc>
        <w:tc>
          <w:tcPr>
            <w:tcW w:w="735" w:type="dxa"/>
            <w:vAlign w:val="center"/>
          </w:tcPr>
          <w:p w14:paraId="1369B109">
            <w:pPr>
              <w:spacing w:line="276" w:lineRule="auto"/>
              <w:jc w:val="center"/>
              <w:rPr>
                <w:rFonts w:ascii="宋体" w:hAnsi="宋体" w:cs="宋体"/>
                <w:b/>
                <w:bCs/>
                <w:strike/>
                <w:color w:val="auto"/>
                <w:sz w:val="24"/>
              </w:rPr>
            </w:pPr>
            <w:r>
              <w:rPr>
                <w:rFonts w:hint="eastAsia" w:ascii="宋体" w:hAnsi="宋体" w:cs="宋体"/>
                <w:b/>
                <w:bCs/>
                <w:color w:val="auto"/>
                <w:sz w:val="24"/>
              </w:rPr>
              <w:t>16</w:t>
            </w:r>
          </w:p>
        </w:tc>
        <w:tc>
          <w:tcPr>
            <w:tcW w:w="7665" w:type="dxa"/>
            <w:vAlign w:val="center"/>
          </w:tcPr>
          <w:p w14:paraId="48E9F6BB">
            <w:pPr>
              <w:numPr>
                <w:ilvl w:val="0"/>
                <w:numId w:val="5"/>
              </w:numPr>
              <w:spacing w:line="276" w:lineRule="auto"/>
              <w:rPr>
                <w:rFonts w:ascii="宋体" w:hAnsi="宋体" w:cs="宋体"/>
                <w:color w:val="auto"/>
                <w:sz w:val="24"/>
              </w:rPr>
            </w:pPr>
            <w:r>
              <w:rPr>
                <w:color w:val="auto"/>
                <w:sz w:val="24"/>
              </w:rPr>
              <w:t>具有通过 IS09001 国际质量体系认证书，环境管理体系认证书，职业健康安全管理体系认证书；提供一个得</w:t>
            </w:r>
            <w:r>
              <w:rPr>
                <w:rFonts w:hint="eastAsia"/>
                <w:color w:val="auto"/>
                <w:sz w:val="24"/>
              </w:rPr>
              <w:t>1</w:t>
            </w:r>
            <w:r>
              <w:rPr>
                <w:color w:val="auto"/>
                <w:sz w:val="24"/>
              </w:rPr>
              <w:t xml:space="preserve">分，最高得 </w:t>
            </w:r>
            <w:r>
              <w:rPr>
                <w:rFonts w:hint="eastAsia"/>
                <w:color w:val="auto"/>
                <w:sz w:val="24"/>
              </w:rPr>
              <w:t>3</w:t>
            </w:r>
            <w:r>
              <w:rPr>
                <w:color w:val="auto"/>
                <w:sz w:val="24"/>
              </w:rPr>
              <w:t xml:space="preserve"> 分（提供证书复印件或扫描件加盖公章佐证）</w:t>
            </w:r>
            <w:r>
              <w:rPr>
                <w:rFonts w:hint="eastAsia"/>
                <w:color w:val="auto"/>
                <w:sz w:val="24"/>
              </w:rPr>
              <w:t>。</w:t>
            </w:r>
          </w:p>
          <w:p w14:paraId="5EB1749F">
            <w:pPr>
              <w:numPr>
                <w:ilvl w:val="0"/>
                <w:numId w:val="5"/>
              </w:numPr>
              <w:spacing w:line="276" w:lineRule="auto"/>
              <w:rPr>
                <w:rFonts w:ascii="宋体" w:hAnsi="宋体" w:cs="宋体"/>
                <w:color w:val="auto"/>
                <w:sz w:val="24"/>
              </w:rPr>
            </w:pPr>
            <w:r>
              <w:rPr>
                <w:color w:val="auto"/>
                <w:sz w:val="24"/>
              </w:rPr>
              <w:t>具有中国书刊发行协会会员证书得</w:t>
            </w:r>
            <w:r>
              <w:rPr>
                <w:rFonts w:hint="eastAsia"/>
                <w:color w:val="auto"/>
                <w:sz w:val="24"/>
              </w:rPr>
              <w:t>2</w:t>
            </w:r>
            <w:r>
              <w:rPr>
                <w:color w:val="auto"/>
                <w:sz w:val="24"/>
              </w:rPr>
              <w:t>分（提供证书复印件或扫描件加盖公章佐证）</w:t>
            </w:r>
            <w:r>
              <w:rPr>
                <w:rFonts w:hint="eastAsia"/>
                <w:color w:val="auto"/>
                <w:sz w:val="24"/>
              </w:rPr>
              <w:t>。</w:t>
            </w:r>
          </w:p>
          <w:p w14:paraId="18DA3527">
            <w:pPr>
              <w:numPr>
                <w:ilvl w:val="0"/>
                <w:numId w:val="5"/>
              </w:numPr>
              <w:spacing w:line="276" w:lineRule="auto"/>
              <w:rPr>
                <w:rFonts w:ascii="宋体" w:hAnsi="宋体" w:cs="宋体"/>
                <w:color w:val="auto"/>
                <w:sz w:val="24"/>
              </w:rPr>
            </w:pPr>
            <w:r>
              <w:rPr>
                <w:color w:val="auto"/>
                <w:sz w:val="24"/>
              </w:rPr>
              <w:t>具有现采基地库房得 2 分，须提供自有的房产证明或租赁合同等证明材料复印件加盖公章</w:t>
            </w:r>
            <w:r>
              <w:rPr>
                <w:rFonts w:hint="eastAsia"/>
                <w:color w:val="auto"/>
                <w:sz w:val="24"/>
              </w:rPr>
              <w:t>，</w:t>
            </w:r>
            <w:r>
              <w:rPr>
                <w:color w:val="auto"/>
                <w:sz w:val="24"/>
              </w:rPr>
              <w:t>须提供有现货承诺，后续如发现不实，取消合同并进入黑名单</w:t>
            </w:r>
            <w:r>
              <w:rPr>
                <w:rFonts w:hint="eastAsia"/>
                <w:color w:val="auto"/>
                <w:sz w:val="24"/>
              </w:rPr>
              <w:t>。</w:t>
            </w:r>
          </w:p>
          <w:p w14:paraId="4665E8C1">
            <w:pPr>
              <w:numPr>
                <w:ilvl w:val="0"/>
                <w:numId w:val="5"/>
              </w:numPr>
              <w:spacing w:line="276" w:lineRule="auto"/>
              <w:rPr>
                <w:rFonts w:ascii="宋体" w:hAnsi="宋体" w:cs="宋体"/>
                <w:color w:val="auto"/>
                <w:sz w:val="24"/>
              </w:rPr>
            </w:pPr>
            <w:r>
              <w:rPr>
                <w:color w:val="auto"/>
                <w:sz w:val="24"/>
              </w:rPr>
              <w:t>提供 2023年以来组织参与的图书馆配会、图书博览会现采活动或线上图书展览会的相关证明材料，组织参与一次得</w:t>
            </w:r>
            <w:r>
              <w:rPr>
                <w:rFonts w:hint="eastAsia"/>
                <w:color w:val="auto"/>
                <w:sz w:val="24"/>
              </w:rPr>
              <w:t>2</w:t>
            </w:r>
            <w:r>
              <w:rPr>
                <w:color w:val="auto"/>
                <w:sz w:val="24"/>
              </w:rPr>
              <w:t>分， 满分</w:t>
            </w:r>
            <w:r>
              <w:rPr>
                <w:rFonts w:hint="eastAsia"/>
                <w:color w:val="auto"/>
                <w:sz w:val="24"/>
              </w:rPr>
              <w:t>6</w:t>
            </w:r>
            <w:r>
              <w:rPr>
                <w:color w:val="auto"/>
                <w:sz w:val="24"/>
              </w:rPr>
              <w:t xml:space="preserve"> 分。（须提供有关办会的通知、证明或办会邀请函等证明材料复印件加盖公章） </w:t>
            </w:r>
            <w:r>
              <w:rPr>
                <w:rFonts w:hint="eastAsia"/>
                <w:color w:val="auto"/>
                <w:sz w:val="24"/>
              </w:rPr>
              <w:t>。</w:t>
            </w:r>
          </w:p>
          <w:p w14:paraId="2749E5C7">
            <w:pPr>
              <w:numPr>
                <w:ilvl w:val="0"/>
                <w:numId w:val="5"/>
              </w:numPr>
              <w:spacing w:line="276" w:lineRule="auto"/>
              <w:rPr>
                <w:rFonts w:ascii="宋体" w:hAnsi="宋体" w:cs="宋体"/>
                <w:color w:val="auto"/>
                <w:sz w:val="24"/>
              </w:rPr>
            </w:pPr>
            <w:r>
              <w:rPr>
                <w:color w:val="auto"/>
                <w:sz w:val="24"/>
              </w:rPr>
              <w:t>提供 2023年以来的</w:t>
            </w:r>
            <w:r>
              <w:rPr>
                <w:rFonts w:hint="eastAsia" w:ascii="宋体" w:hAnsi="宋体" w:cs="宋体"/>
                <w:color w:val="auto"/>
                <w:sz w:val="24"/>
              </w:rPr>
              <w:t>同类项目用户评价</w:t>
            </w:r>
            <w:r>
              <w:rPr>
                <w:color w:val="auto"/>
                <w:sz w:val="24"/>
              </w:rPr>
              <w:t>，评分级别优秀，每份得</w:t>
            </w:r>
            <w:r>
              <w:rPr>
                <w:rFonts w:hint="eastAsia"/>
                <w:color w:val="auto"/>
                <w:sz w:val="24"/>
              </w:rPr>
              <w:t>0.5</w:t>
            </w:r>
            <w:r>
              <w:rPr>
                <w:color w:val="auto"/>
                <w:sz w:val="24"/>
              </w:rPr>
              <w:t xml:space="preserve"> 分，最高</w:t>
            </w:r>
            <w:r>
              <w:rPr>
                <w:rFonts w:hint="eastAsia"/>
                <w:color w:val="auto"/>
                <w:sz w:val="24"/>
              </w:rPr>
              <w:t>3</w:t>
            </w:r>
            <w:r>
              <w:rPr>
                <w:color w:val="auto"/>
                <w:sz w:val="24"/>
              </w:rPr>
              <w:t>分。须提供调查表、中标通知书</w:t>
            </w:r>
            <w:r>
              <w:rPr>
                <w:rFonts w:hint="eastAsia"/>
                <w:color w:val="auto"/>
                <w:sz w:val="24"/>
              </w:rPr>
              <w:t>、</w:t>
            </w:r>
            <w:r>
              <w:rPr>
                <w:color w:val="auto"/>
                <w:sz w:val="24"/>
              </w:rPr>
              <w:t>合同复印件加盖公章佐证</w:t>
            </w:r>
            <w:r>
              <w:rPr>
                <w:rFonts w:hint="eastAsia"/>
                <w:color w:val="auto"/>
                <w:sz w:val="24"/>
              </w:rPr>
              <w:t>。</w:t>
            </w:r>
            <w:r>
              <w:rPr>
                <w:rFonts w:hint="eastAsia"/>
                <w:color w:val="auto"/>
                <w:sz w:val="24"/>
                <w:lang w:eastAsia="zh-CN"/>
              </w:rPr>
              <w:t>【客观分】</w:t>
            </w:r>
          </w:p>
        </w:tc>
      </w:tr>
      <w:tr w14:paraId="315D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05" w:type="dxa"/>
            <w:vAlign w:val="center"/>
          </w:tcPr>
          <w:p w14:paraId="2B958DB4">
            <w:pPr>
              <w:spacing w:line="276" w:lineRule="auto"/>
              <w:jc w:val="center"/>
              <w:rPr>
                <w:rFonts w:ascii="宋体" w:hAnsi="宋体" w:cs="宋体"/>
                <w:b/>
                <w:bCs/>
                <w:color w:val="auto"/>
                <w:sz w:val="24"/>
              </w:rPr>
            </w:pPr>
            <w:r>
              <w:rPr>
                <w:rFonts w:hint="eastAsia" w:ascii="宋体" w:hAnsi="宋体" w:cs="宋体"/>
                <w:b/>
                <w:bCs/>
                <w:color w:val="auto"/>
                <w:sz w:val="24"/>
              </w:rPr>
              <w:t>业绩</w:t>
            </w:r>
          </w:p>
        </w:tc>
        <w:tc>
          <w:tcPr>
            <w:tcW w:w="735" w:type="dxa"/>
            <w:vAlign w:val="center"/>
          </w:tcPr>
          <w:p w14:paraId="4F4601AF">
            <w:pPr>
              <w:spacing w:line="276" w:lineRule="auto"/>
              <w:jc w:val="center"/>
              <w:rPr>
                <w:rFonts w:ascii="宋体" w:hAnsi="宋体" w:cs="宋体"/>
                <w:b/>
                <w:bCs/>
                <w:strike/>
                <w:color w:val="auto"/>
                <w:sz w:val="24"/>
              </w:rPr>
            </w:pPr>
            <w:r>
              <w:rPr>
                <w:rFonts w:hint="eastAsia" w:ascii="宋体" w:hAnsi="宋体" w:cs="宋体"/>
                <w:b/>
                <w:bCs/>
                <w:color w:val="auto"/>
                <w:sz w:val="24"/>
              </w:rPr>
              <w:t>3</w:t>
            </w:r>
          </w:p>
        </w:tc>
        <w:tc>
          <w:tcPr>
            <w:tcW w:w="7665" w:type="dxa"/>
            <w:vAlign w:val="center"/>
          </w:tcPr>
          <w:p w14:paraId="1436D529">
            <w:pPr>
              <w:spacing w:line="276" w:lineRule="auto"/>
              <w:rPr>
                <w:rFonts w:ascii="宋体" w:hAnsi="宋体" w:cs="宋体"/>
                <w:color w:val="auto"/>
                <w:sz w:val="24"/>
              </w:rPr>
            </w:pPr>
            <w:r>
              <w:rPr>
                <w:rFonts w:hint="eastAsia" w:ascii="宋体" w:hAnsi="宋体" w:cs="宋体"/>
                <w:color w:val="auto"/>
                <w:sz w:val="24"/>
              </w:rPr>
              <w:t>提供自20</w:t>
            </w:r>
            <w:r>
              <w:rPr>
                <w:rFonts w:ascii="宋体" w:hAnsi="宋体" w:cs="宋体"/>
                <w:color w:val="auto"/>
                <w:sz w:val="24"/>
              </w:rPr>
              <w:t>23</w:t>
            </w:r>
            <w:r>
              <w:rPr>
                <w:rFonts w:hint="eastAsia" w:ascii="宋体" w:hAnsi="宋体" w:cs="宋体"/>
                <w:color w:val="auto"/>
                <w:sz w:val="24"/>
              </w:rPr>
              <w:t>年1月1日以来（以合同签订时间为准）同类项目合同业绩（以提供的合同扫描件为准）：每提供1份合同业绩得0.5分（最高得3分）。</w:t>
            </w:r>
            <w:r>
              <w:rPr>
                <w:rFonts w:hint="eastAsia"/>
                <w:color w:val="auto"/>
                <w:sz w:val="24"/>
                <w:lang w:eastAsia="zh-CN"/>
              </w:rPr>
              <w:t>【客观分】</w:t>
            </w:r>
          </w:p>
        </w:tc>
      </w:tr>
      <w:tr w14:paraId="2130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705" w:type="dxa"/>
            <w:gridSpan w:val="3"/>
            <w:vAlign w:val="center"/>
          </w:tcPr>
          <w:p w14:paraId="248B2BB7">
            <w:pPr>
              <w:spacing w:line="276" w:lineRule="auto"/>
              <w:rPr>
                <w:rFonts w:ascii="宋体" w:hAnsi="宋体" w:cs="宋体"/>
                <w:color w:val="auto"/>
                <w:sz w:val="24"/>
              </w:rPr>
            </w:pPr>
            <w:r>
              <w:rPr>
                <w:rFonts w:hint="eastAsia" w:ascii="宋体" w:hAnsi="宋体" w:cs="宋体"/>
                <w:b/>
                <w:bCs/>
                <w:color w:val="auto"/>
                <w:sz w:val="24"/>
              </w:rPr>
              <w:t>技术分（51）</w:t>
            </w:r>
          </w:p>
        </w:tc>
      </w:tr>
      <w:tr w14:paraId="28C70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05" w:type="dxa"/>
            <w:vAlign w:val="center"/>
          </w:tcPr>
          <w:p w14:paraId="0061DB53">
            <w:pPr>
              <w:spacing w:line="276" w:lineRule="auto"/>
              <w:jc w:val="center"/>
              <w:rPr>
                <w:rFonts w:ascii="宋体" w:hAnsi="宋体" w:cs="宋体"/>
                <w:b/>
                <w:bCs/>
                <w:color w:val="auto"/>
                <w:sz w:val="24"/>
              </w:rPr>
            </w:pPr>
            <w:r>
              <w:rPr>
                <w:rFonts w:hint="eastAsia" w:ascii="宋体" w:hAnsi="宋体" w:cs="宋体"/>
                <w:b/>
                <w:bCs/>
                <w:color w:val="auto"/>
                <w:sz w:val="24"/>
              </w:rPr>
              <w:t>响应程度</w:t>
            </w:r>
          </w:p>
        </w:tc>
        <w:tc>
          <w:tcPr>
            <w:tcW w:w="735" w:type="dxa"/>
            <w:vAlign w:val="center"/>
          </w:tcPr>
          <w:p w14:paraId="6FD21F53">
            <w:pPr>
              <w:spacing w:line="276" w:lineRule="auto"/>
              <w:jc w:val="center"/>
              <w:rPr>
                <w:rFonts w:ascii="宋体" w:hAnsi="宋体" w:cs="宋体"/>
                <w:color w:val="auto"/>
                <w:sz w:val="24"/>
              </w:rPr>
            </w:pPr>
            <w:r>
              <w:rPr>
                <w:rFonts w:hint="eastAsia" w:ascii="宋体" w:hAnsi="宋体" w:cs="宋体"/>
                <w:b/>
                <w:bCs/>
                <w:color w:val="auto"/>
                <w:sz w:val="24"/>
              </w:rPr>
              <w:t>18</w:t>
            </w:r>
          </w:p>
        </w:tc>
        <w:tc>
          <w:tcPr>
            <w:tcW w:w="7665" w:type="dxa"/>
            <w:vAlign w:val="center"/>
          </w:tcPr>
          <w:p w14:paraId="5D4AC90C">
            <w:pPr>
              <w:spacing w:line="276" w:lineRule="auto"/>
              <w:rPr>
                <w:rFonts w:ascii="宋体" w:hAnsi="宋体" w:cs="宋体"/>
                <w:color w:val="auto"/>
                <w:sz w:val="24"/>
              </w:rPr>
            </w:pPr>
            <w:r>
              <w:rPr>
                <w:rFonts w:hint="eastAsia" w:ascii="宋体" w:hAnsi="宋体" w:cs="宋体"/>
                <w:color w:val="auto"/>
                <w:sz w:val="24"/>
              </w:rPr>
              <w:t>满足或明显优于磋商文件明确的全部技术服务要求的该项得满分；</w:t>
            </w:r>
          </w:p>
          <w:p w14:paraId="16D1DA96">
            <w:pPr>
              <w:spacing w:line="276" w:lineRule="auto"/>
              <w:rPr>
                <w:rFonts w:ascii="宋体" w:hAnsi="宋体" w:cs="宋体"/>
                <w:color w:val="auto"/>
                <w:sz w:val="24"/>
              </w:rPr>
            </w:pPr>
            <w:r>
              <w:rPr>
                <w:rFonts w:hint="eastAsia" w:ascii="宋体" w:hAnsi="宋体" w:cs="宋体"/>
                <w:color w:val="auto"/>
                <w:sz w:val="24"/>
              </w:rPr>
              <w:t>低于技术服务要求（负偏离）的每项扣2分。0-18分。</w:t>
            </w:r>
            <w:r>
              <w:rPr>
                <w:rFonts w:hint="eastAsia"/>
                <w:color w:val="auto"/>
                <w:sz w:val="24"/>
                <w:lang w:eastAsia="zh-CN"/>
              </w:rPr>
              <w:t>【客观分】</w:t>
            </w:r>
          </w:p>
        </w:tc>
      </w:tr>
      <w:tr w14:paraId="5653F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05" w:type="dxa"/>
            <w:vAlign w:val="center"/>
          </w:tcPr>
          <w:p w14:paraId="0DCB8E10">
            <w:pPr>
              <w:spacing w:line="276" w:lineRule="auto"/>
              <w:jc w:val="center"/>
              <w:rPr>
                <w:rFonts w:ascii="宋体" w:hAnsi="宋体" w:cs="宋体"/>
                <w:b/>
                <w:bCs/>
                <w:color w:val="auto"/>
                <w:sz w:val="24"/>
              </w:rPr>
            </w:pPr>
            <w:r>
              <w:rPr>
                <w:rFonts w:hint="eastAsia" w:ascii="宋体" w:hAnsi="宋体" w:cs="宋体"/>
                <w:b/>
                <w:bCs/>
                <w:color w:val="auto"/>
                <w:sz w:val="24"/>
              </w:rPr>
              <w:t>服务</w:t>
            </w:r>
          </w:p>
        </w:tc>
        <w:tc>
          <w:tcPr>
            <w:tcW w:w="735" w:type="dxa"/>
            <w:vAlign w:val="center"/>
          </w:tcPr>
          <w:p w14:paraId="0380FA37">
            <w:pPr>
              <w:spacing w:line="276" w:lineRule="auto"/>
              <w:jc w:val="center"/>
              <w:rPr>
                <w:rFonts w:ascii="宋体" w:hAnsi="宋体" w:cs="宋体"/>
                <w:b/>
                <w:bCs/>
                <w:color w:val="auto"/>
                <w:sz w:val="24"/>
              </w:rPr>
            </w:pPr>
            <w:r>
              <w:rPr>
                <w:rFonts w:hint="eastAsia" w:ascii="宋体" w:hAnsi="宋体" w:cs="宋体"/>
                <w:b/>
                <w:bCs/>
                <w:color w:val="auto"/>
                <w:sz w:val="24"/>
              </w:rPr>
              <w:t>2</w:t>
            </w:r>
            <w:r>
              <w:rPr>
                <w:rFonts w:ascii="宋体" w:hAnsi="宋体" w:cs="宋体"/>
                <w:b/>
                <w:bCs/>
                <w:color w:val="auto"/>
                <w:sz w:val="24"/>
              </w:rPr>
              <w:t>1</w:t>
            </w:r>
          </w:p>
        </w:tc>
        <w:tc>
          <w:tcPr>
            <w:tcW w:w="7665" w:type="dxa"/>
            <w:vAlign w:val="center"/>
          </w:tcPr>
          <w:p w14:paraId="4530D243">
            <w:pPr>
              <w:spacing w:line="276" w:lineRule="auto"/>
              <w:ind w:firstLine="420" w:firstLineChars="175"/>
              <w:rPr>
                <w:color w:val="auto"/>
                <w:sz w:val="24"/>
              </w:rPr>
            </w:pPr>
            <w:r>
              <w:rPr>
                <w:color w:val="auto"/>
                <w:sz w:val="24"/>
              </w:rPr>
              <w:t xml:space="preserve">1. </w:t>
            </w:r>
            <w:r>
              <w:rPr>
                <w:b/>
                <w:bCs/>
                <w:color w:val="auto"/>
                <w:sz w:val="24"/>
              </w:rPr>
              <w:t>售后服务</w:t>
            </w:r>
            <w:r>
              <w:rPr>
                <w:color w:val="auto"/>
                <w:sz w:val="24"/>
              </w:rPr>
              <w:t>：提供完善的售后服务团队 （包含但不限于人员配备情况及具体分工情况）及售后服务承诺函（满分5分）。①提供承诺函得 3 分；②提供售后人员名单（包含： 姓名、身份证号、联系电话等）得 2 分</w:t>
            </w:r>
            <w:r>
              <w:rPr>
                <w:rFonts w:hint="eastAsia"/>
                <w:color w:val="auto"/>
                <w:sz w:val="24"/>
              </w:rPr>
              <w:t>。提供信息不完整的对应子项分数减半，未提供的对应子项不得分。</w:t>
            </w:r>
          </w:p>
          <w:p w14:paraId="75B4C344">
            <w:pPr>
              <w:spacing w:line="276" w:lineRule="auto"/>
              <w:ind w:firstLine="420" w:firstLineChars="175"/>
              <w:rPr>
                <w:rFonts w:ascii="宋体" w:hAnsi="宋体" w:cs="宋体"/>
                <w:color w:val="auto"/>
                <w:sz w:val="24"/>
              </w:rPr>
            </w:pPr>
            <w:r>
              <w:rPr>
                <w:color w:val="auto"/>
                <w:sz w:val="24"/>
              </w:rPr>
              <w:t xml:space="preserve">2. </w:t>
            </w:r>
            <w:r>
              <w:rPr>
                <w:b/>
                <w:bCs/>
                <w:color w:val="auto"/>
                <w:sz w:val="24"/>
              </w:rPr>
              <w:t>服务方案</w:t>
            </w:r>
            <w:r>
              <w:rPr>
                <w:color w:val="auto"/>
                <w:sz w:val="24"/>
              </w:rPr>
              <w:t>（满分 10 分）</w:t>
            </w:r>
            <w:r>
              <w:rPr>
                <w:rFonts w:hint="eastAsia"/>
                <w:color w:val="auto"/>
                <w:sz w:val="24"/>
              </w:rPr>
              <w:t>。响应方</w:t>
            </w:r>
            <w:r>
              <w:rPr>
                <w:color w:val="auto"/>
                <w:sz w:val="24"/>
              </w:rPr>
              <w:t>提供服务方案中须包含图书的采购</w:t>
            </w:r>
            <w:r>
              <w:rPr>
                <w:rFonts w:hint="eastAsia"/>
                <w:color w:val="auto"/>
                <w:sz w:val="24"/>
              </w:rPr>
              <w:t>（2分）</w:t>
            </w:r>
            <w:r>
              <w:rPr>
                <w:color w:val="auto"/>
                <w:sz w:val="24"/>
              </w:rPr>
              <w:t>、包装</w:t>
            </w:r>
            <w:r>
              <w:rPr>
                <w:rFonts w:hint="eastAsia"/>
                <w:color w:val="auto"/>
                <w:sz w:val="24"/>
              </w:rPr>
              <w:t>（1分）</w:t>
            </w:r>
            <w:r>
              <w:rPr>
                <w:color w:val="auto"/>
                <w:sz w:val="24"/>
              </w:rPr>
              <w:t>、运输</w:t>
            </w:r>
            <w:r>
              <w:rPr>
                <w:rFonts w:hint="eastAsia"/>
                <w:color w:val="auto"/>
                <w:sz w:val="24"/>
              </w:rPr>
              <w:t>（1分）</w:t>
            </w:r>
            <w:r>
              <w:rPr>
                <w:color w:val="auto"/>
                <w:sz w:val="24"/>
              </w:rPr>
              <w:t>、交货</w:t>
            </w:r>
            <w:r>
              <w:rPr>
                <w:rFonts w:hint="eastAsia"/>
                <w:color w:val="auto"/>
                <w:sz w:val="24"/>
              </w:rPr>
              <w:t>（1分）</w:t>
            </w:r>
            <w:r>
              <w:rPr>
                <w:color w:val="auto"/>
                <w:sz w:val="24"/>
              </w:rPr>
              <w:t>、分类</w:t>
            </w:r>
            <w:r>
              <w:rPr>
                <w:rFonts w:hint="eastAsia"/>
                <w:color w:val="auto"/>
                <w:sz w:val="24"/>
              </w:rPr>
              <w:t>（1分）</w:t>
            </w:r>
            <w:r>
              <w:rPr>
                <w:color w:val="auto"/>
                <w:sz w:val="24"/>
              </w:rPr>
              <w:t>、加工</w:t>
            </w:r>
            <w:r>
              <w:rPr>
                <w:rFonts w:hint="eastAsia"/>
                <w:color w:val="auto"/>
                <w:sz w:val="24"/>
              </w:rPr>
              <w:t>（2分）</w:t>
            </w:r>
            <w:r>
              <w:rPr>
                <w:color w:val="auto"/>
                <w:sz w:val="24"/>
              </w:rPr>
              <w:t>、验收</w:t>
            </w:r>
            <w:r>
              <w:rPr>
                <w:rFonts w:hint="eastAsia"/>
                <w:color w:val="auto"/>
                <w:sz w:val="24"/>
              </w:rPr>
              <w:t>（2分）</w:t>
            </w:r>
            <w:r>
              <w:rPr>
                <w:color w:val="auto"/>
                <w:sz w:val="24"/>
              </w:rPr>
              <w:t>。</w:t>
            </w:r>
            <w:r>
              <w:rPr>
                <w:rFonts w:hint="eastAsia"/>
                <w:color w:val="auto"/>
                <w:sz w:val="24"/>
              </w:rPr>
              <w:t>服务方案详细合理的对应子项得满分，有不足的对应子项分数减半，未提供的对应子项不得分。</w:t>
            </w:r>
          </w:p>
          <w:p w14:paraId="2CC4BA47">
            <w:pPr>
              <w:spacing w:line="276" w:lineRule="auto"/>
              <w:ind w:firstLine="420" w:firstLineChars="175"/>
              <w:rPr>
                <w:color w:val="auto"/>
                <w:sz w:val="24"/>
              </w:rPr>
            </w:pPr>
            <w:r>
              <w:rPr>
                <w:rFonts w:ascii="宋体" w:hAnsi="宋体" w:cs="宋体"/>
                <w:color w:val="auto"/>
                <w:sz w:val="24"/>
              </w:rPr>
              <w:t xml:space="preserve">3. </w:t>
            </w:r>
            <w:r>
              <w:rPr>
                <w:rFonts w:hint="eastAsia" w:ascii="宋体" w:hAnsi="宋体" w:cs="宋体"/>
                <w:b/>
                <w:bCs/>
                <w:color w:val="auto"/>
                <w:sz w:val="24"/>
              </w:rPr>
              <w:t>信息化服务</w:t>
            </w:r>
            <w:r>
              <w:rPr>
                <w:color w:val="auto"/>
                <w:sz w:val="24"/>
              </w:rPr>
              <w:t>（满分6分）</w:t>
            </w:r>
            <w:r>
              <w:rPr>
                <w:rFonts w:hint="eastAsia"/>
                <w:color w:val="auto"/>
                <w:sz w:val="24"/>
              </w:rPr>
              <w:t>。</w:t>
            </w:r>
            <w:r>
              <w:rPr>
                <w:rFonts w:hint="eastAsia" w:ascii="宋体" w:hAnsi="宋体" w:cs="宋体"/>
                <w:color w:val="auto"/>
                <w:sz w:val="24"/>
              </w:rPr>
              <w:t>有电子商务网站的得1分；电子商务网站功能全面性程度（0-</w:t>
            </w:r>
            <w:r>
              <w:rPr>
                <w:rFonts w:ascii="宋体" w:hAnsi="宋体" w:cs="宋体"/>
                <w:color w:val="auto"/>
                <w:sz w:val="24"/>
              </w:rPr>
              <w:t>2</w:t>
            </w:r>
            <w:r>
              <w:rPr>
                <w:rFonts w:hint="eastAsia" w:ascii="宋体" w:hAnsi="宋体" w:cs="宋体"/>
                <w:color w:val="auto"/>
                <w:sz w:val="24"/>
              </w:rPr>
              <w:t>分）；对项目实施有利程度（0-3分）。</w:t>
            </w:r>
            <w:r>
              <w:rPr>
                <w:color w:val="auto"/>
                <w:sz w:val="24"/>
              </w:rPr>
              <w:t>（须提供</w:t>
            </w:r>
            <w:r>
              <w:rPr>
                <w:rFonts w:hint="eastAsia" w:ascii="宋体" w:hAnsi="宋体" w:cs="宋体"/>
                <w:color w:val="auto"/>
                <w:sz w:val="24"/>
              </w:rPr>
              <w:t>网址、主页截图、功能截图等相关证明材料</w:t>
            </w:r>
            <w:r>
              <w:rPr>
                <w:rFonts w:ascii="宋体" w:hAnsi="宋体" w:cs="宋体"/>
                <w:color w:val="auto"/>
                <w:sz w:val="24"/>
              </w:rPr>
              <w:t>）</w:t>
            </w:r>
          </w:p>
        </w:tc>
      </w:tr>
      <w:tr w14:paraId="07C7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05" w:type="dxa"/>
            <w:vAlign w:val="center"/>
          </w:tcPr>
          <w:p w14:paraId="28528224">
            <w:pPr>
              <w:spacing w:line="276" w:lineRule="auto"/>
              <w:jc w:val="center"/>
              <w:rPr>
                <w:rFonts w:ascii="宋体" w:hAnsi="宋体" w:cs="宋体"/>
                <w:b/>
                <w:bCs/>
                <w:color w:val="auto"/>
                <w:sz w:val="24"/>
              </w:rPr>
            </w:pPr>
            <w:r>
              <w:rPr>
                <w:rFonts w:hint="eastAsia" w:ascii="宋体" w:hAnsi="宋体" w:cs="宋体"/>
                <w:b/>
                <w:bCs/>
                <w:color w:val="auto"/>
                <w:sz w:val="24"/>
              </w:rPr>
              <w:t>团队负责人</w:t>
            </w:r>
          </w:p>
        </w:tc>
        <w:tc>
          <w:tcPr>
            <w:tcW w:w="735" w:type="dxa"/>
            <w:vAlign w:val="center"/>
          </w:tcPr>
          <w:p w14:paraId="00D861B7">
            <w:pPr>
              <w:spacing w:line="276" w:lineRule="auto"/>
              <w:jc w:val="center"/>
              <w:rPr>
                <w:rFonts w:ascii="宋体" w:hAnsi="宋体" w:cs="宋体"/>
                <w:b/>
                <w:bCs/>
                <w:color w:val="auto"/>
                <w:sz w:val="24"/>
              </w:rPr>
            </w:pPr>
            <w:r>
              <w:rPr>
                <w:rFonts w:hint="eastAsia" w:ascii="宋体" w:hAnsi="宋体" w:cs="宋体"/>
                <w:b/>
                <w:bCs/>
                <w:color w:val="auto"/>
                <w:sz w:val="24"/>
              </w:rPr>
              <w:t>2</w:t>
            </w:r>
          </w:p>
        </w:tc>
        <w:tc>
          <w:tcPr>
            <w:tcW w:w="7665" w:type="dxa"/>
            <w:vAlign w:val="center"/>
          </w:tcPr>
          <w:p w14:paraId="39D92D6D">
            <w:pPr>
              <w:spacing w:line="276" w:lineRule="auto"/>
              <w:rPr>
                <w:color w:val="auto"/>
                <w:sz w:val="24"/>
              </w:rPr>
            </w:pPr>
            <w:r>
              <w:rPr>
                <w:color w:val="auto"/>
                <w:sz w:val="24"/>
              </w:rPr>
              <w:t>拟负责本项目人员，具有负责同类型项目工作经验2 年及以上得 2分，否则不得分（须提供业主方盖章证明材料）</w:t>
            </w:r>
            <w:r>
              <w:rPr>
                <w:rFonts w:hint="eastAsia"/>
                <w:color w:val="auto"/>
                <w:sz w:val="24"/>
                <w:lang w:eastAsia="zh-CN"/>
              </w:rPr>
              <w:t>【客观分】</w:t>
            </w:r>
            <w:bookmarkStart w:id="1006" w:name="_GoBack"/>
            <w:bookmarkEnd w:id="1006"/>
          </w:p>
        </w:tc>
      </w:tr>
      <w:tr w14:paraId="4AE07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05" w:type="dxa"/>
            <w:vAlign w:val="center"/>
          </w:tcPr>
          <w:p w14:paraId="56A35DA6">
            <w:pPr>
              <w:spacing w:line="276" w:lineRule="auto"/>
              <w:jc w:val="center"/>
              <w:rPr>
                <w:rFonts w:ascii="宋体" w:hAnsi="宋体" w:cs="宋体"/>
                <w:b/>
                <w:bCs/>
                <w:color w:val="auto"/>
                <w:sz w:val="24"/>
              </w:rPr>
            </w:pPr>
            <w:r>
              <w:rPr>
                <w:rFonts w:hint="eastAsia" w:ascii="宋体" w:hAnsi="宋体" w:cs="宋体"/>
                <w:b/>
                <w:bCs/>
                <w:color w:val="auto"/>
                <w:sz w:val="24"/>
              </w:rPr>
              <w:t>特色服务</w:t>
            </w:r>
          </w:p>
        </w:tc>
        <w:tc>
          <w:tcPr>
            <w:tcW w:w="735" w:type="dxa"/>
            <w:vAlign w:val="center"/>
          </w:tcPr>
          <w:p w14:paraId="1B692699">
            <w:pPr>
              <w:spacing w:line="276" w:lineRule="auto"/>
              <w:jc w:val="center"/>
              <w:rPr>
                <w:rFonts w:ascii="宋体" w:hAnsi="宋体" w:cs="宋体"/>
                <w:b/>
                <w:bCs/>
                <w:color w:val="auto"/>
                <w:sz w:val="24"/>
              </w:rPr>
            </w:pPr>
            <w:r>
              <w:rPr>
                <w:rFonts w:ascii="宋体" w:hAnsi="宋体" w:cs="宋体"/>
                <w:b/>
                <w:bCs/>
                <w:color w:val="auto"/>
                <w:sz w:val="24"/>
              </w:rPr>
              <w:t>10</w:t>
            </w:r>
          </w:p>
        </w:tc>
        <w:tc>
          <w:tcPr>
            <w:tcW w:w="7665" w:type="dxa"/>
            <w:vAlign w:val="center"/>
          </w:tcPr>
          <w:p w14:paraId="6022F689">
            <w:pPr>
              <w:spacing w:line="276" w:lineRule="auto"/>
              <w:rPr>
                <w:rFonts w:ascii="宋体" w:hAnsi="宋体" w:cs="宋体"/>
                <w:b/>
                <w:bCs/>
                <w:color w:val="auto"/>
                <w:sz w:val="24"/>
              </w:rPr>
            </w:pPr>
            <w:r>
              <w:rPr>
                <w:color w:val="auto"/>
                <w:sz w:val="24"/>
              </w:rPr>
              <w:t>提供支持图书馆建设及阅读推广活动方案（满分 10 分）</w:t>
            </w:r>
            <w:r>
              <w:rPr>
                <w:rFonts w:hint="eastAsia"/>
                <w:color w:val="auto"/>
                <w:sz w:val="24"/>
              </w:rPr>
              <w:t>，根据方案的详细程度（2分）、针对性（3分）、可行性（3分）及创新性（2分）打分</w:t>
            </w:r>
            <w:r>
              <w:rPr>
                <w:color w:val="auto"/>
                <w:sz w:val="24"/>
              </w:rPr>
              <w:t>。</w:t>
            </w:r>
            <w:r>
              <w:rPr>
                <w:rFonts w:hint="eastAsia"/>
                <w:color w:val="auto"/>
                <w:sz w:val="24"/>
              </w:rPr>
              <w:t>方案详细，针对性、可对性及创新性强，对应子项得满分；有不足的对应子项分数减半；完全不足的对应子项不得分。</w:t>
            </w:r>
            <w:r>
              <w:rPr>
                <w:color w:val="auto"/>
                <w:sz w:val="24"/>
              </w:rPr>
              <w:t>未提供方案</w:t>
            </w:r>
            <w:r>
              <w:rPr>
                <w:rFonts w:hint="eastAsia"/>
                <w:color w:val="auto"/>
                <w:sz w:val="24"/>
              </w:rPr>
              <w:t>本项</w:t>
            </w:r>
            <w:r>
              <w:rPr>
                <w:color w:val="auto"/>
                <w:sz w:val="24"/>
              </w:rPr>
              <w:t>不得分。</w:t>
            </w:r>
          </w:p>
        </w:tc>
      </w:tr>
    </w:tbl>
    <w:p w14:paraId="32EA96AC">
      <w:pPr>
        <w:pStyle w:val="8"/>
        <w:spacing w:line="276" w:lineRule="auto"/>
        <w:rPr>
          <w:color w:val="auto"/>
          <w:sz w:val="24"/>
        </w:rPr>
      </w:pPr>
    </w:p>
    <w:p w14:paraId="311DC73D">
      <w:pPr>
        <w:pStyle w:val="23"/>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7108DC00">
      <w:pPr>
        <w:keepNext w:val="0"/>
        <w:keepLines w:val="0"/>
        <w:pageBreakBefore w:val="0"/>
        <w:widowControl/>
        <w:kinsoku/>
        <w:wordWrap/>
        <w:overflowPunct/>
        <w:topLinePunct w:val="0"/>
        <w:autoSpaceDE/>
        <w:autoSpaceDN/>
        <w:bidi w:val="0"/>
        <w:adjustRightInd/>
        <w:snapToGrid w:val="0"/>
        <w:spacing w:before="0" w:beforeLines="50" w:after="0" w:afterLines="50" w:line="276" w:lineRule="auto"/>
        <w:ind w:firstLine="482" w:firstLineChars="200"/>
        <w:textAlignment w:val="auto"/>
        <w:rPr>
          <w:rFonts w:ascii="宋体" w:hAnsi="宋体" w:cs="宋体"/>
          <w:b/>
          <w:bCs/>
          <w:color w:val="auto"/>
          <w:sz w:val="24"/>
        </w:rPr>
      </w:pPr>
      <w:bookmarkStart w:id="488" w:name="_Toc25244"/>
      <w:bookmarkStart w:id="489" w:name="_Toc24145"/>
      <w:bookmarkStart w:id="490" w:name="_Toc22598"/>
      <w:bookmarkStart w:id="491" w:name="_Toc1372"/>
      <w:bookmarkStart w:id="492" w:name="_Toc20757"/>
      <w:bookmarkStart w:id="493" w:name="_Toc10701"/>
      <w:bookmarkStart w:id="494" w:name="_Toc6434"/>
      <w:r>
        <w:rPr>
          <w:rFonts w:hint="eastAsia" w:ascii="宋体" w:hAnsi="宋体" w:cs="宋体"/>
          <w:b/>
          <w:bCs/>
          <w:color w:val="auto"/>
          <w:sz w:val="24"/>
        </w:rPr>
        <w:t>2、报价分   总分 30 分</w:t>
      </w:r>
    </w:p>
    <w:p w14:paraId="63B7DA1D">
      <w:pPr>
        <w:widowControl/>
        <w:snapToGrid w:val="0"/>
        <w:spacing w:line="276" w:lineRule="auto"/>
        <w:ind w:firstLine="480" w:firstLineChars="200"/>
        <w:rPr>
          <w:rFonts w:ascii="宋体" w:hAnsi="宋体" w:cs="宋体"/>
          <w:color w:val="auto"/>
          <w:sz w:val="24"/>
        </w:rPr>
      </w:pPr>
      <w:r>
        <w:rPr>
          <w:rFonts w:hint="eastAsia" w:ascii="宋体" w:hAnsi="宋体" w:cs="宋体"/>
          <w:color w:val="auto"/>
          <w:sz w:val="24"/>
        </w:rPr>
        <w:t>报价评分将在有效供应商范围内进行，最高得</w:t>
      </w:r>
      <w:r>
        <w:rPr>
          <w:rFonts w:hint="eastAsia" w:ascii="宋体" w:hAnsi="宋体" w:cs="宋体"/>
          <w:color w:val="auto"/>
          <w:sz w:val="24"/>
          <w:u w:val="single"/>
        </w:rPr>
        <w:t xml:space="preserve"> 30 </w:t>
      </w:r>
      <w:r>
        <w:rPr>
          <w:rFonts w:hint="eastAsia" w:ascii="宋体" w:hAnsi="宋体" w:cs="宋体"/>
          <w:color w:val="auto"/>
          <w:sz w:val="24"/>
        </w:rPr>
        <w:t>分，最低得</w:t>
      </w:r>
      <w:r>
        <w:rPr>
          <w:rFonts w:hint="eastAsia" w:ascii="宋体" w:hAnsi="宋体" w:cs="宋体"/>
          <w:color w:val="auto"/>
          <w:sz w:val="24"/>
          <w:u w:val="single"/>
        </w:rPr>
        <w:t xml:space="preserve"> 0 </w:t>
      </w:r>
      <w:r>
        <w:rPr>
          <w:rFonts w:hint="eastAsia" w:ascii="宋体" w:hAnsi="宋体" w:cs="宋体"/>
          <w:color w:val="auto"/>
          <w:sz w:val="24"/>
        </w:rPr>
        <w:t>分（小数点后保留二位小数，第三位四舍五入）。满足竞争性磋商文件要求且最后报价最低的</w:t>
      </w:r>
      <w:r>
        <w:rPr>
          <w:rFonts w:hint="eastAsia" w:ascii="宋体" w:hAnsi="宋体" w:cs="宋体"/>
          <w:b/>
          <w:color w:val="auto"/>
          <w:sz w:val="24"/>
          <w:u w:val="thick"/>
        </w:rPr>
        <w:t>磋商报价</w:t>
      </w:r>
      <w:r>
        <w:rPr>
          <w:rFonts w:hint="eastAsia" w:ascii="宋体" w:hAnsi="宋体" w:cs="宋体"/>
          <w:color w:val="auto"/>
          <w:sz w:val="24"/>
        </w:rPr>
        <w:t>为</w:t>
      </w:r>
      <w:r>
        <w:rPr>
          <w:rFonts w:hint="eastAsia" w:ascii="宋体" w:hAnsi="宋体" w:cs="宋体"/>
          <w:b/>
          <w:color w:val="auto"/>
          <w:sz w:val="24"/>
          <w:u w:val="thick"/>
        </w:rPr>
        <w:t>磋商基准价</w:t>
      </w:r>
      <w:r>
        <w:rPr>
          <w:rFonts w:hint="eastAsia" w:ascii="宋体" w:hAnsi="宋体" w:cs="宋体"/>
          <w:color w:val="auto"/>
          <w:sz w:val="24"/>
        </w:rPr>
        <w:t>，供应商的价格分统一按照下列公式计算：</w:t>
      </w:r>
    </w:p>
    <w:p w14:paraId="635198DD">
      <w:pPr>
        <w:pStyle w:val="23"/>
        <w:spacing w:before="120" w:beforeLines="50" w:line="288" w:lineRule="auto"/>
        <w:ind w:firstLine="420" w:firstLineChars="175"/>
        <w:rPr>
          <w:rFonts w:hint="eastAsia"/>
          <w:b/>
          <w:color w:val="auto"/>
          <w:szCs w:val="24"/>
        </w:rPr>
      </w:pPr>
      <w:r>
        <w:rPr>
          <w:rFonts w:hint="eastAsia" w:ascii="宋体" w:hAnsi="宋体" w:cs="宋体"/>
          <w:color w:val="auto"/>
          <w:sz w:val="24"/>
        </w:rPr>
        <w:t>磋商报价得分=（磋商基准价/最后磋商报价）×价格权值×100</w:t>
      </w:r>
    </w:p>
    <w:p w14:paraId="71609673">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488"/>
    <w:bookmarkEnd w:id="489"/>
    <w:bookmarkEnd w:id="490"/>
    <w:bookmarkEnd w:id="491"/>
    <w:bookmarkEnd w:id="492"/>
    <w:bookmarkEnd w:id="493"/>
    <w:bookmarkEnd w:id="494"/>
    <w:p w14:paraId="5C16A649">
      <w:pPr>
        <w:pStyle w:val="4"/>
        <w:keepNext/>
        <w:keepLines/>
        <w:pageBreakBefore w:val="0"/>
        <w:widowControl w:val="0"/>
        <w:kinsoku/>
        <w:wordWrap/>
        <w:overflowPunct/>
        <w:topLinePunct w:val="0"/>
        <w:autoSpaceDE/>
        <w:autoSpaceDN/>
        <w:bidi w:val="0"/>
        <w:adjustRightInd w:val="0"/>
        <w:snapToGrid/>
        <w:spacing w:before="0" w:after="0" w:line="360" w:lineRule="auto"/>
        <w:textAlignment w:val="auto"/>
        <w:outlineLvl w:val="0"/>
        <w:rPr>
          <w:color w:val="auto"/>
        </w:rPr>
      </w:pPr>
      <w:bookmarkStart w:id="495" w:name="_Toc13560"/>
      <w:bookmarkStart w:id="496" w:name="_Toc12980_WPSOffice_Level1"/>
      <w:bookmarkStart w:id="497" w:name="_Toc24073"/>
      <w:bookmarkStart w:id="498" w:name="_Toc17908"/>
      <w:bookmarkStart w:id="499" w:name="_Toc29628"/>
      <w:bookmarkStart w:id="500" w:name="_Toc11101"/>
      <w:bookmarkStart w:id="501" w:name="_Toc9271"/>
      <w:bookmarkStart w:id="502" w:name="_Toc10743"/>
      <w:bookmarkStart w:id="503" w:name="_Toc22186"/>
      <w:bookmarkStart w:id="504" w:name="_Toc32547"/>
      <w:bookmarkStart w:id="505" w:name="_Toc31149"/>
      <w:bookmarkStart w:id="506" w:name="_Toc11975"/>
      <w:bookmarkStart w:id="507" w:name="_Toc2437"/>
      <w:bookmarkStart w:id="508" w:name="_Toc20227"/>
      <w:bookmarkStart w:id="509" w:name="_Toc27538"/>
      <w:bookmarkStart w:id="510" w:name="_Toc5912"/>
      <w:bookmarkStart w:id="511" w:name="_Toc30909"/>
      <w:bookmarkStart w:id="512" w:name="_Toc4881"/>
      <w:bookmarkStart w:id="513" w:name="_Toc11193"/>
      <w:bookmarkStart w:id="514" w:name="_Toc10961"/>
      <w:bookmarkStart w:id="515" w:name="_Toc7720"/>
      <w:bookmarkStart w:id="516" w:name="_Toc12648"/>
      <w:bookmarkStart w:id="517" w:name="_Toc30074"/>
      <w:bookmarkStart w:id="518" w:name="_Hlk163050796"/>
      <w:bookmarkStart w:id="519" w:name="_Toc8120"/>
      <w:bookmarkStart w:id="520" w:name="_Toc11103"/>
      <w:bookmarkStart w:id="521" w:name="_Toc18687"/>
      <w:bookmarkStart w:id="522" w:name="_Toc1600"/>
      <w:bookmarkStart w:id="523" w:name="_Toc12834"/>
      <w:bookmarkStart w:id="524" w:name="_Toc32613"/>
      <w:bookmarkStart w:id="525" w:name="_Toc16244"/>
      <w:bookmarkStart w:id="526" w:name="_Toc10262"/>
      <w:bookmarkStart w:id="527" w:name="_Toc24190"/>
      <w:bookmarkStart w:id="528" w:name="_Toc22722"/>
      <w:bookmarkStart w:id="529" w:name="_Toc16795"/>
      <w:bookmarkStart w:id="530" w:name="_Toc13533"/>
      <w:bookmarkStart w:id="531" w:name="_Toc2560"/>
      <w:bookmarkStart w:id="532" w:name="_Toc22400"/>
      <w:bookmarkStart w:id="533" w:name="_Toc18610"/>
      <w:bookmarkStart w:id="534" w:name="_Toc26629"/>
      <w:bookmarkStart w:id="535" w:name="_Toc3727"/>
      <w:bookmarkStart w:id="536" w:name="_Toc8356"/>
      <w:bookmarkStart w:id="537" w:name="_Toc8338"/>
      <w:bookmarkStart w:id="538" w:name="_Toc6559"/>
      <w:bookmarkStart w:id="539" w:name="_Toc1047"/>
      <w:bookmarkStart w:id="540" w:name="_Toc10667"/>
      <w:bookmarkStart w:id="541" w:name="_Toc11486"/>
      <w:bookmarkStart w:id="542" w:name="_Toc3807"/>
      <w:r>
        <w:rPr>
          <w:rFonts w:hint="eastAsia"/>
          <w:color w:val="auto"/>
        </w:rPr>
        <w:t>第五部分 合同基本条款</w:t>
      </w:r>
      <w:bookmarkEnd w:id="495"/>
      <w:bookmarkEnd w:id="496"/>
    </w:p>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14:paraId="3EE7B708">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bookmarkEnd w:id="518"/>
    </w:p>
    <w:p w14:paraId="11B78BAC">
      <w:pPr>
        <w:keepNext w:val="0"/>
        <w:keepLines w:val="0"/>
        <w:pageBreakBefore w:val="0"/>
        <w:widowControl w:val="0"/>
        <w:kinsoku/>
        <w:wordWrap/>
        <w:overflowPunct/>
        <w:topLinePunct w:val="0"/>
        <w:autoSpaceDE/>
        <w:autoSpaceDN/>
        <w:bidi w:val="0"/>
        <w:adjustRightInd/>
        <w:spacing w:line="312" w:lineRule="auto"/>
        <w:jc w:val="center"/>
        <w:textAlignment w:val="auto"/>
        <w:rPr>
          <w:b/>
          <w:bCs/>
          <w:color w:val="auto"/>
          <w:sz w:val="28"/>
          <w:szCs w:val="28"/>
        </w:rPr>
      </w:pPr>
      <w:bookmarkStart w:id="543" w:name="_Toc32441_WPSOffice_Level2"/>
      <w:bookmarkStart w:id="544" w:name="_Toc886"/>
      <w:bookmarkStart w:id="545" w:name="_Toc30517"/>
      <w:r>
        <w:rPr>
          <w:rFonts w:hint="eastAsia"/>
          <w:b/>
          <w:bCs/>
          <w:color w:val="auto"/>
          <w:sz w:val="28"/>
          <w:szCs w:val="28"/>
        </w:rPr>
        <w:t>杭州电子科技大学采购合同（货物类）</w:t>
      </w:r>
      <w:bookmarkEnd w:id="543"/>
    </w:p>
    <w:p w14:paraId="571C908B">
      <w:pPr>
        <w:keepNext w:val="0"/>
        <w:keepLines w:val="0"/>
        <w:pageBreakBefore w:val="0"/>
        <w:widowControl w:val="0"/>
        <w:kinsoku/>
        <w:wordWrap/>
        <w:overflowPunct/>
        <w:topLinePunct w:val="0"/>
        <w:autoSpaceDE/>
        <w:autoSpaceDN/>
        <w:bidi w:val="0"/>
        <w:adjustRightInd/>
        <w:spacing w:line="312" w:lineRule="auto"/>
        <w:jc w:val="right"/>
        <w:textAlignment w:val="auto"/>
        <w:rPr>
          <w:color w:val="auto"/>
        </w:rPr>
      </w:pPr>
      <w:r>
        <w:rPr>
          <w:rFonts w:hint="eastAsia"/>
          <w:color w:val="auto"/>
        </w:rPr>
        <w:t>合同编号_</w:t>
      </w:r>
      <w:r>
        <w:rPr>
          <w:color w:val="auto"/>
        </w:rPr>
        <w:t xml:space="preserve">________________ </w:t>
      </w:r>
    </w:p>
    <w:p w14:paraId="20F3BE64">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确认书号：</w:t>
      </w:r>
    </w:p>
    <w:p w14:paraId="487C6FEF">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项目编号：</w:t>
      </w:r>
    </w:p>
    <w:p w14:paraId="26FAD4C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 xml:space="preserve">甲方（采购人）：杭州电子科技大学 </w:t>
      </w:r>
      <w:r>
        <w:rPr>
          <w:color w:val="auto"/>
        </w:rPr>
        <w:t xml:space="preserve"> </w:t>
      </w:r>
    </w:p>
    <w:p w14:paraId="002240D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乙方（供应商）：</w:t>
      </w:r>
      <w:r>
        <w:rPr>
          <w:color w:val="auto"/>
        </w:rPr>
        <w:t xml:space="preserve"> </w:t>
      </w:r>
    </w:p>
    <w:p w14:paraId="4AA8F17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u w:val="none"/>
          <w:lang w:eastAsia="zh-CN"/>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1CAF700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bookmarkStart w:id="546" w:name="_Toc8741_WPSOffice_Level2"/>
      <w:r>
        <w:rPr>
          <w:rFonts w:hint="eastAsia"/>
          <w:b/>
          <w:bCs/>
          <w:color w:val="auto"/>
        </w:rPr>
        <w:t>一、采购货物与合同价格</w:t>
      </w:r>
      <w:bookmarkEnd w:id="546"/>
    </w:p>
    <w:tbl>
      <w:tblPr>
        <w:tblStyle w:val="47"/>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50C22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E440F4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5B9B096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DC9DE5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738E485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32474AF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7D992D3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6DD54BE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总价</w:t>
            </w:r>
          </w:p>
        </w:tc>
      </w:tr>
      <w:tr w14:paraId="5EA8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E573D1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color w:val="auto"/>
              </w:rPr>
              <w:t>1</w:t>
            </w:r>
          </w:p>
        </w:tc>
        <w:tc>
          <w:tcPr>
            <w:tcW w:w="1270" w:type="dxa"/>
            <w:tcBorders>
              <w:top w:val="single" w:color="auto" w:sz="4" w:space="0"/>
              <w:left w:val="single" w:color="auto" w:sz="4" w:space="0"/>
              <w:bottom w:val="single" w:color="auto" w:sz="4" w:space="0"/>
              <w:right w:val="single" w:color="auto" w:sz="4" w:space="0"/>
            </w:tcBorders>
            <w:vAlign w:val="center"/>
          </w:tcPr>
          <w:p w14:paraId="304EFB3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6F134EBA">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54D43C5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76726EC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1072A2F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178E882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46C9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58FF2A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70" w:type="dxa"/>
            <w:tcBorders>
              <w:top w:val="single" w:color="auto" w:sz="4" w:space="0"/>
              <w:left w:val="single" w:color="auto" w:sz="4" w:space="0"/>
              <w:bottom w:val="single" w:color="auto" w:sz="4" w:space="0"/>
              <w:right w:val="single" w:color="auto" w:sz="4" w:space="0"/>
            </w:tcBorders>
            <w:vAlign w:val="center"/>
          </w:tcPr>
          <w:p w14:paraId="515204F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67DD9BE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4E9F38E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57B860E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29A6AC3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44DC63B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51865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F698EF6">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090C91D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39D2F91E">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bookmarkStart w:id="547" w:name="_Toc3494_WPSOffice_Level2"/>
      <w:r>
        <w:rPr>
          <w:rFonts w:hint="eastAsia"/>
          <w:b/>
          <w:bCs/>
          <w:color w:val="auto"/>
        </w:rPr>
        <w:t>二、供货范围</w:t>
      </w:r>
      <w:bookmarkEnd w:id="547"/>
    </w:p>
    <w:p w14:paraId="3024A11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合同供货范围包括所有合同货物、相关的技术资料。</w:t>
      </w:r>
    </w:p>
    <w:p w14:paraId="2FD833C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36E61D1">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bookmarkStart w:id="548" w:name="_Toc29703_WPSOffice_Level2"/>
      <w:r>
        <w:rPr>
          <w:rFonts w:hint="eastAsia"/>
          <w:b/>
          <w:bCs/>
          <w:color w:val="auto"/>
        </w:rPr>
        <w:t>三、质保期、履约保证金与货款结算</w:t>
      </w:r>
      <w:bookmarkEnd w:id="548"/>
    </w:p>
    <w:p w14:paraId="69738F51">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1</w:t>
      </w:r>
      <w:r>
        <w:rPr>
          <w:rFonts w:ascii="宋体" w:hAnsi="宋体"/>
          <w:b/>
          <w:bCs/>
          <w:color w:val="auto"/>
          <w:spacing w:val="-6"/>
        </w:rPr>
        <w:t>.</w:t>
      </w:r>
      <w:r>
        <w:rPr>
          <w:rFonts w:hint="eastAsia"/>
          <w:b/>
          <w:bCs/>
          <w:color w:val="auto"/>
        </w:rPr>
        <w:t>质保期</w:t>
      </w:r>
      <w:r>
        <w:rPr>
          <w:rFonts w:hint="eastAsia"/>
          <w:color w:val="auto"/>
        </w:rPr>
        <w:t>：自验收合格之日起，质保期</w:t>
      </w:r>
      <w:r>
        <w:rPr>
          <w:color w:val="auto"/>
          <w:u w:val="single"/>
        </w:rPr>
        <w:t xml:space="preserve">   </w:t>
      </w:r>
      <w:r>
        <w:rPr>
          <w:rFonts w:hint="eastAsia"/>
          <w:color w:val="auto"/>
          <w:u w:val="single"/>
          <w:lang w:val="en-US" w:eastAsia="zh-CN"/>
        </w:rPr>
        <w:t xml:space="preserve">  </w:t>
      </w:r>
      <w:r>
        <w:rPr>
          <w:rFonts w:hint="eastAsia"/>
          <w:color w:val="auto"/>
          <w:u w:val="none"/>
          <w:lang w:val="en-US" w:eastAsia="zh-CN"/>
        </w:rPr>
        <w:t xml:space="preserve"> 月</w:t>
      </w:r>
      <w:r>
        <w:rPr>
          <w:rFonts w:hint="eastAsia"/>
          <w:color w:val="auto"/>
        </w:rPr>
        <w:t>。超过质保期的货物，终生维修，维修时只收部件成本费。软件的质保期即维护期，乙方应提供升级服务。质保期内质保维护升级等费用包含在合同总价中，不额外收取。</w:t>
      </w:r>
      <w:r>
        <w:rPr>
          <w:rFonts w:hint="eastAsia"/>
          <w:color w:val="auto"/>
          <w:lang w:val="en-US" w:eastAsia="zh-CN"/>
        </w:rPr>
        <w:t>其他质保说明（如有）：</w:t>
      </w:r>
      <w:r>
        <w:rPr>
          <w:rFonts w:hint="eastAsia"/>
          <w:color w:val="auto"/>
          <w:u w:val="single"/>
          <w:lang w:val="en-US" w:eastAsia="zh-CN"/>
        </w:rPr>
        <w:t xml:space="preserve">                </w:t>
      </w:r>
      <w:r>
        <w:rPr>
          <w:rFonts w:hint="eastAsia"/>
          <w:color w:val="auto"/>
          <w:u w:val="none"/>
          <w:lang w:val="en-US" w:eastAsia="zh-CN"/>
        </w:rPr>
        <w:t>。</w:t>
      </w:r>
    </w:p>
    <w:p w14:paraId="75507128">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2.</w:t>
      </w:r>
      <w:r>
        <w:rPr>
          <w:rFonts w:hint="eastAsia"/>
          <w:b/>
          <w:bCs/>
          <w:color w:val="auto"/>
        </w:rPr>
        <w:t>履约保证金（如</w:t>
      </w:r>
      <w:r>
        <w:rPr>
          <w:rFonts w:hint="eastAsia"/>
          <w:b/>
          <w:bCs/>
          <w:color w:val="auto"/>
          <w:lang w:val="en-US" w:eastAsia="zh-CN"/>
        </w:rPr>
        <w:t>有</w:t>
      </w:r>
      <w:r>
        <w:rPr>
          <w:rFonts w:hint="eastAsia"/>
          <w:b/>
          <w:bCs/>
          <w:color w:val="auto"/>
        </w:rPr>
        <w:t>）：</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w:t>
      </w:r>
      <w:r>
        <w:rPr>
          <w:rFonts w:hint="eastAsia"/>
          <w:color w:val="auto"/>
          <w:lang w:eastAsia="zh-CN"/>
        </w:rPr>
        <w:t>（</w:t>
      </w:r>
      <w:r>
        <w:rPr>
          <w:rFonts w:hint="eastAsia"/>
          <w:color w:val="auto"/>
          <w:lang w:val="en-US" w:eastAsia="zh-CN"/>
        </w:rPr>
        <w:t>须到学校</w:t>
      </w:r>
      <w:r>
        <w:rPr>
          <w:rFonts w:hint="eastAsia"/>
          <w:color w:val="auto"/>
        </w:rPr>
        <w:t>计划财务</w:t>
      </w:r>
      <w:r>
        <w:rPr>
          <w:rFonts w:hint="eastAsia"/>
          <w:color w:val="auto"/>
          <w:lang w:val="en-US" w:eastAsia="zh-CN"/>
        </w:rPr>
        <w:t>处办理退还手续</w:t>
      </w:r>
      <w:r>
        <w:rPr>
          <w:rFonts w:hint="eastAsia"/>
          <w:color w:val="auto"/>
          <w:lang w:eastAsia="zh-CN"/>
        </w:rPr>
        <w:t>）</w:t>
      </w:r>
      <w:r>
        <w:rPr>
          <w:rFonts w:hint="eastAsia"/>
          <w:color w:val="auto"/>
        </w:rPr>
        <w:t>，以保函形式提交的履约保证金无需办理退还手续。收款单位（户名）：杭州电子科技大学。开户银行：工行高新支行。银行账号：</w:t>
      </w:r>
      <w:r>
        <w:rPr>
          <w:color w:val="auto"/>
        </w:rPr>
        <w:t>1202026209008806216</w:t>
      </w:r>
      <w:r>
        <w:rPr>
          <w:rFonts w:hint="eastAsia"/>
          <w:color w:val="auto"/>
        </w:rPr>
        <w:t>。</w:t>
      </w:r>
    </w:p>
    <w:p w14:paraId="19AE2C1C">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3</w:t>
      </w:r>
      <w:r>
        <w:rPr>
          <w:rFonts w:ascii="宋体" w:hAnsi="宋体"/>
          <w:b/>
          <w:bCs/>
          <w:color w:val="auto"/>
          <w:spacing w:val="-6"/>
        </w:rPr>
        <w:t>.</w:t>
      </w:r>
      <w:r>
        <w:rPr>
          <w:rFonts w:hint="eastAsia"/>
          <w:b/>
          <w:bCs/>
          <w:color w:val="auto"/>
        </w:rPr>
        <w:t>货款结算</w:t>
      </w:r>
      <w:r>
        <w:rPr>
          <w:rFonts w:hint="eastAsia"/>
          <w:b/>
          <w:bCs/>
          <w:color w:val="auto"/>
          <w:lang w:eastAsia="zh-CN"/>
        </w:rPr>
        <w:t>：</w:t>
      </w:r>
      <w:r>
        <w:rPr>
          <w:rFonts w:hint="eastAsia"/>
          <w:color w:val="auto"/>
        </w:rPr>
        <w:t>按以下第</w:t>
      </w:r>
      <w:r>
        <w:rPr>
          <w:rFonts w:hint="eastAsia"/>
          <w:color w:val="auto"/>
          <w:u w:val="single"/>
        </w:rPr>
        <w:t xml:space="preserve">        </w:t>
      </w:r>
      <w:r>
        <w:rPr>
          <w:rFonts w:hint="eastAsia"/>
          <w:color w:val="auto"/>
        </w:rPr>
        <w:t>种方式支付乙方合同价款。</w:t>
      </w:r>
    </w:p>
    <w:p w14:paraId="3B77748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宋体" w:hAnsi="宋体"/>
          <w:color w:val="auto"/>
          <w:spacing w:val="-6"/>
        </w:rPr>
        <w:t>1</w:t>
      </w:r>
      <w:r>
        <w:rPr>
          <w:rFonts w:hint="eastAsia"/>
          <w:color w:val="auto"/>
        </w:rPr>
        <w:t>）预付款方式：合同生效以及具备实施条件且乙方已向甲方提交银行、保险公司等金融机构出具的预付款保函</w:t>
      </w:r>
      <w:r>
        <w:rPr>
          <w:rFonts w:hint="eastAsia"/>
          <w:color w:val="auto"/>
          <w:lang w:val="en-US" w:eastAsia="zh-CN"/>
        </w:rPr>
        <w:t>后</w:t>
      </w:r>
      <w:r>
        <w:rPr>
          <w:rFonts w:hint="eastAsia"/>
          <w:color w:val="auto"/>
        </w:rPr>
        <w:t>，</w:t>
      </w:r>
      <w:r>
        <w:rPr>
          <w:color w:val="auto"/>
        </w:rPr>
        <w:t>7</w:t>
      </w:r>
      <w:r>
        <w:rPr>
          <w:rFonts w:hint="eastAsia"/>
          <w:color w:val="auto"/>
        </w:rPr>
        <w:t>个工作日内，甲方向乙方支付合同总价的</w:t>
      </w:r>
      <w:r>
        <w:rPr>
          <w:color w:val="auto"/>
          <w:u w:val="single"/>
        </w:rPr>
        <w:t xml:space="preserve">      </w:t>
      </w:r>
      <w:r>
        <w:rPr>
          <w:color w:val="auto"/>
        </w:rPr>
        <w:t>%（</w:t>
      </w:r>
      <w:r>
        <w:rPr>
          <w:rFonts w:hint="eastAsia"/>
          <w:color w:val="auto"/>
          <w:lang w:val="en-US" w:eastAsia="zh-CN"/>
        </w:rPr>
        <w:t>中小微企业限</w:t>
      </w:r>
      <w:r>
        <w:rPr>
          <w:rFonts w:hint="eastAsia" w:ascii="仿宋_GB2312" w:hAnsi="仿宋" w:eastAsia="仿宋_GB2312" w:cs="仿宋_GB2312"/>
          <w:color w:val="auto"/>
          <w:kern w:val="2"/>
          <w:sz w:val="24"/>
          <w:szCs w:val="24"/>
          <w:lang w:val="en-US" w:eastAsia="zh-CN"/>
        </w:rPr>
        <w:t>3</w:t>
      </w:r>
      <w:r>
        <w:rPr>
          <w:rFonts w:hint="eastAsia" w:ascii="仿宋_GB2312" w:hAnsi="仿宋" w:eastAsia="仿宋_GB2312" w:cs="仿宋_GB2312"/>
          <w:color w:val="auto"/>
          <w:kern w:val="2"/>
          <w:sz w:val="24"/>
          <w:szCs w:val="24"/>
        </w:rPr>
        <w:t>0％</w:t>
      </w:r>
      <w:r>
        <w:rPr>
          <w:rFonts w:hint="eastAsia" w:ascii="仿宋_GB2312" w:hAnsi="仿宋" w:eastAsia="仿宋_GB2312" w:cs="仿宋_GB2312"/>
          <w:color w:val="auto"/>
          <w:kern w:val="2"/>
          <w:sz w:val="24"/>
          <w:szCs w:val="24"/>
          <w:lang w:val="en-US" w:eastAsia="zh-CN"/>
        </w:rPr>
        <w:t>-7</w:t>
      </w:r>
      <w:r>
        <w:rPr>
          <w:rFonts w:hint="eastAsia" w:ascii="仿宋_GB2312" w:hAnsi="仿宋" w:eastAsia="仿宋_GB2312" w:cs="仿宋_GB2312"/>
          <w:color w:val="auto"/>
          <w:kern w:val="2"/>
          <w:sz w:val="24"/>
          <w:szCs w:val="24"/>
        </w:rPr>
        <w:t>0%</w:t>
      </w:r>
      <w:r>
        <w:rPr>
          <w:color w:val="auto"/>
        </w:rPr>
        <w:t>）</w:t>
      </w:r>
      <w:r>
        <w:rPr>
          <w:rFonts w:hint="eastAsia"/>
          <w:color w:val="auto"/>
        </w:rPr>
        <w:t>；货物在乙方安装调试完毕经甲方验收合格并收到</w:t>
      </w:r>
      <w:r>
        <w:rPr>
          <w:rFonts w:hint="eastAsia"/>
          <w:color w:val="auto"/>
          <w:lang w:val="en-US" w:eastAsia="zh-CN"/>
        </w:rPr>
        <w:t>增值税专用</w:t>
      </w:r>
      <w:r>
        <w:rPr>
          <w:rFonts w:hint="eastAsia"/>
          <w:color w:val="auto"/>
        </w:rPr>
        <w:t>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。若供应商收取预付款，要求预付款保函有效期覆盖项目验收合格时间；提供了预付款保函则供应商无需再缴纳履约保证金。</w:t>
      </w:r>
    </w:p>
    <w:p w14:paraId="2D2F4F2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Theme="minorEastAsia" w:hAnsiTheme="minorEastAsia" w:eastAsiaTheme="minorEastAsia"/>
          <w:color w:val="auto"/>
        </w:rPr>
        <w:t>2</w:t>
      </w:r>
      <w:r>
        <w:rPr>
          <w:rFonts w:hint="eastAsia"/>
          <w:color w:val="auto"/>
        </w:rPr>
        <w:t>）无需预付款的，可以采用以下付款方式：</w:t>
      </w:r>
    </w:p>
    <w:p w14:paraId="7505997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①</w:t>
      </w:r>
      <w:r>
        <w:rPr>
          <w:rFonts w:hint="eastAsia"/>
          <w:bCs/>
          <w:color w:val="auto"/>
        </w:rPr>
        <w:t>货到分期付款：</w:t>
      </w:r>
      <w:r>
        <w:rPr>
          <w:rFonts w:hint="eastAsia"/>
          <w:color w:val="auto"/>
        </w:rPr>
        <w:t>货物送达并经甲方初步验收并收到有效票据后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个工作日内，甲方向乙方支付合同总价的</w:t>
      </w:r>
      <w:r>
        <w:rPr>
          <w:color w:val="auto"/>
        </w:rPr>
        <w:t>30%</w:t>
      </w:r>
      <w:r>
        <w:rPr>
          <w:rFonts w:hint="eastAsia"/>
          <w:color w:val="auto"/>
        </w:rPr>
        <w:t>。</w:t>
      </w:r>
    </w:p>
    <w:p w14:paraId="7345167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②货到一次性支付：</w:t>
      </w:r>
    </w:p>
    <w:p w14:paraId="2EDF363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全部货物送达安装调试完毕，经甲方验收合格，收到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个工作日内，甲方向乙方支付全部合同价款。</w:t>
      </w:r>
      <w:r>
        <w:rPr>
          <w:color w:val="auto"/>
        </w:rPr>
        <w:t xml:space="preserve"> </w:t>
      </w:r>
    </w:p>
    <w:p w14:paraId="006BB55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③其它支付形式</w:t>
      </w:r>
      <w:r>
        <w:rPr>
          <w:rFonts w:hint="eastAsia"/>
          <w:color w:val="auto"/>
          <w:lang w:eastAsia="zh-CN"/>
        </w:rPr>
        <w:t>（</w:t>
      </w:r>
      <w:r>
        <w:rPr>
          <w:rFonts w:hint="eastAsia"/>
          <w:color w:val="auto"/>
        </w:rPr>
        <w:t>双方协商一致，</w:t>
      </w:r>
      <w:r>
        <w:rPr>
          <w:rFonts w:hint="eastAsia"/>
          <w:color w:val="auto"/>
          <w:lang w:val="en-US" w:eastAsia="zh-CN"/>
        </w:rPr>
        <w:t>须</w:t>
      </w:r>
      <w:r>
        <w:rPr>
          <w:rFonts w:hint="eastAsia"/>
          <w:color w:val="auto"/>
        </w:rPr>
        <w:t>符合采购法规</w:t>
      </w:r>
      <w:r>
        <w:rPr>
          <w:rFonts w:hint="eastAsia"/>
          <w:color w:val="auto"/>
          <w:lang w:eastAsia="zh-CN"/>
        </w:rPr>
        <w:t>）：</w:t>
      </w:r>
      <w:r>
        <w:rPr>
          <w:rFonts w:hint="eastAsia"/>
          <w:color w:val="auto"/>
          <w:u w:val="single"/>
          <w:lang w:val="en-US" w:eastAsia="zh-CN"/>
        </w:rPr>
        <w:t xml:space="preserve">                                </w:t>
      </w:r>
      <w:r>
        <w:rPr>
          <w:rFonts w:hint="eastAsia"/>
          <w:color w:val="auto"/>
        </w:rPr>
        <w:t>。</w:t>
      </w:r>
      <w:r>
        <w:rPr>
          <w:color w:val="auto"/>
        </w:rPr>
        <w:t xml:space="preserve">                </w:t>
      </w:r>
    </w:p>
    <w:p w14:paraId="731E450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无论何种结算方式，付款前，乙方须交纳合同约定的履约保证金（如有）并提供</w:t>
      </w:r>
      <w:r>
        <w:rPr>
          <w:rFonts w:hint="eastAsia"/>
          <w:color w:val="auto"/>
          <w:lang w:val="en-US" w:eastAsia="zh-CN"/>
        </w:rPr>
        <w:t>履约保证金保函或</w:t>
      </w:r>
      <w:r>
        <w:rPr>
          <w:rFonts w:hint="eastAsia"/>
          <w:color w:val="auto"/>
        </w:rPr>
        <w:t>甲方财务处开具的履约保证金收据，乙方向甲方开具等额有效的票据。甲方开票信息如下：</w:t>
      </w:r>
    </w:p>
    <w:p w14:paraId="6F22F1C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单位名称：杭州电子科技大学。税号：</w:t>
      </w:r>
      <w:r>
        <w:rPr>
          <w:color w:val="auto"/>
        </w:rPr>
        <w:t>12330000470009026T</w:t>
      </w:r>
    </w:p>
    <w:p w14:paraId="6DA4F98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开户银行：工行杭州高新支行。账号：</w:t>
      </w:r>
      <w:r>
        <w:rPr>
          <w:color w:val="auto"/>
        </w:rPr>
        <w:t>1202026209008806216</w:t>
      </w:r>
    </w:p>
    <w:p w14:paraId="6435664F">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bookmarkStart w:id="549" w:name="_Toc1967_WPSOffice_Level2"/>
      <w:r>
        <w:rPr>
          <w:rFonts w:hint="eastAsia"/>
          <w:b/>
          <w:bCs/>
          <w:color w:val="auto"/>
        </w:rPr>
        <w:t>四、知识产权</w:t>
      </w:r>
      <w:bookmarkEnd w:id="549"/>
      <w:r>
        <w:rPr>
          <w:color w:val="auto"/>
        </w:rPr>
        <w:t xml:space="preserve"> </w:t>
      </w:r>
    </w:p>
    <w:p w14:paraId="24AACFD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50" w:name="_Hlk155103594"/>
    </w:p>
    <w:bookmarkEnd w:id="550"/>
    <w:p w14:paraId="150525E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hint="eastAsia"/>
          <w:color w:val="auto"/>
        </w:rPr>
        <w:t>.涉及产品定做的，甲方交付给乙方的设计图纸、样品、模具等商业秘密和知识产权归属于甲方，许可乙方在合同范围内使用，乙方负有保密责任。</w:t>
      </w:r>
    </w:p>
    <w:p w14:paraId="449F4D8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4393924F">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bookmarkStart w:id="551" w:name="_Toc29701_WPSOffice_Level2"/>
      <w:r>
        <w:rPr>
          <w:rFonts w:hint="eastAsia"/>
          <w:b/>
          <w:bCs/>
          <w:color w:val="auto"/>
        </w:rPr>
        <w:t>五、转包或分包</w:t>
      </w:r>
      <w:bookmarkEnd w:id="551"/>
    </w:p>
    <w:p w14:paraId="07351D0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本合同范围的货物，应由乙方直接供应，不得转让他人供应。</w:t>
      </w:r>
    </w:p>
    <w:p w14:paraId="0D0AC94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2.</w:t>
      </w:r>
      <w:r>
        <w:rPr>
          <w:rFonts w:hint="eastAsia" w:asciiTheme="minorEastAsia" w:hAnsiTheme="minorEastAsia" w:eastAsiaTheme="minorEastAsia"/>
          <w:color w:val="auto"/>
          <w:szCs w:val="22"/>
        </w:rPr>
        <w:t>除非得到甲方的书面同意，乙方不得将本合同范围的货物分包给他人供应。</w:t>
      </w:r>
    </w:p>
    <w:p w14:paraId="55B3DA4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3.</w:t>
      </w:r>
      <w:r>
        <w:rPr>
          <w:rFonts w:hint="eastAsia" w:asciiTheme="minorEastAsia" w:hAnsiTheme="minorEastAsia" w:eastAsiaTheme="minorEastAsia"/>
          <w:color w:val="auto"/>
          <w:szCs w:val="22"/>
        </w:rPr>
        <w:t>如有转让或未经甲方同意的分包行为，甲方有权解除合同，没收履约保证金并要求乙方支付合同总价15%的违约金。</w:t>
      </w:r>
    </w:p>
    <w:p w14:paraId="2960E3D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bookmarkStart w:id="552" w:name="_Toc1543_WPSOffice_Level2"/>
      <w:r>
        <w:rPr>
          <w:rFonts w:hint="eastAsia"/>
          <w:b/>
          <w:bCs/>
          <w:color w:val="auto"/>
        </w:rPr>
        <w:t>六、货物交付</w:t>
      </w:r>
      <w:bookmarkEnd w:id="552"/>
    </w:p>
    <w:p w14:paraId="450E1C9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25C7943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交货方式：</w:t>
      </w:r>
      <w:bookmarkStart w:id="553" w:name="_Hlk155602651"/>
      <w:r>
        <w:rPr>
          <w:rFonts w:hint="eastAsia"/>
          <w:color w:val="auto"/>
        </w:rPr>
        <w:t>送</w:t>
      </w:r>
      <w:r>
        <w:rPr>
          <w:color w:val="auto"/>
        </w:rPr>
        <w:t>货上门</w:t>
      </w:r>
      <w:bookmarkStart w:id="554" w:name="_Hlk155602451"/>
      <w:r>
        <w:rPr>
          <w:color w:val="auto"/>
        </w:rPr>
        <w:t>。</w:t>
      </w:r>
      <w:bookmarkEnd w:id="553"/>
      <w:bookmarkEnd w:id="554"/>
    </w:p>
    <w:p w14:paraId="68871B5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交货地点：</w:t>
      </w:r>
      <w:bookmarkStart w:id="555" w:name="_Hlk155602663"/>
      <w:r>
        <w:rPr>
          <w:rFonts w:hint="eastAsia"/>
          <w:color w:val="auto"/>
        </w:rPr>
        <w:t>甲方指定地点</w:t>
      </w:r>
      <w:r>
        <w:rPr>
          <w:color w:val="auto"/>
        </w:rPr>
        <w:t>。</w:t>
      </w:r>
      <w:bookmarkEnd w:id="555"/>
    </w:p>
    <w:p w14:paraId="7950A4A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联系人及电话：</w:t>
      </w:r>
      <w:bookmarkStart w:id="556" w:name="_Hlk155181628"/>
      <w:r>
        <w:rPr>
          <w:rFonts w:hint="eastAsia"/>
          <w:color w:val="auto"/>
        </w:rPr>
        <w:t>甲方</w:t>
      </w:r>
      <w:r>
        <w:rPr>
          <w:color w:val="auto"/>
        </w:rPr>
        <w:t xml:space="preserve"> </w:t>
      </w:r>
      <w:r>
        <w:rPr>
          <w:rFonts w:hint="eastAsia"/>
          <w:color w:val="auto"/>
        </w:rPr>
        <w:t>姓名</w:t>
      </w:r>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；乙方</w:t>
      </w:r>
      <w:r>
        <w:rPr>
          <w:color w:val="auto"/>
        </w:rPr>
        <w:t xml:space="preserve"> </w:t>
      </w:r>
      <w:r>
        <w:rPr>
          <w:rFonts w:hint="eastAsia"/>
          <w:color w:val="auto"/>
        </w:rPr>
        <w:t>姓名</w:t>
      </w:r>
      <w:bookmarkEnd w:id="556"/>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w:t>
      </w:r>
    </w:p>
    <w:p w14:paraId="48913E1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7B853A8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6</w:t>
      </w:r>
      <w:r>
        <w:rPr>
          <w:rFonts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6E16FC2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7</w:t>
      </w:r>
      <w:r>
        <w:rPr>
          <w:rFonts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13626ACA">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bookmarkStart w:id="557" w:name="_Toc9250_WPSOffice_Level2"/>
      <w:r>
        <w:rPr>
          <w:rFonts w:hint="eastAsia"/>
          <w:b/>
          <w:bCs/>
          <w:color w:val="auto"/>
        </w:rPr>
        <w:t>七、安装与验收</w:t>
      </w:r>
      <w:bookmarkEnd w:id="557"/>
    </w:p>
    <w:p w14:paraId="79609AA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验收由甲方负责实施，甲乙双方验收人员在安装数量和合同价格清单上签字确认。</w:t>
      </w:r>
    </w:p>
    <w:p w14:paraId="053595A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75618D2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AB6C67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最终验收：货物经安装调试完成且符合技术要求后，甲方负责在</w:t>
      </w:r>
      <w:r>
        <w:rPr>
          <w:rFonts w:hint="eastAsia"/>
          <w:color w:val="auto"/>
          <w:u w:val="single"/>
        </w:rPr>
        <w:t xml:space="preserve"> </w:t>
      </w:r>
      <w:r>
        <w:rPr>
          <w:rFonts w:hint="eastAsia"/>
          <w:color w:val="auto"/>
          <w:u w:val="single"/>
          <w:lang w:val="en-US" w:eastAsia="zh-CN"/>
        </w:rPr>
        <w:t>10</w:t>
      </w:r>
      <w:r>
        <w:rPr>
          <w:rFonts w:hint="eastAsia"/>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558" w:name="_Hlk155181772"/>
    </w:p>
    <w:bookmarkEnd w:id="558"/>
    <w:p w14:paraId="37317D2A">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bookmarkStart w:id="559" w:name="_Toc475_WPSOffice_Level2"/>
      <w:r>
        <w:rPr>
          <w:rFonts w:hint="eastAsia"/>
          <w:b/>
          <w:bCs/>
          <w:color w:val="auto"/>
        </w:rPr>
        <w:t>八、质量保证与售后服务</w:t>
      </w:r>
      <w:bookmarkEnd w:id="559"/>
    </w:p>
    <w:p w14:paraId="340D8B4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b w:val="0"/>
          <w:bCs w:val="0"/>
          <w:color w:val="auto"/>
        </w:rPr>
        <w:t>1</w:t>
      </w:r>
      <w:r>
        <w:rPr>
          <w:rFonts w:ascii="宋体" w:hAnsi="宋体"/>
          <w:b w:val="0"/>
          <w:bCs w:val="0"/>
          <w:color w:val="auto"/>
          <w:spacing w:val="-6"/>
        </w:rPr>
        <w:t>.</w:t>
      </w:r>
      <w:r>
        <w:rPr>
          <w:rFonts w:hint="eastAsia"/>
          <w:b w:val="0"/>
          <w:bCs w:val="0"/>
          <w:color w:val="auto"/>
        </w:rPr>
        <w:t>乙方</w:t>
      </w:r>
      <w:bookmarkStart w:id="560" w:name="_Hlk154577956"/>
      <w:r>
        <w:rPr>
          <w:rFonts w:hint="eastAsia"/>
          <w:b w:val="0"/>
          <w:bCs w:val="0"/>
          <w:color w:val="auto"/>
        </w:rPr>
        <w:t>应按</w:t>
      </w:r>
      <w:r>
        <w:rPr>
          <w:rFonts w:hint="eastAsia"/>
          <w:color w:val="auto"/>
        </w:rPr>
        <w:t>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560"/>
    </w:p>
    <w:p w14:paraId="2CFF6F1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b w:val="0"/>
          <w:bCs w:val="0"/>
          <w:color w:val="auto"/>
        </w:rPr>
      </w:pPr>
      <w:r>
        <w:rPr>
          <w:rFonts w:asciiTheme="minorEastAsia" w:hAnsiTheme="minorEastAsia" w:eastAsiaTheme="minorEastAsia"/>
          <w:b w:val="0"/>
          <w:bCs w:val="0"/>
          <w:color w:val="auto"/>
        </w:rPr>
        <w:t>2</w:t>
      </w:r>
      <w:r>
        <w:rPr>
          <w:rFonts w:ascii="宋体" w:hAnsi="宋体"/>
          <w:b w:val="0"/>
          <w:bCs w:val="0"/>
          <w:color w:val="auto"/>
          <w:spacing w:val="-6"/>
        </w:rPr>
        <w:t>.</w:t>
      </w:r>
      <w:r>
        <w:rPr>
          <w:rFonts w:hint="eastAsia"/>
          <w:b w:val="0"/>
          <w:bCs w:val="0"/>
          <w:color w:val="auto"/>
        </w:rPr>
        <w:t>售后服务</w:t>
      </w:r>
    </w:p>
    <w:p w14:paraId="593CC93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0E30659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u w:val="single"/>
          <w:lang w:val="en-US" w:eastAsia="zh-CN"/>
        </w:rPr>
        <w:t>48</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u w:val="single"/>
          <w:lang w:val="en-US" w:eastAsia="zh-CN"/>
        </w:rPr>
        <w:t>24</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u w:val="single"/>
          <w:lang w:val="en-US" w:eastAsia="zh-CN"/>
        </w:rPr>
        <w:t xml:space="preserve"> </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u w:val="single"/>
          <w:lang w:val="en-US" w:eastAsia="zh-CN"/>
        </w:rPr>
        <w:t xml:space="preserve">  </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u w:val="single"/>
          <w:lang w:val="en-US" w:eastAsia="zh-CN"/>
        </w:rPr>
        <w:t>3</w:t>
      </w:r>
      <w:r>
        <w:rPr>
          <w:color w:val="auto"/>
          <w:u w:val="single"/>
        </w:rPr>
        <w:t xml:space="preserve">  </w:t>
      </w:r>
      <w:r>
        <w:rPr>
          <w:rFonts w:hint="eastAsia"/>
          <w:color w:val="auto"/>
        </w:rPr>
        <w:t>次维修后仍不能稳定、可靠运行的，甲方有权要求乙方免费更换。</w:t>
      </w:r>
    </w:p>
    <w:p w14:paraId="567548C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bookmarkStart w:id="561" w:name="_Toc25414_WPSOffice_Level2"/>
      <w:r>
        <w:rPr>
          <w:rFonts w:hint="eastAsia"/>
          <w:b/>
          <w:bCs/>
          <w:color w:val="auto"/>
        </w:rPr>
        <w:t>九、保密条款</w:t>
      </w:r>
      <w:bookmarkEnd w:id="561"/>
    </w:p>
    <w:p w14:paraId="04B0596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35EDD9B3">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bookmarkStart w:id="562" w:name="_Toc10037_WPSOffice_Level2"/>
      <w:r>
        <w:rPr>
          <w:rFonts w:hint="eastAsia"/>
          <w:b/>
          <w:bCs/>
          <w:color w:val="auto"/>
        </w:rPr>
        <w:t>十、违约责任</w:t>
      </w:r>
      <w:bookmarkEnd w:id="562"/>
    </w:p>
    <w:p w14:paraId="63848A9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lang w:val="en-US" w:eastAsia="zh-CN"/>
        </w:rPr>
        <w:t xml:space="preserve"> 万分之叁 </w:t>
      </w:r>
      <w:r>
        <w:rPr>
          <w:rFonts w:hint="eastAsia"/>
          <w:color w:val="auto"/>
        </w:rPr>
        <w:t>向乙方支付违约金。</w:t>
      </w:r>
    </w:p>
    <w:p w14:paraId="57AF48C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乙方逾期交货完工的，每逾期一日，应按合同总价</w:t>
      </w:r>
      <w:r>
        <w:rPr>
          <w:rFonts w:hint="eastAsia"/>
          <w:color w:val="auto"/>
          <w:u w:val="single"/>
          <w:lang w:val="en-US" w:eastAsia="zh-CN"/>
        </w:rPr>
        <w:t xml:space="preserve"> 万分之叁 </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4985201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471D804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乙方未能按约定要求履行保修义务的，</w:t>
      </w:r>
      <w:bookmarkStart w:id="563" w:name="_Hlk154755811"/>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元的违约金，同时，甲方有权委托第三方进行保修，所产生的费用由乙方承担。</w:t>
      </w:r>
      <w:bookmarkEnd w:id="563"/>
      <w:r>
        <w:rPr>
          <w:rFonts w:hint="eastAsia"/>
          <w:color w:val="auto"/>
        </w:rPr>
        <w:t>若因货物缺陷或乙方服务质量等问题造成甲方或任何人员人身、财产损害的，乙方应承担有关责任并作出相应赔偿。</w:t>
      </w:r>
    </w:p>
    <w:p w14:paraId="3FEC766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6ADB132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bookmarkStart w:id="564" w:name="_Toc23301_WPSOffice_Level2"/>
      <w:r>
        <w:rPr>
          <w:rFonts w:hint="eastAsia"/>
          <w:b/>
          <w:bCs/>
          <w:color w:val="auto"/>
        </w:rPr>
        <w:t>十一、不可抗力</w:t>
      </w:r>
      <w:bookmarkEnd w:id="564"/>
    </w:p>
    <w:p w14:paraId="3BED25E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7278E47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w:t>
      </w:r>
      <w:r>
        <w:rPr>
          <w:rFonts w:ascii="宋体" w:hAnsi="宋体" w:cs="宋体"/>
          <w:color w:val="auto"/>
        </w:rPr>
        <w:t>3日内</w:t>
      </w:r>
      <w:r>
        <w:rPr>
          <w:rFonts w:hint="eastAsia"/>
          <w:color w:val="auto"/>
        </w:rPr>
        <w:t>通知对方，并寄送有关权威机构出具的证明。同时应立即尽一切合理努力采取措施，消除影响，减少损失。</w:t>
      </w:r>
    </w:p>
    <w:p w14:paraId="6EDBA4D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695A1E5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本条所述的“不可抗力”依法律规定。</w:t>
      </w:r>
    </w:p>
    <w:p w14:paraId="2844F97F">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bookmarkStart w:id="565" w:name="_Toc22568_WPSOffice_Level2"/>
      <w:r>
        <w:rPr>
          <w:rFonts w:hint="eastAsia"/>
          <w:b/>
          <w:bCs/>
          <w:color w:val="auto"/>
        </w:rPr>
        <w:t>十二、法律适用与争议解决</w:t>
      </w:r>
      <w:bookmarkEnd w:id="565"/>
    </w:p>
    <w:p w14:paraId="23635D2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本合同的订立、解释、履行及争议解决，均适用中华人民共和国法律。</w:t>
      </w:r>
    </w:p>
    <w:p w14:paraId="0D2EDEB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本合同履行过程中发生争议的，甲乙双方应友好协商；协商不成的，任何一方可向甲方所在地人民法院起诉。</w:t>
      </w:r>
    </w:p>
    <w:p w14:paraId="7E8DFEC8">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bookmarkStart w:id="566" w:name="_Toc4279_WPSOffice_Level2"/>
      <w:r>
        <w:rPr>
          <w:rFonts w:hint="eastAsia"/>
          <w:b/>
          <w:bCs/>
          <w:color w:val="auto"/>
        </w:rPr>
        <w:t>十三、合同生效及其他</w:t>
      </w:r>
      <w:bookmarkEnd w:id="566"/>
    </w:p>
    <w:p w14:paraId="3ADFC00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本合同经甲、乙双方代表签字并加盖单位公章或合同专用章后生效，甲方的单位公章盖采购中心合同专用章。</w:t>
      </w:r>
    </w:p>
    <w:p w14:paraId="34C2135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cs="宋体" w:asciiTheme="minorEastAsia" w:hAnsiTheme="minorEastAsia" w:eastAsiaTheme="minorEastAsia"/>
          <w:color w:val="auto"/>
        </w:rPr>
        <w:t>2</w:t>
      </w:r>
      <w:r>
        <w:rPr>
          <w:rFonts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6ABD9F7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0EDC1BB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1</w:t>
      </w:r>
      <w:r>
        <w:rPr>
          <w:rFonts w:hint="eastAsia"/>
          <w:color w:val="auto"/>
        </w:rPr>
        <w:t>）本合同及其补充合同、变更协议；</w:t>
      </w:r>
    </w:p>
    <w:p w14:paraId="7B14B15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2</w:t>
      </w:r>
      <w:r>
        <w:rPr>
          <w:rFonts w:hint="eastAsia"/>
          <w:color w:val="auto"/>
        </w:rPr>
        <w:t>）中标（成交）通知书；</w:t>
      </w:r>
    </w:p>
    <w:p w14:paraId="2044AC0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（3）投标（</w:t>
      </w:r>
      <w:r>
        <w:rPr>
          <w:rFonts w:hint="eastAsia"/>
          <w:color w:val="auto"/>
          <w:szCs w:val="22"/>
          <w:lang w:val="zh-CN"/>
        </w:rPr>
        <w:t>响应）文件（含澄清或者说明文件）；</w:t>
      </w:r>
    </w:p>
    <w:p w14:paraId="4C72A81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（4）招标（非招标）</w:t>
      </w:r>
      <w:r>
        <w:rPr>
          <w:rFonts w:hint="eastAsia"/>
          <w:color w:val="auto"/>
          <w:szCs w:val="22"/>
          <w:lang w:val="zh-CN"/>
        </w:rPr>
        <w:t>文件（含澄清或者修改文件）；</w:t>
      </w:r>
    </w:p>
    <w:p w14:paraId="016978B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rPr>
      </w:pPr>
      <w:r>
        <w:rPr>
          <w:rFonts w:hint="eastAsia"/>
          <w:color w:val="auto"/>
          <w:szCs w:val="22"/>
        </w:rPr>
        <w:t>（5）</w:t>
      </w:r>
      <w:r>
        <w:rPr>
          <w:rFonts w:hint="eastAsia"/>
          <w:color w:val="auto"/>
          <w:szCs w:val="22"/>
          <w:lang w:val="zh-CN"/>
        </w:rPr>
        <w:t>其他相关采购文件。</w:t>
      </w:r>
    </w:p>
    <w:p w14:paraId="5D52DD2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本合同未尽事宜，遵照《中华人民共和国民法典》有关条文执行。</w:t>
      </w:r>
    </w:p>
    <w:p w14:paraId="2ED5073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5.</w:t>
      </w:r>
      <w:r>
        <w:rPr>
          <w:rFonts w:hint="eastAsia" w:asciiTheme="minorEastAsia" w:hAnsiTheme="minorEastAsia" w:eastAsiaTheme="minorEastAsia"/>
          <w:color w:val="auto"/>
          <w:szCs w:val="22"/>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份，具有同等法律效力。</w:t>
      </w:r>
    </w:p>
    <w:p w14:paraId="2C15AC29">
      <w:pPr>
        <w:keepNext w:val="0"/>
        <w:keepLines w:val="0"/>
        <w:pageBreakBefore w:val="0"/>
        <w:widowControl w:val="0"/>
        <w:kinsoku/>
        <w:wordWrap/>
        <w:overflowPunct/>
        <w:topLinePunct w:val="0"/>
        <w:autoSpaceDE/>
        <w:autoSpaceDN/>
        <w:bidi w:val="0"/>
        <w:adjustRightInd/>
        <w:spacing w:line="312" w:lineRule="auto"/>
        <w:textAlignment w:val="auto"/>
        <w:rPr>
          <w:color w:val="auto"/>
        </w:rPr>
      </w:pPr>
    </w:p>
    <w:p w14:paraId="4B141516">
      <w:pPr>
        <w:pStyle w:val="8"/>
        <w:keepNext w:val="0"/>
        <w:keepLines w:val="0"/>
        <w:pageBreakBefore w:val="0"/>
        <w:widowControl w:val="0"/>
        <w:kinsoku/>
        <w:wordWrap/>
        <w:overflowPunct/>
        <w:topLinePunct w:val="0"/>
        <w:autoSpaceDE/>
        <w:autoSpaceDN/>
        <w:bidi w:val="0"/>
        <w:adjustRightInd/>
        <w:spacing w:line="312" w:lineRule="auto"/>
        <w:textAlignment w:val="auto"/>
        <w:rPr>
          <w:color w:val="auto"/>
        </w:rPr>
      </w:pPr>
      <w:r>
        <w:rPr>
          <w:rFonts w:hint="eastAsia"/>
          <w:b/>
          <w:bCs/>
          <w:color w:val="auto"/>
        </w:rPr>
        <w:t>合同附件：</w:t>
      </w:r>
      <w:r>
        <w:rPr>
          <w:color w:val="auto"/>
        </w:rPr>
        <w:t xml:space="preserve"> </w:t>
      </w:r>
      <w:r>
        <w:rPr>
          <w:rFonts w:hint="eastAsia"/>
          <w:color w:val="auto"/>
        </w:rPr>
        <w:t>（附件名称</w:t>
      </w:r>
      <w:r>
        <w:rPr>
          <w:rFonts w:hint="eastAsia"/>
          <w:color w:val="auto"/>
          <w:u w:val="single"/>
          <w:lang w:val="en-US" w:eastAsia="zh-CN"/>
        </w:rPr>
        <w:t xml:space="preserve">                        </w:t>
      </w:r>
      <w:r>
        <w:rPr>
          <w:rFonts w:hint="eastAsia"/>
          <w:color w:val="auto"/>
          <w:u w:val="single"/>
        </w:rPr>
        <w:t>）</w:t>
      </w:r>
      <w:r>
        <w:rPr>
          <w:rFonts w:hint="eastAsia"/>
          <w:color w:val="auto"/>
        </w:rPr>
        <w:t>（如有）</w:t>
      </w:r>
    </w:p>
    <w:tbl>
      <w:tblPr>
        <w:tblStyle w:val="47"/>
        <w:tblW w:w="9249" w:type="dxa"/>
        <w:jc w:val="center"/>
        <w:tblLayout w:type="fixed"/>
        <w:tblCellMar>
          <w:top w:w="0" w:type="dxa"/>
          <w:left w:w="108" w:type="dxa"/>
          <w:bottom w:w="0" w:type="dxa"/>
          <w:right w:w="108" w:type="dxa"/>
        </w:tblCellMar>
      </w:tblPr>
      <w:tblGrid>
        <w:gridCol w:w="4438"/>
        <w:gridCol w:w="4811"/>
      </w:tblGrid>
      <w:tr w14:paraId="68490214">
        <w:tblPrEx>
          <w:tblCellMar>
            <w:top w:w="0" w:type="dxa"/>
            <w:left w:w="108" w:type="dxa"/>
            <w:bottom w:w="0" w:type="dxa"/>
            <w:right w:w="108" w:type="dxa"/>
          </w:tblCellMar>
        </w:tblPrEx>
        <w:trPr>
          <w:trHeight w:val="1112" w:hRule="atLeast"/>
          <w:jc w:val="center"/>
        </w:trPr>
        <w:tc>
          <w:tcPr>
            <w:tcW w:w="4438" w:type="dxa"/>
            <w:vAlign w:val="center"/>
          </w:tcPr>
          <w:p w14:paraId="352B1957">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甲方：杭州电子科技大学（公章）</w:t>
            </w:r>
          </w:p>
        </w:tc>
        <w:tc>
          <w:tcPr>
            <w:tcW w:w="4811" w:type="dxa"/>
            <w:vAlign w:val="center"/>
          </w:tcPr>
          <w:p w14:paraId="48502DAE">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乙方：（公章）</w:t>
            </w:r>
          </w:p>
        </w:tc>
      </w:tr>
      <w:tr w14:paraId="7554E599">
        <w:tblPrEx>
          <w:tblCellMar>
            <w:top w:w="0" w:type="dxa"/>
            <w:left w:w="108" w:type="dxa"/>
            <w:bottom w:w="0" w:type="dxa"/>
            <w:right w:w="108" w:type="dxa"/>
          </w:tblCellMar>
        </w:tblPrEx>
        <w:trPr>
          <w:trHeight w:val="1261" w:hRule="atLeast"/>
          <w:jc w:val="center"/>
        </w:trPr>
        <w:tc>
          <w:tcPr>
            <w:tcW w:w="4438" w:type="dxa"/>
            <w:vAlign w:val="top"/>
          </w:tcPr>
          <w:p w14:paraId="39AA1B0B">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7567BEB1">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c>
          <w:tcPr>
            <w:tcW w:w="4811" w:type="dxa"/>
            <w:vAlign w:val="top"/>
          </w:tcPr>
          <w:p w14:paraId="5932ABCF">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04C90D36">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r>
      <w:tr w14:paraId="50B8FF4B">
        <w:tblPrEx>
          <w:tblCellMar>
            <w:top w:w="0" w:type="dxa"/>
            <w:left w:w="108" w:type="dxa"/>
            <w:bottom w:w="0" w:type="dxa"/>
            <w:right w:w="108" w:type="dxa"/>
          </w:tblCellMar>
        </w:tblPrEx>
        <w:trPr>
          <w:jc w:val="center"/>
        </w:trPr>
        <w:tc>
          <w:tcPr>
            <w:tcW w:w="4438" w:type="dxa"/>
            <w:vAlign w:val="center"/>
          </w:tcPr>
          <w:p w14:paraId="0B1F0F73">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地址：杭州下沙高教园区二号大街1158号</w:t>
            </w:r>
          </w:p>
        </w:tc>
        <w:tc>
          <w:tcPr>
            <w:tcW w:w="4811" w:type="dxa"/>
            <w:vAlign w:val="center"/>
          </w:tcPr>
          <w:p w14:paraId="02E5DEA1">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w:t>
            </w:r>
            <w:r>
              <w:rPr>
                <w:rFonts w:hint="eastAsia" w:ascii="宋体" w:hAnsi="宋体"/>
                <w:color w:val="auto"/>
                <w:spacing w:val="-6"/>
                <w:szCs w:val="21"/>
              </w:rPr>
              <w:tab/>
            </w:r>
            <w:r>
              <w:rPr>
                <w:rFonts w:hint="eastAsia" w:ascii="宋体" w:hAnsi="宋体"/>
                <w:color w:val="auto"/>
                <w:spacing w:val="-6"/>
                <w:szCs w:val="21"/>
              </w:rPr>
              <w:tab/>
            </w:r>
          </w:p>
        </w:tc>
      </w:tr>
      <w:tr w14:paraId="423C8951">
        <w:tblPrEx>
          <w:tblCellMar>
            <w:top w:w="0" w:type="dxa"/>
            <w:left w:w="108" w:type="dxa"/>
            <w:bottom w:w="0" w:type="dxa"/>
            <w:right w:w="108" w:type="dxa"/>
          </w:tblCellMar>
        </w:tblPrEx>
        <w:trPr>
          <w:jc w:val="center"/>
        </w:trPr>
        <w:tc>
          <w:tcPr>
            <w:tcW w:w="4438" w:type="dxa"/>
            <w:vAlign w:val="center"/>
          </w:tcPr>
          <w:p w14:paraId="1B62E8B0">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电话： </w:t>
            </w:r>
          </w:p>
        </w:tc>
        <w:tc>
          <w:tcPr>
            <w:tcW w:w="4811" w:type="dxa"/>
            <w:vAlign w:val="center"/>
          </w:tcPr>
          <w:p w14:paraId="04570206">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电话：</w:t>
            </w:r>
            <w:r>
              <w:rPr>
                <w:rFonts w:hint="eastAsia" w:ascii="宋体" w:hAnsi="宋体"/>
                <w:color w:val="auto"/>
                <w:spacing w:val="-6"/>
                <w:szCs w:val="21"/>
              </w:rPr>
              <w:tab/>
            </w:r>
          </w:p>
        </w:tc>
      </w:tr>
      <w:tr w14:paraId="44439946">
        <w:tblPrEx>
          <w:tblCellMar>
            <w:top w:w="0" w:type="dxa"/>
            <w:left w:w="108" w:type="dxa"/>
            <w:bottom w:w="0" w:type="dxa"/>
            <w:right w:w="108" w:type="dxa"/>
          </w:tblCellMar>
        </w:tblPrEx>
        <w:trPr>
          <w:jc w:val="center"/>
        </w:trPr>
        <w:tc>
          <w:tcPr>
            <w:tcW w:w="4438" w:type="dxa"/>
            <w:vAlign w:val="center"/>
          </w:tcPr>
          <w:p w14:paraId="6BD45257">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开户银行：工行高新支行 </w:t>
            </w:r>
          </w:p>
        </w:tc>
        <w:tc>
          <w:tcPr>
            <w:tcW w:w="4811" w:type="dxa"/>
            <w:vAlign w:val="center"/>
          </w:tcPr>
          <w:p w14:paraId="62B01ACE">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开户银行：</w:t>
            </w:r>
            <w:r>
              <w:rPr>
                <w:rFonts w:hint="eastAsia" w:ascii="宋体" w:hAnsi="宋体"/>
                <w:color w:val="auto"/>
                <w:spacing w:val="-6"/>
                <w:szCs w:val="21"/>
              </w:rPr>
              <w:tab/>
            </w:r>
          </w:p>
        </w:tc>
      </w:tr>
      <w:tr w14:paraId="67EE4E59">
        <w:tblPrEx>
          <w:tblCellMar>
            <w:top w:w="0" w:type="dxa"/>
            <w:left w:w="108" w:type="dxa"/>
            <w:bottom w:w="0" w:type="dxa"/>
            <w:right w:w="108" w:type="dxa"/>
          </w:tblCellMar>
        </w:tblPrEx>
        <w:trPr>
          <w:jc w:val="center"/>
        </w:trPr>
        <w:tc>
          <w:tcPr>
            <w:tcW w:w="4438" w:type="dxa"/>
            <w:vAlign w:val="center"/>
          </w:tcPr>
          <w:p w14:paraId="2D4358AA">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帐号：1202026209008806216</w:t>
            </w:r>
          </w:p>
        </w:tc>
        <w:tc>
          <w:tcPr>
            <w:tcW w:w="4811" w:type="dxa"/>
            <w:vAlign w:val="center"/>
          </w:tcPr>
          <w:p w14:paraId="05C94985">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w:t>
            </w:r>
          </w:p>
        </w:tc>
      </w:tr>
      <w:tr w14:paraId="2C7B9188">
        <w:tblPrEx>
          <w:tblCellMar>
            <w:top w:w="0" w:type="dxa"/>
            <w:left w:w="108" w:type="dxa"/>
            <w:bottom w:w="0" w:type="dxa"/>
            <w:right w:w="108" w:type="dxa"/>
          </w:tblCellMar>
        </w:tblPrEx>
        <w:trPr>
          <w:jc w:val="center"/>
        </w:trPr>
        <w:tc>
          <w:tcPr>
            <w:tcW w:w="4438" w:type="dxa"/>
            <w:vAlign w:val="center"/>
          </w:tcPr>
          <w:p w14:paraId="6FF0E5FA">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c>
          <w:tcPr>
            <w:tcW w:w="4811" w:type="dxa"/>
            <w:vAlign w:val="center"/>
          </w:tcPr>
          <w:p w14:paraId="01F45DC6">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r>
    </w:tbl>
    <w:p w14:paraId="3A0B603B">
      <w:pPr>
        <w:snapToGrid w:val="0"/>
        <w:spacing w:line="312" w:lineRule="auto"/>
        <w:ind w:firstLine="727" w:firstLineChars="202"/>
        <w:rPr>
          <w:rStyle w:val="55"/>
          <w:b w:val="0"/>
          <w:color w:val="auto"/>
          <w:szCs w:val="22"/>
        </w:rPr>
      </w:pPr>
      <w:r>
        <w:rPr>
          <w:rStyle w:val="55"/>
          <w:b w:val="0"/>
          <w:color w:val="auto"/>
          <w:szCs w:val="22"/>
        </w:rPr>
        <w:br w:type="page"/>
      </w:r>
    </w:p>
    <w:bookmarkEnd w:id="544"/>
    <w:bookmarkEnd w:id="545"/>
    <w:p w14:paraId="0CD0EC83">
      <w:pPr>
        <w:snapToGrid w:val="0"/>
        <w:spacing w:before="240" w:beforeLines="100" w:after="240" w:afterLines="100"/>
        <w:jc w:val="center"/>
        <w:outlineLvl w:val="0"/>
        <w:rPr>
          <w:rStyle w:val="55"/>
          <w:color w:val="auto"/>
        </w:rPr>
      </w:pPr>
      <w:bookmarkStart w:id="567" w:name="_Toc32015_WPSOffice_Level1"/>
      <w:bookmarkStart w:id="568" w:name="_Toc10075"/>
      <w:bookmarkStart w:id="569" w:name="_Toc27502"/>
      <w:bookmarkStart w:id="570" w:name="_Toc32309"/>
      <w:bookmarkStart w:id="571" w:name="_Toc11617"/>
      <w:bookmarkStart w:id="572" w:name="_Toc8672"/>
      <w:bookmarkStart w:id="573" w:name="_Toc816"/>
      <w:bookmarkStart w:id="574" w:name="_Toc32708"/>
      <w:bookmarkStart w:id="575" w:name="_Toc23835"/>
      <w:bookmarkStart w:id="576" w:name="_Toc7308"/>
      <w:bookmarkStart w:id="577" w:name="_Toc721"/>
      <w:bookmarkStart w:id="578" w:name="_Toc2191"/>
      <w:bookmarkStart w:id="579" w:name="_Toc762"/>
      <w:bookmarkStart w:id="580" w:name="_Toc641"/>
      <w:bookmarkStart w:id="581" w:name="_Toc22294"/>
      <w:bookmarkStart w:id="582" w:name="_Toc5553"/>
      <w:r>
        <w:rPr>
          <w:rStyle w:val="55"/>
          <w:rFonts w:hint="eastAsia"/>
          <w:color w:val="auto"/>
        </w:rPr>
        <w:t>第六部分</w:t>
      </w:r>
      <w:r>
        <w:rPr>
          <w:rStyle w:val="55"/>
          <w:color w:val="auto"/>
        </w:rPr>
        <w:t xml:space="preserve"> </w:t>
      </w:r>
      <w:r>
        <w:rPr>
          <w:rStyle w:val="55"/>
          <w:rFonts w:hint="eastAsia"/>
          <w:color w:val="auto"/>
        </w:rPr>
        <w:t>响应文件格式</w:t>
      </w:r>
      <w:bookmarkEnd w:id="567"/>
      <w:bookmarkEnd w:id="568"/>
    </w:p>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14:paraId="25A2747B">
      <w:pPr>
        <w:adjustRightInd w:val="0"/>
        <w:snapToGrid w:val="0"/>
        <w:spacing w:line="288" w:lineRule="auto"/>
        <w:jc w:val="center"/>
        <w:outlineLvl w:val="0"/>
        <w:rPr>
          <w:b/>
          <w:bCs/>
          <w:color w:val="auto"/>
          <w:sz w:val="24"/>
          <w:szCs w:val="24"/>
        </w:rPr>
      </w:pPr>
      <w:bookmarkStart w:id="583" w:name="_Toc16153_WPSOffice_Level1"/>
      <w:bookmarkStart w:id="584" w:name="_Toc15342"/>
      <w:bookmarkStart w:id="585" w:name="_Toc28159"/>
      <w:bookmarkStart w:id="586" w:name="_Toc3964"/>
      <w:bookmarkStart w:id="587" w:name="_Toc27063"/>
      <w:bookmarkStart w:id="588" w:name="_Toc23756"/>
      <w:bookmarkStart w:id="589" w:name="_Toc24168"/>
      <w:bookmarkStart w:id="590" w:name="_Toc31085"/>
      <w:bookmarkStart w:id="591" w:name="_Toc22675"/>
      <w:bookmarkStart w:id="592" w:name="_Toc32288"/>
      <w:bookmarkStart w:id="593" w:name="_Toc13819"/>
      <w:bookmarkStart w:id="594" w:name="_Toc7013"/>
      <w:bookmarkStart w:id="595" w:name="_Toc4274"/>
      <w:bookmarkStart w:id="596" w:name="_Toc9502"/>
      <w:bookmarkStart w:id="597" w:name="_Toc9623"/>
      <w:bookmarkStart w:id="598" w:name="_Toc25819"/>
      <w:bookmarkStart w:id="599" w:name="_Toc7409"/>
      <w:bookmarkStart w:id="600" w:name="_Toc17119"/>
      <w:bookmarkStart w:id="601" w:name="_Toc27551"/>
      <w:bookmarkStart w:id="602" w:name="_Toc32522"/>
      <w:bookmarkStart w:id="603" w:name="_Toc20766"/>
      <w:bookmarkStart w:id="604" w:name="_Toc11204"/>
      <w:bookmarkStart w:id="605" w:name="_Toc8070"/>
      <w:bookmarkStart w:id="606" w:name="_Toc28613"/>
      <w:bookmarkStart w:id="607" w:name="_Toc2886"/>
      <w:bookmarkStart w:id="608" w:name="_Toc20870"/>
      <w:bookmarkStart w:id="609" w:name="_Toc32185"/>
      <w:bookmarkStart w:id="610" w:name="_Toc4610"/>
      <w:bookmarkStart w:id="611" w:name="_Toc26648"/>
      <w:bookmarkStart w:id="612" w:name="_Toc7710"/>
      <w:bookmarkStart w:id="613" w:name="_Toc9636"/>
      <w:bookmarkStart w:id="614" w:name="_Toc19286"/>
      <w:bookmarkStart w:id="615" w:name="_Toc32223"/>
      <w:bookmarkStart w:id="616" w:name="_Toc14400"/>
      <w:bookmarkStart w:id="617" w:name="_Toc6868"/>
      <w:bookmarkStart w:id="618" w:name="_Toc19804"/>
      <w:bookmarkStart w:id="619" w:name="_Toc706"/>
      <w:bookmarkStart w:id="620" w:name="_Toc14202"/>
      <w:bookmarkStart w:id="621" w:name="_Toc2326"/>
      <w:bookmarkStart w:id="622" w:name="_Toc20738"/>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583"/>
      <w:bookmarkEnd w:id="584"/>
    </w:p>
    <w:p w14:paraId="1F7366CD">
      <w:pPr>
        <w:adjustRightInd w:val="0"/>
        <w:snapToGrid w:val="0"/>
        <w:spacing w:line="288" w:lineRule="auto"/>
        <w:rPr>
          <w:color w:val="auto"/>
          <w:sz w:val="24"/>
          <w:szCs w:val="24"/>
        </w:rPr>
      </w:pPr>
    </w:p>
    <w:p w14:paraId="798CDE84">
      <w:pPr>
        <w:adjustRightInd w:val="0"/>
        <w:snapToGrid w:val="0"/>
        <w:spacing w:line="288" w:lineRule="auto"/>
        <w:ind w:firstLine="482" w:firstLineChars="200"/>
        <w:outlineLvl w:val="0"/>
        <w:rPr>
          <w:b/>
          <w:bCs/>
          <w:color w:val="auto"/>
          <w:sz w:val="24"/>
          <w:szCs w:val="24"/>
        </w:rPr>
      </w:pPr>
      <w:bookmarkStart w:id="623" w:name="_Toc3636"/>
      <w:bookmarkStart w:id="624" w:name="_Toc19276_WPSOffice_Level1"/>
      <w:bookmarkStart w:id="625" w:name="_Toc9436_WPSOffice_Level1"/>
      <w:bookmarkStart w:id="626" w:name="_Hlk71884160"/>
      <w:r>
        <w:rPr>
          <w:rFonts w:hint="eastAsia"/>
          <w:b/>
          <w:bCs/>
          <w:color w:val="auto"/>
          <w:sz w:val="24"/>
          <w:szCs w:val="24"/>
        </w:rPr>
        <w:t>1.资格文件</w:t>
      </w:r>
      <w:bookmarkEnd w:id="623"/>
      <w:bookmarkEnd w:id="624"/>
      <w:bookmarkEnd w:id="625"/>
    </w:p>
    <w:p w14:paraId="5790D316">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626"/>
    <w:p w14:paraId="5DCE1834">
      <w:pPr>
        <w:adjustRightInd w:val="0"/>
        <w:snapToGrid w:val="0"/>
        <w:spacing w:line="288" w:lineRule="auto"/>
        <w:ind w:firstLine="480" w:firstLineChars="200"/>
        <w:outlineLvl w:val="1"/>
        <w:rPr>
          <w:color w:val="auto"/>
          <w:sz w:val="24"/>
          <w:szCs w:val="24"/>
        </w:rPr>
      </w:pPr>
      <w:bookmarkStart w:id="627" w:name="_Toc11732"/>
      <w:bookmarkStart w:id="628" w:name="_Toc10772_WPSOffice_Level2"/>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bookmarkEnd w:id="627"/>
      <w:bookmarkEnd w:id="628"/>
    </w:p>
    <w:p w14:paraId="01BE510B">
      <w:pPr>
        <w:adjustRightInd w:val="0"/>
        <w:snapToGrid w:val="0"/>
        <w:spacing w:line="288" w:lineRule="auto"/>
        <w:ind w:firstLine="480" w:firstLineChars="200"/>
        <w:outlineLvl w:val="1"/>
        <w:rPr>
          <w:color w:val="auto"/>
          <w:sz w:val="24"/>
          <w:szCs w:val="24"/>
        </w:rPr>
      </w:pPr>
      <w:bookmarkStart w:id="629" w:name="_Toc23571_WPSOffice_Level2"/>
      <w:bookmarkStart w:id="630" w:name="_Toc30793"/>
      <w:bookmarkStart w:id="631"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bookmarkEnd w:id="629"/>
      <w:bookmarkEnd w:id="630"/>
    </w:p>
    <w:p w14:paraId="1A7FFE3D">
      <w:pPr>
        <w:adjustRightInd w:val="0"/>
        <w:snapToGrid w:val="0"/>
        <w:spacing w:line="288" w:lineRule="auto"/>
        <w:ind w:firstLine="480" w:firstLineChars="200"/>
        <w:rPr>
          <w:rFonts w:hint="eastAsia"/>
          <w:color w:val="auto"/>
          <w:sz w:val="24"/>
          <w:szCs w:val="24"/>
        </w:rPr>
      </w:pPr>
      <w:bookmarkStart w:id="632" w:name="_Toc13886_WPSOffice_Level2"/>
      <w:r>
        <w:rPr>
          <w:rFonts w:hint="eastAsia"/>
          <w:color w:val="auto"/>
          <w:sz w:val="24"/>
          <w:szCs w:val="24"/>
        </w:rPr>
        <w:t>（</w:t>
      </w:r>
      <w:r>
        <w:rPr>
          <w:color w:val="auto"/>
          <w:sz w:val="24"/>
          <w:szCs w:val="24"/>
        </w:rPr>
        <w:t>3）</w:t>
      </w:r>
      <w:r>
        <w:rPr>
          <w:rFonts w:hint="eastAsia"/>
          <w:b/>
          <w:bCs/>
          <w:color w:val="auto"/>
          <w:sz w:val="24"/>
          <w:szCs w:val="24"/>
        </w:rPr>
        <w:t>▲</w:t>
      </w:r>
      <w:r>
        <w:rPr>
          <w:rFonts w:hint="eastAsia"/>
          <w:color w:val="auto"/>
          <w:sz w:val="24"/>
          <w:szCs w:val="24"/>
        </w:rPr>
        <w:t>本项目的</w:t>
      </w:r>
      <w:bookmarkStart w:id="633" w:name="OLE_LINK3"/>
      <w:r>
        <w:rPr>
          <w:rFonts w:hint="eastAsia"/>
          <w:color w:val="auto"/>
          <w:sz w:val="24"/>
          <w:szCs w:val="24"/>
        </w:rPr>
        <w:t>特定资格要求</w:t>
      </w:r>
      <w:r>
        <w:rPr>
          <w:color w:val="auto"/>
          <w:sz w:val="24"/>
          <w:szCs w:val="24"/>
        </w:rPr>
        <w:t>证明材料：</w:t>
      </w:r>
      <w:r>
        <w:rPr>
          <w:rFonts w:hint="eastAsia"/>
          <w:color w:val="auto"/>
          <w:sz w:val="24"/>
          <w:szCs w:val="24"/>
        </w:rPr>
        <w:t>国家颁发的出版物进口经营许可证</w:t>
      </w:r>
      <w:bookmarkEnd w:id="632"/>
      <w:bookmarkEnd w:id="633"/>
    </w:p>
    <w:bookmarkEnd w:id="631"/>
    <w:p w14:paraId="78EB0B0C">
      <w:pPr>
        <w:adjustRightInd w:val="0"/>
        <w:snapToGrid w:val="0"/>
        <w:spacing w:line="288" w:lineRule="auto"/>
        <w:ind w:firstLine="482" w:firstLineChars="200"/>
        <w:outlineLvl w:val="0"/>
        <w:rPr>
          <w:b/>
          <w:bCs/>
          <w:color w:val="auto"/>
          <w:sz w:val="24"/>
          <w:szCs w:val="24"/>
        </w:rPr>
      </w:pPr>
      <w:bookmarkStart w:id="634" w:name="_Toc12054_WPSOffice_Level1"/>
      <w:bookmarkStart w:id="635" w:name="_Toc607_WPSOffice_Level1"/>
      <w:bookmarkStart w:id="636" w:name="_Toc5851"/>
      <w:r>
        <w:rPr>
          <w:rFonts w:hint="eastAsia"/>
          <w:b/>
          <w:bCs/>
          <w:color w:val="auto"/>
          <w:sz w:val="24"/>
          <w:szCs w:val="24"/>
        </w:rPr>
        <w:t>2.报价文件</w:t>
      </w:r>
      <w:bookmarkEnd w:id="634"/>
      <w:bookmarkEnd w:id="635"/>
      <w:bookmarkEnd w:id="636"/>
    </w:p>
    <w:p w14:paraId="0E930E71">
      <w:pPr>
        <w:adjustRightInd w:val="0"/>
        <w:snapToGrid w:val="0"/>
        <w:spacing w:line="288" w:lineRule="auto"/>
        <w:ind w:firstLine="480" w:firstLineChars="200"/>
        <w:outlineLvl w:val="1"/>
        <w:rPr>
          <w:color w:val="auto"/>
          <w:sz w:val="24"/>
          <w:szCs w:val="24"/>
        </w:rPr>
      </w:pPr>
      <w:bookmarkStart w:id="637" w:name="_Toc22517_WPSOffice_Level2"/>
      <w:bookmarkStart w:id="638" w:name="_Toc5000"/>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bookmarkEnd w:id="637"/>
      <w:bookmarkEnd w:id="638"/>
    </w:p>
    <w:p w14:paraId="7C62C6AE">
      <w:pPr>
        <w:adjustRightInd w:val="0"/>
        <w:snapToGrid w:val="0"/>
        <w:spacing w:line="288" w:lineRule="auto"/>
        <w:ind w:firstLine="482" w:firstLineChars="200"/>
        <w:outlineLvl w:val="0"/>
        <w:rPr>
          <w:b/>
          <w:bCs/>
          <w:color w:val="auto"/>
          <w:sz w:val="24"/>
          <w:szCs w:val="24"/>
        </w:rPr>
      </w:pPr>
      <w:bookmarkStart w:id="639" w:name="_Toc17958_WPSOffice_Level1"/>
      <w:bookmarkStart w:id="640" w:name="_Toc18026_WPSOffice_Level1"/>
      <w:bookmarkStart w:id="641" w:name="_Toc24006"/>
      <w:r>
        <w:rPr>
          <w:rFonts w:hint="eastAsia"/>
          <w:b/>
          <w:bCs/>
          <w:color w:val="auto"/>
          <w:sz w:val="24"/>
          <w:szCs w:val="24"/>
        </w:rPr>
        <w:t>3.商务和技术文件</w:t>
      </w:r>
      <w:bookmarkEnd w:id="639"/>
      <w:bookmarkEnd w:id="640"/>
      <w:bookmarkEnd w:id="641"/>
    </w:p>
    <w:p w14:paraId="3DBF71CB">
      <w:pPr>
        <w:adjustRightInd w:val="0"/>
        <w:snapToGrid w:val="0"/>
        <w:spacing w:line="288" w:lineRule="auto"/>
        <w:ind w:left="0" w:leftChars="0" w:firstLine="420" w:firstLineChars="175"/>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0FE9E3A4">
      <w:pPr>
        <w:adjustRightInd w:val="0"/>
        <w:snapToGrid w:val="0"/>
        <w:spacing w:line="288" w:lineRule="auto"/>
        <w:ind w:left="0" w:leftChars="0" w:firstLine="420" w:firstLineChars="175"/>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071989DA">
      <w:pPr>
        <w:adjustRightInd w:val="0"/>
        <w:snapToGrid w:val="0"/>
        <w:spacing w:line="288" w:lineRule="auto"/>
        <w:ind w:left="0" w:leftChars="0" w:firstLine="420" w:firstLineChars="175"/>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14:paraId="6639F787">
      <w:pPr>
        <w:adjustRightInd w:val="0"/>
        <w:snapToGrid w:val="0"/>
        <w:spacing w:line="288" w:lineRule="auto"/>
        <w:ind w:left="0" w:leftChars="0" w:firstLine="420" w:firstLineChars="175"/>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2BA503F2">
      <w:pPr>
        <w:adjustRightInd w:val="0"/>
        <w:snapToGrid w:val="0"/>
        <w:spacing w:line="288" w:lineRule="auto"/>
        <w:ind w:left="0" w:leftChars="0" w:firstLine="420" w:firstLineChars="175"/>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6EFC7BB7">
      <w:pPr>
        <w:pStyle w:val="2"/>
        <w:ind w:left="0" w:leftChars="0" w:firstLine="420" w:firstLineChars="175"/>
        <w:rPr>
          <w:rFonts w:hint="eastAsia"/>
          <w:color w:val="auto"/>
        </w:rPr>
      </w:pPr>
      <w:bookmarkStart w:id="642" w:name="OLE_LINK2"/>
      <w:bookmarkStart w:id="643" w:name="_Hlk71884196"/>
      <w:r>
        <w:rPr>
          <w:rFonts w:hint="eastAsia"/>
          <w:color w:val="auto"/>
          <w:lang w:eastAsia="zh-CN"/>
        </w:rPr>
        <w:t>（</w:t>
      </w:r>
      <w:r>
        <w:rPr>
          <w:rFonts w:hint="eastAsia"/>
          <w:color w:val="auto"/>
          <w:lang w:val="en-US" w:eastAsia="zh-CN"/>
        </w:rPr>
        <w:t>6）</w:t>
      </w:r>
      <w:r>
        <w:rPr>
          <w:rFonts w:hint="eastAsia"/>
          <w:color w:val="auto"/>
        </w:rPr>
        <w:t>IS09001 国际质量体系认证书，环境管理体系认证书，职业健康安全管理体系认证书（如有，复印件加盖公章）</w:t>
      </w:r>
    </w:p>
    <w:p w14:paraId="7F774320">
      <w:pPr>
        <w:pStyle w:val="2"/>
        <w:ind w:left="0" w:leftChars="0" w:firstLine="420" w:firstLineChars="175"/>
        <w:rPr>
          <w:rFonts w:hint="eastAsia"/>
          <w:color w:val="auto"/>
        </w:rPr>
      </w:pPr>
      <w:r>
        <w:rPr>
          <w:rFonts w:hint="eastAsia"/>
          <w:color w:val="auto"/>
          <w:lang w:eastAsia="zh-CN"/>
        </w:rPr>
        <w:t>（</w:t>
      </w:r>
      <w:r>
        <w:rPr>
          <w:rFonts w:hint="eastAsia"/>
          <w:color w:val="auto"/>
          <w:lang w:val="en-US" w:eastAsia="zh-CN"/>
        </w:rPr>
        <w:t>7）</w:t>
      </w:r>
      <w:r>
        <w:rPr>
          <w:rFonts w:hint="eastAsia"/>
          <w:color w:val="auto"/>
        </w:rPr>
        <w:t>中国书刊发行协会会员证书（如有，复印件加盖公章）</w:t>
      </w:r>
    </w:p>
    <w:p w14:paraId="37D0B5EE">
      <w:pPr>
        <w:pStyle w:val="2"/>
        <w:ind w:left="0" w:leftChars="0" w:firstLine="420" w:firstLineChars="175"/>
        <w:rPr>
          <w:rFonts w:hint="eastAsia"/>
          <w:color w:val="auto"/>
        </w:rPr>
      </w:pPr>
      <w:r>
        <w:rPr>
          <w:rFonts w:hint="eastAsia"/>
          <w:color w:val="auto"/>
          <w:lang w:eastAsia="zh-CN"/>
        </w:rPr>
        <w:t>（</w:t>
      </w:r>
      <w:r>
        <w:rPr>
          <w:rFonts w:hint="eastAsia"/>
          <w:color w:val="auto"/>
          <w:lang w:val="en-US" w:eastAsia="zh-CN"/>
        </w:rPr>
        <w:t>8）</w:t>
      </w:r>
      <w:r>
        <w:rPr>
          <w:rFonts w:hint="eastAsia"/>
          <w:color w:val="auto"/>
        </w:rPr>
        <w:t>现采基地库房自有的房产证明或租赁合同（如有，复印件加盖公章）及有现货承诺书（格式自拟，授权代表签字加盖单位公章）</w:t>
      </w:r>
    </w:p>
    <w:p w14:paraId="69636693">
      <w:pPr>
        <w:pStyle w:val="2"/>
        <w:ind w:left="0" w:leftChars="0" w:firstLine="420" w:firstLineChars="175"/>
        <w:rPr>
          <w:rFonts w:hint="eastAsia"/>
          <w:color w:val="auto"/>
        </w:rPr>
      </w:pPr>
      <w:r>
        <w:rPr>
          <w:rFonts w:hint="eastAsia"/>
          <w:color w:val="auto"/>
          <w:lang w:eastAsia="zh-CN"/>
        </w:rPr>
        <w:t>（</w:t>
      </w:r>
      <w:r>
        <w:rPr>
          <w:rFonts w:hint="eastAsia"/>
          <w:color w:val="auto"/>
          <w:lang w:val="en-US" w:eastAsia="zh-CN"/>
        </w:rPr>
        <w:t>9）</w:t>
      </w:r>
      <w:r>
        <w:rPr>
          <w:rFonts w:hint="eastAsia"/>
          <w:color w:val="auto"/>
        </w:rPr>
        <w:t>202</w:t>
      </w:r>
      <w:r>
        <w:rPr>
          <w:rFonts w:hint="eastAsia"/>
          <w:color w:val="auto"/>
          <w:lang w:val="en-US" w:eastAsia="zh-CN"/>
        </w:rPr>
        <w:t>3</w:t>
      </w:r>
      <w:r>
        <w:rPr>
          <w:rFonts w:hint="eastAsia"/>
          <w:color w:val="auto"/>
        </w:rPr>
        <w:t>年以来组织参与的图书馆配会、图书博览会现采活动或线上图书展览会的相关证明材料（如有，须提供有关办会的通知、证明或办会邀请函等证明材料复印件加盖公章）</w:t>
      </w:r>
    </w:p>
    <w:p w14:paraId="3FABACBB">
      <w:pPr>
        <w:pStyle w:val="2"/>
        <w:numPr>
          <w:ilvl w:val="0"/>
          <w:numId w:val="0"/>
        </w:numPr>
        <w:ind w:left="0" w:leftChars="0" w:firstLine="420" w:firstLineChars="175"/>
        <w:rPr>
          <w:rFonts w:hint="eastAsia"/>
          <w:color w:val="auto"/>
        </w:rPr>
      </w:pPr>
      <w:r>
        <w:rPr>
          <w:rFonts w:hint="eastAsia"/>
          <w:color w:val="auto"/>
          <w:lang w:eastAsia="zh-CN"/>
        </w:rPr>
        <w:t>（</w:t>
      </w:r>
      <w:r>
        <w:rPr>
          <w:rFonts w:hint="eastAsia"/>
          <w:color w:val="auto"/>
          <w:lang w:val="en-US" w:eastAsia="zh-CN"/>
        </w:rPr>
        <w:t>10</w:t>
      </w:r>
      <w:r>
        <w:rPr>
          <w:rFonts w:hint="eastAsia"/>
          <w:color w:val="auto"/>
          <w:lang w:eastAsia="zh-CN"/>
        </w:rPr>
        <w:t>）</w:t>
      </w:r>
      <w:r>
        <w:rPr>
          <w:rFonts w:hint="eastAsia"/>
          <w:color w:val="auto"/>
          <w:lang w:val="en-US" w:eastAsia="zh-CN"/>
        </w:rPr>
        <w:t>用</w:t>
      </w:r>
      <w:r>
        <w:rPr>
          <w:rFonts w:hint="eastAsia"/>
          <w:color w:val="auto"/>
        </w:rPr>
        <w:t>户评价（格式模版附后，须提供调查表、中标通知书、合同复印件加盖公章）</w:t>
      </w:r>
    </w:p>
    <w:bookmarkEnd w:id="642"/>
    <w:p w14:paraId="78C00A82">
      <w:pPr>
        <w:adjustRightInd w:val="0"/>
        <w:snapToGrid w:val="0"/>
        <w:spacing w:line="288" w:lineRule="auto"/>
        <w:ind w:left="0" w:leftChars="0" w:firstLine="420" w:firstLineChars="175"/>
        <w:rPr>
          <w:color w:val="auto"/>
          <w:sz w:val="24"/>
          <w:szCs w:val="24"/>
        </w:rPr>
      </w:pPr>
      <w:r>
        <w:rPr>
          <w:rFonts w:hint="eastAsia"/>
          <w:color w:val="auto"/>
          <w:sz w:val="24"/>
          <w:szCs w:val="24"/>
        </w:rPr>
        <w:t>（</w:t>
      </w:r>
      <w:r>
        <w:rPr>
          <w:rFonts w:hint="eastAsia"/>
          <w:color w:val="auto"/>
          <w:sz w:val="24"/>
          <w:szCs w:val="24"/>
          <w:lang w:val="en-US" w:eastAsia="zh-CN"/>
        </w:rPr>
        <w:t>11</w:t>
      </w:r>
      <w:r>
        <w:rPr>
          <w:rFonts w:hint="eastAsia"/>
          <w:color w:val="auto"/>
          <w:sz w:val="24"/>
          <w:szCs w:val="24"/>
        </w:rPr>
        <w:t>）供应商同类合同一览表</w:t>
      </w:r>
    </w:p>
    <w:p w14:paraId="7D0EC79C">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rPr>
        <w:t>（</w:t>
      </w:r>
      <w:r>
        <w:rPr>
          <w:rFonts w:hint="eastAsia"/>
          <w:color w:val="auto"/>
          <w:sz w:val="24"/>
          <w:szCs w:val="24"/>
          <w:lang w:val="en-US" w:eastAsia="zh-CN"/>
        </w:rPr>
        <w:t>12</w:t>
      </w:r>
      <w:r>
        <w:rPr>
          <w:color w:val="auto"/>
          <w:sz w:val="24"/>
          <w:szCs w:val="24"/>
        </w:rPr>
        <w:t>）</w:t>
      </w:r>
      <w:r>
        <w:rPr>
          <w:rFonts w:hint="eastAsia"/>
          <w:color w:val="auto"/>
          <w:sz w:val="24"/>
          <w:szCs w:val="24"/>
        </w:rPr>
        <w:t>详细技术和服务方案</w:t>
      </w:r>
    </w:p>
    <w:p w14:paraId="18609043">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13</w:t>
      </w:r>
      <w:r>
        <w:rPr>
          <w:rFonts w:hint="eastAsia"/>
          <w:color w:val="auto"/>
          <w:sz w:val="24"/>
          <w:szCs w:val="24"/>
          <w:lang w:eastAsia="zh-CN"/>
        </w:rPr>
        <w:t>）</w:t>
      </w:r>
      <w:r>
        <w:rPr>
          <w:rFonts w:hint="eastAsia"/>
          <w:color w:val="auto"/>
          <w:sz w:val="24"/>
          <w:szCs w:val="24"/>
        </w:rPr>
        <w:t>售后服务承诺函</w:t>
      </w:r>
    </w:p>
    <w:p w14:paraId="68E7CBDB">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14）</w:t>
      </w:r>
      <w:r>
        <w:rPr>
          <w:rFonts w:hint="eastAsia"/>
          <w:color w:val="auto"/>
          <w:sz w:val="24"/>
          <w:szCs w:val="24"/>
        </w:rPr>
        <w:t>信息化服务方案</w:t>
      </w:r>
    </w:p>
    <w:p w14:paraId="6499347B">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15）</w:t>
      </w:r>
      <w:r>
        <w:rPr>
          <w:rFonts w:hint="eastAsia"/>
          <w:color w:val="auto"/>
          <w:sz w:val="24"/>
          <w:szCs w:val="24"/>
        </w:rPr>
        <w:t>项目组成员一览表</w:t>
      </w:r>
    </w:p>
    <w:p w14:paraId="6AB5066D">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16）</w:t>
      </w:r>
      <w:r>
        <w:rPr>
          <w:rFonts w:hint="eastAsia"/>
          <w:color w:val="auto"/>
          <w:sz w:val="24"/>
          <w:szCs w:val="24"/>
        </w:rPr>
        <w:t>特色服务</w:t>
      </w:r>
      <w:r>
        <w:rPr>
          <w:rFonts w:hint="eastAsia"/>
          <w:color w:val="auto"/>
          <w:sz w:val="24"/>
          <w:szCs w:val="24"/>
          <w:lang w:val="en-US" w:eastAsia="zh-CN"/>
        </w:rPr>
        <w:t>方案</w:t>
      </w:r>
    </w:p>
    <w:p w14:paraId="500AD39B">
      <w:pPr>
        <w:adjustRightInd w:val="0"/>
        <w:snapToGrid w:val="0"/>
        <w:spacing w:line="288" w:lineRule="auto"/>
        <w:ind w:left="0" w:leftChars="0" w:firstLine="420" w:firstLineChars="175"/>
        <w:jc w:val="left"/>
        <w:rPr>
          <w:color w:val="auto"/>
          <w:sz w:val="24"/>
          <w:szCs w:val="24"/>
        </w:rPr>
      </w:pPr>
      <w:r>
        <w:rPr>
          <w:rFonts w:hint="eastAsia"/>
          <w:color w:val="auto"/>
          <w:sz w:val="24"/>
          <w:szCs w:val="24"/>
        </w:rPr>
        <w:t>（1</w:t>
      </w:r>
      <w:r>
        <w:rPr>
          <w:rFonts w:hint="eastAsia"/>
          <w:color w:val="auto"/>
          <w:sz w:val="24"/>
          <w:szCs w:val="24"/>
          <w:lang w:val="en-US" w:eastAsia="zh-CN"/>
        </w:rPr>
        <w:t>7</w:t>
      </w:r>
      <w:r>
        <w:rPr>
          <w:rFonts w:hint="eastAsia"/>
          <w:color w:val="auto"/>
          <w:sz w:val="24"/>
          <w:szCs w:val="24"/>
        </w:rPr>
        <w:t xml:space="preserve">）关于对磋商文件中有关条款的拒绝声明(如有) </w:t>
      </w:r>
    </w:p>
    <w:bookmarkEnd w:id="643"/>
    <w:p w14:paraId="42FB37CF">
      <w:pPr>
        <w:adjustRightInd w:val="0"/>
        <w:snapToGrid w:val="0"/>
        <w:spacing w:line="288" w:lineRule="auto"/>
        <w:ind w:firstLine="482" w:firstLineChars="200"/>
        <w:outlineLvl w:val="0"/>
        <w:rPr>
          <w:b/>
          <w:bCs/>
          <w:color w:val="auto"/>
          <w:sz w:val="24"/>
          <w:szCs w:val="24"/>
        </w:rPr>
      </w:pPr>
      <w:bookmarkStart w:id="644" w:name="_Toc17480_WPSOffice_Level1"/>
      <w:bookmarkStart w:id="645" w:name="_Toc3021_WPSOffice_Level1"/>
      <w:bookmarkStart w:id="646" w:name="_Toc8685"/>
      <w:r>
        <w:rPr>
          <w:rFonts w:hint="eastAsia"/>
          <w:b/>
          <w:bCs/>
          <w:color w:val="auto"/>
          <w:sz w:val="24"/>
          <w:szCs w:val="24"/>
        </w:rPr>
        <w:t>4.评分标准索引表</w:t>
      </w:r>
      <w:bookmarkEnd w:id="644"/>
      <w:bookmarkEnd w:id="645"/>
      <w:r>
        <w:rPr>
          <w:rFonts w:hint="eastAsia"/>
          <w:b/>
          <w:bCs/>
          <w:color w:val="auto"/>
          <w:sz w:val="24"/>
          <w:szCs w:val="24"/>
        </w:rPr>
        <w:br w:type="page"/>
      </w:r>
      <w:bookmarkEnd w:id="646"/>
    </w:p>
    <w:p w14:paraId="7C89572D">
      <w:pPr>
        <w:adjustRightInd w:val="0"/>
        <w:snapToGrid w:val="0"/>
        <w:spacing w:line="288" w:lineRule="auto"/>
        <w:jc w:val="center"/>
        <w:outlineLvl w:val="0"/>
        <w:rPr>
          <w:b/>
          <w:bCs/>
          <w:color w:val="auto"/>
          <w:sz w:val="84"/>
          <w:szCs w:val="84"/>
        </w:rPr>
      </w:pPr>
      <w:bookmarkStart w:id="647" w:name="_Toc22031_WPSOffice_Level1"/>
      <w:bookmarkStart w:id="648" w:name="_Toc455"/>
      <w:r>
        <w:rPr>
          <w:rFonts w:hint="eastAsia"/>
          <w:b/>
          <w:bCs/>
          <w:color w:val="auto"/>
          <w:sz w:val="84"/>
          <w:szCs w:val="84"/>
        </w:rPr>
        <w:t>资格文件</w:t>
      </w:r>
      <w:bookmarkEnd w:id="647"/>
      <w:bookmarkEnd w:id="648"/>
    </w:p>
    <w:p w14:paraId="1A678921">
      <w:pPr>
        <w:adjustRightInd w:val="0"/>
        <w:snapToGrid w:val="0"/>
        <w:spacing w:line="288" w:lineRule="auto"/>
        <w:jc w:val="center"/>
        <w:outlineLvl w:val="0"/>
        <w:rPr>
          <w:b/>
          <w:bCs/>
          <w:color w:val="auto"/>
          <w:sz w:val="24"/>
          <w:szCs w:val="24"/>
        </w:rPr>
      </w:pPr>
      <w:bookmarkStart w:id="649" w:name="_Toc24189"/>
      <w:bookmarkStart w:id="650" w:name="_Toc4025_WPSOffice_Level1"/>
      <w:bookmarkStart w:id="651" w:name="_Toc31509_WPSOffice_Level1"/>
      <w:bookmarkStart w:id="652" w:name="_Hlk94097338"/>
      <w:r>
        <w:rPr>
          <w:rFonts w:hint="eastAsia"/>
          <w:b/>
          <w:bCs/>
          <w:color w:val="auto"/>
          <w:sz w:val="24"/>
          <w:szCs w:val="24"/>
        </w:rPr>
        <w:t>资格审查要求的资格证明材料(均需加盖公章)</w:t>
      </w:r>
      <w:bookmarkEnd w:id="649"/>
      <w:bookmarkEnd w:id="650"/>
      <w:bookmarkEnd w:id="651"/>
      <w:bookmarkEnd w:id="652"/>
    </w:p>
    <w:p w14:paraId="71F804BD">
      <w:pPr>
        <w:pStyle w:val="24"/>
        <w:ind w:firstLine="480"/>
        <w:rPr>
          <w:color w:val="auto"/>
          <w:sz w:val="24"/>
        </w:rPr>
      </w:pPr>
    </w:p>
    <w:p w14:paraId="2E848744">
      <w:pPr>
        <w:adjustRightInd w:val="0"/>
        <w:snapToGrid w:val="0"/>
        <w:spacing w:line="288" w:lineRule="auto"/>
        <w:jc w:val="left"/>
        <w:outlineLvl w:val="9"/>
        <w:rPr>
          <w:b/>
          <w:bCs/>
          <w:color w:val="auto"/>
          <w:sz w:val="24"/>
          <w:szCs w:val="24"/>
        </w:rPr>
      </w:pPr>
    </w:p>
    <w:p w14:paraId="32C7AF5C">
      <w:pPr>
        <w:adjustRightInd w:val="0"/>
        <w:snapToGrid w:val="0"/>
        <w:spacing w:line="288" w:lineRule="auto"/>
        <w:jc w:val="left"/>
        <w:outlineLvl w:val="9"/>
        <w:rPr>
          <w:b/>
          <w:bCs/>
          <w:color w:val="auto"/>
          <w:sz w:val="24"/>
          <w:szCs w:val="24"/>
        </w:rPr>
      </w:pPr>
    </w:p>
    <w:p w14:paraId="0AC3665A">
      <w:pPr>
        <w:adjustRightInd w:val="0"/>
        <w:snapToGrid w:val="0"/>
        <w:spacing w:line="288" w:lineRule="auto"/>
        <w:jc w:val="left"/>
        <w:outlineLvl w:val="9"/>
        <w:rPr>
          <w:b/>
          <w:bCs/>
          <w:color w:val="auto"/>
          <w:sz w:val="24"/>
          <w:szCs w:val="24"/>
        </w:rPr>
      </w:pPr>
    </w:p>
    <w:p w14:paraId="4A579119">
      <w:pPr>
        <w:adjustRightInd w:val="0"/>
        <w:snapToGrid w:val="0"/>
        <w:spacing w:line="288" w:lineRule="auto"/>
        <w:jc w:val="left"/>
        <w:outlineLvl w:val="9"/>
        <w:rPr>
          <w:b/>
          <w:bCs/>
          <w:color w:val="auto"/>
          <w:sz w:val="24"/>
          <w:szCs w:val="24"/>
        </w:rPr>
      </w:pPr>
    </w:p>
    <w:p w14:paraId="24ED672A">
      <w:pPr>
        <w:pStyle w:val="6"/>
        <w:ind w:left="0" w:firstLine="0"/>
        <w:outlineLvl w:val="0"/>
        <w:rPr>
          <w:color w:val="auto"/>
        </w:rPr>
      </w:pPr>
      <w:bookmarkStart w:id="653" w:name="_Toc16464_WPSOffice_Level1"/>
      <w:bookmarkStart w:id="654" w:name="_Toc4094"/>
      <w:r>
        <w:rPr>
          <w:rFonts w:hint="eastAsia"/>
          <w:color w:val="auto"/>
        </w:rPr>
        <w:t>1）有效的法人或者其他组织的营业执照等证明文件，自然人的身份证明</w:t>
      </w:r>
      <w:bookmarkEnd w:id="653"/>
      <w:bookmarkEnd w:id="654"/>
    </w:p>
    <w:p w14:paraId="487CC639">
      <w:pPr>
        <w:adjustRightInd w:val="0"/>
        <w:snapToGrid w:val="0"/>
        <w:spacing w:line="288" w:lineRule="auto"/>
        <w:rPr>
          <w:b/>
          <w:bCs/>
          <w:color w:val="auto"/>
          <w:sz w:val="24"/>
          <w:szCs w:val="24"/>
        </w:rPr>
      </w:pPr>
      <w:r>
        <w:rPr>
          <w:rFonts w:hint="eastAsia"/>
          <w:b/>
          <w:bCs/>
          <w:color w:val="auto"/>
          <w:sz w:val="24"/>
          <w:szCs w:val="24"/>
        </w:rPr>
        <w:t>说明：</w:t>
      </w:r>
    </w:p>
    <w:p w14:paraId="5A0F1A8B">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3ED5AA3C">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00B74455">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2F48302B">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7CC1B1F2">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70A33597">
      <w:pPr>
        <w:adjustRightInd w:val="0"/>
        <w:snapToGrid w:val="0"/>
        <w:spacing w:line="288" w:lineRule="auto"/>
        <w:rPr>
          <w:color w:val="auto"/>
          <w:szCs w:val="21"/>
        </w:rPr>
      </w:pPr>
      <w:r>
        <w:rPr>
          <w:rFonts w:hint="eastAsia"/>
          <w:color w:val="auto"/>
          <w:szCs w:val="21"/>
        </w:rPr>
        <w:br w:type="page"/>
      </w:r>
    </w:p>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14:paraId="5244723A">
      <w:pPr>
        <w:jc w:val="center"/>
        <w:rPr>
          <w:b/>
          <w:bCs/>
          <w:color w:val="auto"/>
          <w:sz w:val="32"/>
          <w:szCs w:val="32"/>
        </w:rPr>
      </w:pPr>
    </w:p>
    <w:p w14:paraId="072A4B72">
      <w:pPr>
        <w:pStyle w:val="6"/>
        <w:ind w:left="0" w:firstLine="0"/>
        <w:outlineLvl w:val="0"/>
        <w:rPr>
          <w:color w:val="auto"/>
        </w:rPr>
      </w:pPr>
      <w:bookmarkStart w:id="655" w:name="_Toc21675_WPSOffice_Level1"/>
      <w:bookmarkStart w:id="656" w:name="_Toc12097"/>
      <w:r>
        <w:rPr>
          <w:rFonts w:hint="eastAsia"/>
          <w:color w:val="auto"/>
        </w:rPr>
        <w:t>2）资格条件承诺函</w:t>
      </w:r>
      <w:bookmarkEnd w:id="655"/>
      <w:bookmarkEnd w:id="656"/>
    </w:p>
    <w:p w14:paraId="7BA33500">
      <w:pPr>
        <w:jc w:val="center"/>
        <w:outlineLvl w:val="1"/>
        <w:rPr>
          <w:b/>
          <w:bCs/>
          <w:color w:val="auto"/>
          <w:sz w:val="32"/>
          <w:szCs w:val="32"/>
        </w:rPr>
      </w:pPr>
      <w:bookmarkStart w:id="657" w:name="_Toc22035"/>
      <w:bookmarkStart w:id="658" w:name="_Toc8221_WPSOffice_Level2"/>
      <w:r>
        <w:rPr>
          <w:rFonts w:hint="eastAsia"/>
          <w:b/>
          <w:bCs/>
          <w:color w:val="auto"/>
          <w:sz w:val="32"/>
          <w:szCs w:val="32"/>
        </w:rPr>
        <w:t>资格条件承诺函</w:t>
      </w:r>
      <w:bookmarkEnd w:id="657"/>
      <w:bookmarkEnd w:id="658"/>
    </w:p>
    <w:p w14:paraId="70C3B401">
      <w:pPr>
        <w:snapToGrid w:val="0"/>
        <w:spacing w:line="360" w:lineRule="auto"/>
        <w:rPr>
          <w:color w:val="auto"/>
          <w:sz w:val="24"/>
        </w:rPr>
      </w:pPr>
    </w:p>
    <w:p w14:paraId="522DFA85">
      <w:pPr>
        <w:snapToGrid w:val="0"/>
        <w:spacing w:line="360" w:lineRule="auto"/>
        <w:rPr>
          <w:color w:val="auto"/>
          <w:sz w:val="24"/>
        </w:rPr>
      </w:pPr>
      <w:r>
        <w:rPr>
          <w:rFonts w:hint="eastAsia"/>
          <w:color w:val="auto"/>
          <w:sz w:val="24"/>
        </w:rPr>
        <w:t>杭州电子科技大学：</w:t>
      </w:r>
    </w:p>
    <w:p w14:paraId="68A135A8">
      <w:pPr>
        <w:snapToGrid w:val="0"/>
        <w:spacing w:line="360" w:lineRule="auto"/>
        <w:ind w:firstLine="480" w:firstLineChars="200"/>
        <w:rPr>
          <w:color w:val="auto"/>
          <w:sz w:val="24"/>
        </w:rPr>
      </w:pPr>
      <w:r>
        <w:rPr>
          <w:rFonts w:hint="eastAsia"/>
          <w:color w:val="auto"/>
          <w:sz w:val="24"/>
        </w:rPr>
        <w:t>我方（供应商）承诺：</w:t>
      </w:r>
    </w:p>
    <w:p w14:paraId="432C3725">
      <w:pPr>
        <w:snapToGrid w:val="0"/>
        <w:spacing w:line="360" w:lineRule="auto"/>
        <w:ind w:firstLine="480" w:firstLineChars="200"/>
        <w:rPr>
          <w:color w:val="auto"/>
          <w:sz w:val="24"/>
        </w:rPr>
      </w:pPr>
      <w:r>
        <w:rPr>
          <w:rFonts w:hint="eastAsia"/>
          <w:color w:val="auto"/>
          <w:sz w:val="24"/>
        </w:rPr>
        <w:t>1、具有良好的商业信誉和健全的财务会计制度；</w:t>
      </w:r>
    </w:p>
    <w:p w14:paraId="6CDF2609">
      <w:pPr>
        <w:snapToGrid w:val="0"/>
        <w:spacing w:line="360" w:lineRule="auto"/>
        <w:ind w:firstLine="480" w:firstLineChars="200"/>
        <w:rPr>
          <w:color w:val="auto"/>
          <w:sz w:val="24"/>
        </w:rPr>
      </w:pPr>
      <w:r>
        <w:rPr>
          <w:rFonts w:hint="eastAsia"/>
          <w:color w:val="auto"/>
          <w:sz w:val="24"/>
        </w:rPr>
        <w:t>2、具有履行合同所必需的设备和专业技术能力；</w:t>
      </w:r>
    </w:p>
    <w:p w14:paraId="6830A65E">
      <w:pPr>
        <w:snapToGrid w:val="0"/>
        <w:spacing w:line="360" w:lineRule="auto"/>
        <w:ind w:firstLine="480" w:firstLineChars="200"/>
        <w:rPr>
          <w:color w:val="auto"/>
          <w:sz w:val="24"/>
        </w:rPr>
      </w:pPr>
      <w:r>
        <w:rPr>
          <w:rFonts w:hint="eastAsia"/>
          <w:color w:val="auto"/>
          <w:sz w:val="24"/>
        </w:rPr>
        <w:t>3、严格依法缴纳税收和社会保障资金；</w:t>
      </w:r>
    </w:p>
    <w:p w14:paraId="7646E723">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91795EB">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2CE7B1A6">
      <w:pPr>
        <w:snapToGrid w:val="0"/>
        <w:spacing w:line="360" w:lineRule="auto"/>
        <w:ind w:firstLine="480" w:firstLineChars="200"/>
        <w:rPr>
          <w:color w:val="auto"/>
          <w:sz w:val="24"/>
        </w:rPr>
      </w:pPr>
      <w:r>
        <w:rPr>
          <w:rFonts w:hint="eastAsia"/>
          <w:color w:val="auto"/>
          <w:sz w:val="24"/>
        </w:rPr>
        <w:t>6、不存在以下情况：</w:t>
      </w:r>
    </w:p>
    <w:p w14:paraId="0520F4C9">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0E3DC4A9">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6E0C3665">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63908FD4">
      <w:pPr>
        <w:snapToGrid w:val="0"/>
        <w:spacing w:line="360" w:lineRule="auto"/>
        <w:ind w:firstLine="480" w:firstLineChars="200"/>
        <w:rPr>
          <w:color w:val="auto"/>
          <w:sz w:val="24"/>
        </w:rPr>
      </w:pPr>
      <w:r>
        <w:rPr>
          <w:rFonts w:hint="eastAsia"/>
          <w:color w:val="auto"/>
          <w:sz w:val="24"/>
        </w:rPr>
        <w:t> </w:t>
      </w:r>
    </w:p>
    <w:p w14:paraId="1A4D6A06">
      <w:pPr>
        <w:snapToGrid w:val="0"/>
        <w:spacing w:line="360" w:lineRule="auto"/>
        <w:ind w:firstLine="480" w:firstLineChars="200"/>
        <w:rPr>
          <w:color w:val="auto"/>
          <w:sz w:val="24"/>
        </w:rPr>
      </w:pPr>
      <w:r>
        <w:rPr>
          <w:rFonts w:hint="eastAsia"/>
          <w:color w:val="auto"/>
          <w:sz w:val="24"/>
        </w:rPr>
        <w:t>特此承诺！</w:t>
      </w:r>
    </w:p>
    <w:p w14:paraId="5A8C4174">
      <w:pPr>
        <w:pStyle w:val="8"/>
        <w:rPr>
          <w:color w:val="auto"/>
          <w:sz w:val="24"/>
        </w:rPr>
      </w:pPr>
    </w:p>
    <w:p w14:paraId="3E6D70A5">
      <w:pPr>
        <w:rPr>
          <w:color w:val="auto"/>
          <w:sz w:val="24"/>
        </w:rPr>
      </w:pPr>
    </w:p>
    <w:p w14:paraId="625D70FE">
      <w:pPr>
        <w:pStyle w:val="8"/>
        <w:rPr>
          <w:color w:val="auto"/>
        </w:rPr>
      </w:pPr>
    </w:p>
    <w:p w14:paraId="1E109A2A">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57D8B53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943B92B">
      <w:pPr>
        <w:pStyle w:val="29"/>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03AE80B6">
      <w:pPr>
        <w:adjustRightInd w:val="0"/>
        <w:snapToGrid w:val="0"/>
        <w:spacing w:line="288" w:lineRule="auto"/>
        <w:ind w:firstLine="480" w:firstLineChars="200"/>
        <w:rPr>
          <w:color w:val="auto"/>
          <w:sz w:val="24"/>
          <w:szCs w:val="24"/>
        </w:rPr>
      </w:pPr>
    </w:p>
    <w:p w14:paraId="5311975D">
      <w:pPr>
        <w:adjustRightInd w:val="0"/>
        <w:snapToGrid w:val="0"/>
        <w:spacing w:line="288" w:lineRule="auto"/>
        <w:ind w:firstLine="480" w:firstLineChars="200"/>
        <w:rPr>
          <w:color w:val="auto"/>
          <w:sz w:val="24"/>
          <w:szCs w:val="24"/>
        </w:rPr>
      </w:pPr>
    </w:p>
    <w:p w14:paraId="28A1B18F">
      <w:pPr>
        <w:numPr>
          <w:ilvl w:val="0"/>
          <w:numId w:val="0"/>
        </w:numPr>
        <w:rPr>
          <w:color w:val="auto"/>
        </w:rPr>
      </w:pPr>
    </w:p>
    <w:p w14:paraId="5C77C0CE">
      <w:pPr>
        <w:pStyle w:val="6"/>
        <w:ind w:left="0" w:firstLine="0"/>
        <w:jc w:val="left"/>
        <w:outlineLvl w:val="9"/>
        <w:rPr>
          <w:rFonts w:hint="eastAsia"/>
          <w:color w:val="auto"/>
        </w:rPr>
      </w:pPr>
    </w:p>
    <w:p w14:paraId="32AC531C">
      <w:pPr>
        <w:rPr>
          <w:rFonts w:hint="eastAsia"/>
          <w:color w:val="auto"/>
        </w:rPr>
      </w:pPr>
      <w:r>
        <w:rPr>
          <w:rFonts w:hint="eastAsia"/>
          <w:color w:val="auto"/>
        </w:rPr>
        <w:br w:type="page"/>
      </w:r>
    </w:p>
    <w:p w14:paraId="3E4A918D">
      <w:pPr>
        <w:pStyle w:val="6"/>
        <w:ind w:left="0" w:firstLine="0"/>
        <w:jc w:val="left"/>
        <w:outlineLvl w:val="9"/>
        <w:rPr>
          <w:color w:val="auto"/>
        </w:rPr>
      </w:pPr>
      <w:bookmarkStart w:id="659" w:name="_Toc10403_WPSOffice_Level1"/>
      <w:bookmarkStart w:id="660" w:name="_Toc13311"/>
      <w:r>
        <w:rPr>
          <w:rFonts w:hint="eastAsia"/>
          <w:color w:val="auto"/>
          <w:lang w:val="en-US" w:eastAsia="zh-CN"/>
        </w:rPr>
        <w:t>3</w:t>
      </w:r>
      <w:r>
        <w:rPr>
          <w:rFonts w:hint="eastAsia"/>
          <w:color w:val="auto"/>
        </w:rPr>
        <w:t>）本项目的特定资格要求证明材料：国家颁发的出版物进口经营许可证</w:t>
      </w:r>
      <w:bookmarkEnd w:id="659"/>
      <w:bookmarkEnd w:id="660"/>
    </w:p>
    <w:p w14:paraId="35A0D2C7">
      <w:pPr>
        <w:snapToGrid w:val="0"/>
        <w:spacing w:line="360" w:lineRule="auto"/>
        <w:jc w:val="center"/>
        <w:rPr>
          <w:rFonts w:hint="eastAsia" w:ascii="宋体" w:hAnsi="宋体" w:cs="宋体"/>
          <w:color w:val="auto"/>
          <w:sz w:val="24"/>
          <w:lang w:eastAsia="zh-CN"/>
        </w:rPr>
      </w:pPr>
    </w:p>
    <w:p w14:paraId="3B420FDA">
      <w:pPr>
        <w:snapToGrid w:val="0"/>
        <w:spacing w:line="360" w:lineRule="auto"/>
        <w:jc w:val="center"/>
        <w:rPr>
          <w:rFonts w:hint="default" w:ascii="宋体" w:hAnsi="宋体" w:eastAsia="宋体" w:cs="宋体"/>
          <w:color w:val="auto"/>
          <w:sz w:val="24"/>
          <w:lang w:val="en-US" w:eastAsia="zh-CN"/>
        </w:rPr>
      </w:pPr>
      <w:bookmarkStart w:id="661" w:name="_Toc533_WPSOffice_Level1"/>
      <w:bookmarkStart w:id="662" w:name="_Toc5305_WPSOffice_Level1"/>
      <w:r>
        <w:rPr>
          <w:rFonts w:hint="eastAsia" w:ascii="宋体" w:hAnsi="宋体" w:cs="宋体"/>
          <w:color w:val="auto"/>
          <w:sz w:val="24"/>
          <w:lang w:eastAsia="zh-CN"/>
        </w:rPr>
        <w:t>（</w:t>
      </w:r>
      <w:r>
        <w:rPr>
          <w:rFonts w:hint="eastAsia" w:ascii="宋体" w:hAnsi="宋体" w:cs="宋体"/>
          <w:color w:val="auto"/>
          <w:sz w:val="24"/>
          <w:lang w:val="en-US" w:eastAsia="zh-CN"/>
        </w:rPr>
        <w:t>证书复印件加盖公章）</w:t>
      </w:r>
      <w:bookmarkEnd w:id="661"/>
      <w:bookmarkEnd w:id="662"/>
    </w:p>
    <w:p w14:paraId="20A3B2A2">
      <w:pPr>
        <w:rPr>
          <w:rFonts w:hint="eastAsia"/>
          <w:b/>
          <w:bCs/>
          <w:color w:val="auto"/>
          <w:sz w:val="84"/>
          <w:szCs w:val="84"/>
        </w:rPr>
      </w:pPr>
      <w:r>
        <w:rPr>
          <w:rFonts w:hint="eastAsia"/>
          <w:b/>
          <w:bCs/>
          <w:color w:val="auto"/>
          <w:sz w:val="84"/>
          <w:szCs w:val="84"/>
        </w:rPr>
        <w:br w:type="page"/>
      </w:r>
    </w:p>
    <w:p w14:paraId="212C8BB1">
      <w:pPr>
        <w:adjustRightInd w:val="0"/>
        <w:snapToGrid w:val="0"/>
        <w:spacing w:line="288" w:lineRule="auto"/>
        <w:jc w:val="center"/>
        <w:outlineLvl w:val="0"/>
        <w:rPr>
          <w:b/>
          <w:bCs/>
          <w:color w:val="auto"/>
          <w:sz w:val="84"/>
          <w:szCs w:val="84"/>
        </w:rPr>
      </w:pPr>
      <w:bookmarkStart w:id="663" w:name="_Toc7264_WPSOffice_Level1"/>
      <w:bookmarkStart w:id="664" w:name="_Toc17030"/>
      <w:r>
        <w:rPr>
          <w:rFonts w:hint="eastAsia"/>
          <w:b/>
          <w:bCs/>
          <w:color w:val="auto"/>
          <w:sz w:val="84"/>
          <w:szCs w:val="84"/>
        </w:rPr>
        <w:t>报价文件</w:t>
      </w:r>
      <w:bookmarkEnd w:id="663"/>
      <w:bookmarkEnd w:id="664"/>
    </w:p>
    <w:p w14:paraId="7AC97D27">
      <w:pPr>
        <w:pStyle w:val="6"/>
        <w:ind w:left="0" w:firstLine="0"/>
        <w:outlineLvl w:val="0"/>
        <w:rPr>
          <w:color w:val="auto"/>
        </w:rPr>
      </w:pPr>
      <w:bookmarkStart w:id="665" w:name="_Toc32698"/>
      <w:bookmarkStart w:id="666" w:name="_Toc23539"/>
      <w:bookmarkStart w:id="667" w:name="_Toc15307"/>
      <w:bookmarkStart w:id="668" w:name="_Toc18705"/>
      <w:bookmarkStart w:id="669" w:name="_Toc6771"/>
      <w:bookmarkStart w:id="670" w:name="_Toc23089"/>
      <w:bookmarkStart w:id="671" w:name="_Toc13470"/>
      <w:bookmarkStart w:id="672" w:name="_Toc19897"/>
      <w:bookmarkStart w:id="673" w:name="_Toc19949"/>
      <w:bookmarkStart w:id="674" w:name="_Toc10749"/>
      <w:bookmarkStart w:id="675" w:name="_Toc24738"/>
      <w:bookmarkStart w:id="676" w:name="_Toc14186"/>
      <w:bookmarkStart w:id="677" w:name="_Toc22542"/>
      <w:bookmarkStart w:id="678" w:name="_Toc11579"/>
      <w:bookmarkStart w:id="679" w:name="_Toc20907"/>
      <w:bookmarkStart w:id="680" w:name="_Toc25418"/>
      <w:bookmarkStart w:id="681" w:name="_Toc28619"/>
      <w:bookmarkStart w:id="682" w:name="_Toc14637"/>
      <w:bookmarkStart w:id="683" w:name="_Toc19268"/>
      <w:bookmarkStart w:id="684" w:name="_Toc3471"/>
      <w:bookmarkStart w:id="685" w:name="_Toc4455"/>
      <w:bookmarkStart w:id="686" w:name="_Toc28695"/>
      <w:bookmarkStart w:id="687" w:name="_Toc32416"/>
      <w:bookmarkStart w:id="688" w:name="_Toc24403"/>
      <w:bookmarkStart w:id="689" w:name="_Toc16624"/>
      <w:bookmarkStart w:id="690" w:name="_Toc25012"/>
      <w:bookmarkStart w:id="691" w:name="_Toc25971"/>
      <w:bookmarkStart w:id="692" w:name="_Toc27484"/>
      <w:bookmarkStart w:id="693" w:name="_Toc24678"/>
      <w:bookmarkStart w:id="694" w:name="_Toc2198"/>
      <w:bookmarkStart w:id="695" w:name="_Toc12332"/>
      <w:bookmarkStart w:id="696" w:name="_Toc5206"/>
      <w:bookmarkStart w:id="697" w:name="_Toc23410"/>
      <w:bookmarkStart w:id="698" w:name="_Toc13060"/>
      <w:bookmarkStart w:id="699" w:name="_Toc16736"/>
      <w:bookmarkStart w:id="700" w:name="_Toc25718"/>
      <w:r>
        <w:rPr>
          <w:rFonts w:hint="eastAsia"/>
          <w:color w:val="auto"/>
        </w:rPr>
        <w:t>（1）初次报价一览表</w:t>
      </w:r>
      <w:bookmarkEnd w:id="665"/>
    </w:p>
    <w:p w14:paraId="2555E70D">
      <w:pPr>
        <w:pStyle w:val="6"/>
        <w:tabs>
          <w:tab w:val="left" w:pos="0"/>
          <w:tab w:val="clear" w:pos="1275"/>
        </w:tabs>
        <w:ind w:left="15" w:hanging="15"/>
        <w:outlineLvl w:val="9"/>
        <w:rPr>
          <w:rFonts w:ascii="黑体" w:hAnsi="黑体" w:eastAsia="黑体" w:cs="黑体"/>
          <w:color w:val="auto"/>
          <w:szCs w:val="28"/>
        </w:rPr>
      </w:pPr>
    </w:p>
    <w:p w14:paraId="1535AE42">
      <w:pPr>
        <w:jc w:val="center"/>
        <w:outlineLvl w:val="1"/>
        <w:rPr>
          <w:b/>
          <w:bCs/>
          <w:color w:val="auto"/>
          <w:sz w:val="32"/>
          <w:szCs w:val="32"/>
        </w:rPr>
      </w:pPr>
      <w:bookmarkStart w:id="701" w:name="_Toc17904_WPSOffice_Level2"/>
      <w:bookmarkStart w:id="702" w:name="_Toc10416"/>
      <w:r>
        <w:rPr>
          <w:rFonts w:hint="eastAsia"/>
          <w:b/>
          <w:bCs/>
          <w:color w:val="auto"/>
          <w:sz w:val="32"/>
          <w:szCs w:val="32"/>
        </w:rPr>
        <w:t>初次报价一览表</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701"/>
      <w:bookmarkEnd w:id="702"/>
    </w:p>
    <w:p w14:paraId="142FC1A4">
      <w:pPr>
        <w:spacing w:line="460" w:lineRule="exact"/>
        <w:rPr>
          <w:color w:val="auto"/>
          <w:sz w:val="24"/>
        </w:rPr>
      </w:pPr>
      <w:r>
        <w:rPr>
          <w:rFonts w:hint="eastAsia"/>
          <w:color w:val="auto"/>
          <w:sz w:val="24"/>
        </w:rPr>
        <w:t>项目名称（含标项名称）：</w:t>
      </w:r>
    </w:p>
    <w:p w14:paraId="4D1EF08D">
      <w:pPr>
        <w:spacing w:line="460" w:lineRule="exact"/>
        <w:rPr>
          <w:color w:val="auto"/>
          <w:sz w:val="24"/>
        </w:rPr>
      </w:pPr>
      <w:r>
        <w:rPr>
          <w:rFonts w:hint="eastAsia"/>
          <w:color w:val="auto"/>
          <w:sz w:val="24"/>
        </w:rPr>
        <w:t>项目编号：</w:t>
      </w:r>
    </w:p>
    <w:p w14:paraId="05F9D70B">
      <w:pPr>
        <w:rPr>
          <w:color w:val="auto"/>
        </w:rPr>
      </w:pPr>
    </w:p>
    <w:tbl>
      <w:tblPr>
        <w:tblStyle w:val="4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35FA6C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640" w:type="dxa"/>
            <w:tcBorders>
              <w:top w:val="single" w:color="auto" w:sz="4" w:space="0"/>
              <w:left w:val="single" w:color="auto" w:sz="4" w:space="0"/>
              <w:bottom w:val="single" w:color="auto" w:sz="4" w:space="0"/>
              <w:right w:val="single" w:color="auto" w:sz="4" w:space="0"/>
            </w:tcBorders>
            <w:vAlign w:val="center"/>
          </w:tcPr>
          <w:p w14:paraId="63D1DB37">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r>
              <w:rPr>
                <w:rFonts w:hint="eastAsia" w:ascii="宋体" w:hAnsi="宋体"/>
                <w:color w:val="auto"/>
                <w:spacing w:val="-6"/>
                <w:sz w:val="24"/>
              </w:rPr>
              <w:t>折扣）</w:t>
            </w:r>
          </w:p>
        </w:tc>
      </w:tr>
      <w:tr w14:paraId="7FDA27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0" w:hRule="atLeast"/>
        </w:trPr>
        <w:tc>
          <w:tcPr>
            <w:tcW w:w="9640" w:type="dxa"/>
            <w:tcBorders>
              <w:top w:val="single" w:color="auto" w:sz="4" w:space="0"/>
              <w:left w:val="single" w:color="auto" w:sz="4" w:space="0"/>
              <w:bottom w:val="single" w:color="auto" w:sz="4" w:space="0"/>
              <w:right w:val="single" w:color="auto" w:sz="4" w:space="0"/>
            </w:tcBorders>
            <w:vAlign w:val="center"/>
          </w:tcPr>
          <w:p w14:paraId="0D6C3984">
            <w:pPr>
              <w:spacing w:line="360" w:lineRule="auto"/>
              <w:rPr>
                <w:rFonts w:ascii="宋体" w:hAnsi="宋体"/>
                <w:color w:val="auto"/>
                <w:spacing w:val="-6"/>
                <w:sz w:val="24"/>
              </w:rPr>
            </w:pPr>
          </w:p>
          <w:p w14:paraId="548E7C69">
            <w:pPr>
              <w:spacing w:line="360" w:lineRule="auto"/>
              <w:rPr>
                <w:rFonts w:ascii="宋体" w:hAnsi="宋体"/>
                <w:color w:val="auto"/>
                <w:spacing w:val="-6"/>
                <w:sz w:val="24"/>
                <w:u w:val="single"/>
              </w:rPr>
            </w:pPr>
            <w:r>
              <w:rPr>
                <w:rFonts w:hint="eastAsia" w:ascii="宋体" w:hAnsi="宋体"/>
                <w:color w:val="auto"/>
                <w:spacing w:val="-6"/>
                <w:sz w:val="24"/>
              </w:rPr>
              <w:t>大写：百分之</w:t>
            </w:r>
            <w:r>
              <w:rPr>
                <w:rFonts w:hint="eastAsia" w:ascii="宋体" w:hAnsi="宋体"/>
                <w:color w:val="auto"/>
                <w:spacing w:val="-6"/>
                <w:sz w:val="24"/>
                <w:u w:val="single"/>
              </w:rPr>
              <w:t xml:space="preserve">                </w:t>
            </w:r>
            <w:r>
              <w:rPr>
                <w:rFonts w:hint="eastAsia" w:ascii="宋体" w:hAnsi="宋体"/>
                <w:color w:val="auto"/>
                <w:spacing w:val="-6"/>
                <w:sz w:val="24"/>
              </w:rPr>
              <w:t xml:space="preserve">       小写：</w:t>
            </w:r>
            <w:r>
              <w:rPr>
                <w:rFonts w:hint="eastAsia" w:ascii="宋体" w:hAnsi="宋体"/>
                <w:color w:val="auto"/>
                <w:spacing w:val="-6"/>
                <w:sz w:val="24"/>
                <w:u w:val="single"/>
              </w:rPr>
              <w:t xml:space="preserve">         </w:t>
            </w:r>
            <w:r>
              <w:rPr>
                <w:rFonts w:hint="eastAsia" w:ascii="宋体" w:hAnsi="宋体"/>
                <w:color w:val="auto"/>
                <w:spacing w:val="-6"/>
                <w:sz w:val="24"/>
              </w:rPr>
              <w:t>%</w:t>
            </w:r>
          </w:p>
          <w:p w14:paraId="5807B92A">
            <w:pPr>
              <w:spacing w:line="360" w:lineRule="auto"/>
              <w:rPr>
                <w:rFonts w:ascii="宋体" w:hAnsi="宋体"/>
                <w:b/>
                <w:color w:val="auto"/>
                <w:spacing w:val="-6"/>
                <w:sz w:val="24"/>
              </w:rPr>
            </w:pPr>
            <w:r>
              <w:rPr>
                <w:rFonts w:hint="eastAsia" w:ascii="宋体" w:hAnsi="宋体"/>
                <w:bCs/>
                <w:color w:val="auto"/>
                <w:spacing w:val="-6"/>
                <w:sz w:val="24"/>
              </w:rPr>
              <w:t>注：整数</w:t>
            </w:r>
          </w:p>
        </w:tc>
      </w:tr>
    </w:tbl>
    <w:p w14:paraId="2699020E">
      <w:pPr>
        <w:pStyle w:val="44"/>
        <w:snapToGrid w:val="0"/>
        <w:spacing w:line="400" w:lineRule="exact"/>
        <w:rPr>
          <w:color w:val="auto"/>
          <w:szCs w:val="24"/>
        </w:rPr>
      </w:pPr>
      <w:r>
        <w:rPr>
          <w:rFonts w:hint="eastAsia"/>
          <w:color w:val="auto"/>
          <w:szCs w:val="24"/>
        </w:rPr>
        <w:t>注：报价为图书的折扣（原价以出版社官方网站公布价为准，按中国银行即时汇率换算）。本报价中应包含货物到达甲方或甲方指定用户并能正常使用所需的一切费用，包括但不限于包装费、运输费、装卸费、保险费、安装调试费、技术服务费、培训费、保修保换费、税费等。</w:t>
      </w:r>
    </w:p>
    <w:p w14:paraId="08206A8A">
      <w:pPr>
        <w:spacing w:line="360" w:lineRule="auto"/>
        <w:ind w:right="-21" w:rightChars="-10"/>
        <w:rPr>
          <w:color w:val="auto"/>
          <w:sz w:val="24"/>
        </w:rPr>
      </w:pPr>
    </w:p>
    <w:p w14:paraId="7A4C6FE2">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56234B96">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5B38D39">
      <w:pPr>
        <w:spacing w:before="240" w:beforeLines="100" w:after="240" w:afterLines="100"/>
        <w:jc w:val="left"/>
        <w:rPr>
          <w:color w:val="auto"/>
          <w:sz w:val="24"/>
          <w:szCs w:val="24"/>
        </w:rPr>
      </w:pPr>
      <w:r>
        <w:rPr>
          <w:rFonts w:hint="eastAsia" w:ascii="宋体" w:hAnsi="宋体" w:cs="宋体"/>
          <w:color w:val="auto"/>
          <w:sz w:val="24"/>
        </w:rPr>
        <w:t>日期：      年   月   日</w:t>
      </w:r>
    </w:p>
    <w:p w14:paraId="750C0509">
      <w:pPr>
        <w:spacing w:line="360" w:lineRule="auto"/>
        <w:ind w:right="-21" w:rightChars="-10"/>
        <w:rPr>
          <w:color w:val="auto"/>
          <w:sz w:val="24"/>
        </w:rPr>
      </w:pPr>
    </w:p>
    <w:p w14:paraId="5013BA37">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693"/>
    <w:bookmarkEnd w:id="694"/>
    <w:bookmarkEnd w:id="695"/>
    <w:bookmarkEnd w:id="696"/>
    <w:bookmarkEnd w:id="697"/>
    <w:bookmarkEnd w:id="698"/>
    <w:bookmarkEnd w:id="699"/>
    <w:bookmarkEnd w:id="700"/>
    <w:p w14:paraId="3AE8C6F3">
      <w:pPr>
        <w:adjustRightInd w:val="0"/>
        <w:snapToGrid w:val="0"/>
        <w:spacing w:line="288" w:lineRule="auto"/>
        <w:jc w:val="center"/>
        <w:outlineLvl w:val="0"/>
        <w:rPr>
          <w:b/>
          <w:bCs/>
          <w:color w:val="auto"/>
          <w:sz w:val="84"/>
          <w:szCs w:val="84"/>
        </w:rPr>
      </w:pPr>
      <w:bookmarkStart w:id="703" w:name="_Toc31560"/>
      <w:bookmarkStart w:id="704" w:name="_Toc9608_WPSOffice_Level1"/>
      <w:bookmarkStart w:id="705" w:name="_Toc11033"/>
      <w:bookmarkStart w:id="706" w:name="_Toc25574"/>
      <w:bookmarkStart w:id="707" w:name="_Toc2960"/>
      <w:bookmarkStart w:id="708" w:name="_Toc22262"/>
      <w:bookmarkStart w:id="709" w:name="_Toc10583"/>
      <w:bookmarkStart w:id="710" w:name="_Toc27848"/>
      <w:bookmarkStart w:id="711" w:name="_Toc9514"/>
      <w:bookmarkStart w:id="712" w:name="_Toc4011"/>
      <w:bookmarkStart w:id="713" w:name="_Toc27765"/>
      <w:bookmarkStart w:id="714" w:name="_Toc2678"/>
      <w:bookmarkStart w:id="715" w:name="_Toc17483"/>
      <w:bookmarkStart w:id="716" w:name="_Toc30975"/>
      <w:bookmarkStart w:id="717" w:name="_Toc21599"/>
      <w:bookmarkStart w:id="718" w:name="_Toc31197"/>
      <w:bookmarkStart w:id="719" w:name="_Toc13604"/>
      <w:bookmarkStart w:id="720" w:name="_Toc10465"/>
      <w:bookmarkStart w:id="721" w:name="_Toc20322"/>
      <w:bookmarkStart w:id="722" w:name="_Toc4245"/>
      <w:bookmarkStart w:id="723" w:name="_Toc23382"/>
      <w:bookmarkStart w:id="724" w:name="_Toc28796"/>
      <w:bookmarkStart w:id="725" w:name="_Toc19321"/>
      <w:bookmarkStart w:id="726" w:name="_Toc432"/>
      <w:bookmarkStart w:id="727" w:name="_Toc6658"/>
      <w:bookmarkStart w:id="728" w:name="_Toc13355"/>
      <w:bookmarkStart w:id="729" w:name="_Toc4954"/>
      <w:bookmarkStart w:id="730" w:name="_Toc29034"/>
      <w:bookmarkStart w:id="731" w:name="_Toc593"/>
      <w:bookmarkStart w:id="732" w:name="_Toc4882"/>
      <w:bookmarkStart w:id="733" w:name="_Toc8554"/>
      <w:bookmarkStart w:id="734" w:name="_Toc5305"/>
      <w:bookmarkStart w:id="735" w:name="_Toc1234"/>
      <w:bookmarkStart w:id="736" w:name="_Toc32174"/>
      <w:bookmarkStart w:id="737" w:name="_Toc3902"/>
      <w:bookmarkStart w:id="738" w:name="_Toc17061"/>
      <w:bookmarkStart w:id="739" w:name="_Toc21390"/>
      <w:bookmarkStart w:id="740" w:name="_Toc118516210"/>
      <w:r>
        <w:rPr>
          <w:rFonts w:hint="eastAsia"/>
          <w:b/>
          <w:bCs/>
          <w:color w:val="auto"/>
          <w:sz w:val="84"/>
          <w:szCs w:val="84"/>
        </w:rPr>
        <w:t>商务和技术文件</w:t>
      </w:r>
      <w:bookmarkEnd w:id="703"/>
      <w:bookmarkEnd w:id="704"/>
    </w:p>
    <w:p w14:paraId="5F790F6B">
      <w:pPr>
        <w:pStyle w:val="6"/>
        <w:tabs>
          <w:tab w:val="left" w:pos="0"/>
          <w:tab w:val="clear" w:pos="1275"/>
        </w:tabs>
        <w:ind w:left="15" w:hanging="15"/>
        <w:outlineLvl w:val="9"/>
        <w:rPr>
          <w:color w:val="auto"/>
          <w:sz w:val="24"/>
          <w:szCs w:val="24"/>
        </w:rPr>
      </w:pPr>
    </w:p>
    <w:p w14:paraId="32F5FEBA">
      <w:pPr>
        <w:pStyle w:val="6"/>
        <w:ind w:left="0" w:firstLine="0"/>
        <w:outlineLvl w:val="0"/>
        <w:rPr>
          <w:color w:val="auto"/>
        </w:rPr>
      </w:pPr>
      <w:bookmarkStart w:id="741" w:name="_Toc3459"/>
      <w:r>
        <w:rPr>
          <w:rFonts w:hint="eastAsia"/>
          <w:color w:val="auto"/>
        </w:rPr>
        <w:t>（1）磋商响应函</w:t>
      </w:r>
      <w:bookmarkEnd w:id="741"/>
      <w:r>
        <w:rPr>
          <w:rFonts w:hint="eastAsia"/>
          <w:color w:val="auto"/>
        </w:rPr>
        <w:t xml:space="preserve">   </w:t>
      </w:r>
    </w:p>
    <w:p w14:paraId="0BECBE89">
      <w:pPr>
        <w:jc w:val="center"/>
        <w:outlineLvl w:val="1"/>
        <w:rPr>
          <w:b/>
          <w:color w:val="auto"/>
          <w:sz w:val="32"/>
          <w:szCs w:val="32"/>
        </w:rPr>
      </w:pPr>
      <w:bookmarkStart w:id="742" w:name="_Toc1793_WPSOffice_Level2"/>
      <w:bookmarkStart w:id="743" w:name="_Toc2952"/>
      <w:r>
        <w:rPr>
          <w:rFonts w:hint="eastAsia"/>
          <w:b/>
          <w:color w:val="auto"/>
          <w:sz w:val="32"/>
          <w:szCs w:val="32"/>
        </w:rPr>
        <w:t>磋商响应函</w:t>
      </w:r>
      <w:bookmarkEnd w:id="742"/>
      <w:bookmarkEnd w:id="743"/>
    </w:p>
    <w:p w14:paraId="27DE8A8D">
      <w:pPr>
        <w:pStyle w:val="29"/>
        <w:ind w:left="-27" w:firstLine="530"/>
        <w:rPr>
          <w:rFonts w:ascii="Times New Roman" w:hAnsi="Times New Roman"/>
          <w:b/>
          <w:color w:val="auto"/>
          <w:sz w:val="30"/>
        </w:rPr>
      </w:pPr>
    </w:p>
    <w:p w14:paraId="20AC8843">
      <w:pPr>
        <w:pStyle w:val="29"/>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6B5DCC5B">
      <w:pPr>
        <w:pStyle w:val="29"/>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（项目名称、标项名称、项目编号）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024317A8">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1C430850">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458F3537">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29A87E56">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3D8F1AB6">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59A12ABC">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1F429912">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4D6B5813">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01AF2AD8">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392C4533">
      <w:pPr>
        <w:pStyle w:val="29"/>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13083A78">
      <w:pPr>
        <w:pStyle w:val="29"/>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357CA6D7">
      <w:pPr>
        <w:pStyle w:val="29"/>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1CCD72DD">
      <w:pPr>
        <w:pStyle w:val="29"/>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6C70FC2B">
      <w:pPr>
        <w:pStyle w:val="29"/>
        <w:spacing w:line="312" w:lineRule="auto"/>
        <w:ind w:left="-27" w:firstLine="422"/>
        <w:rPr>
          <w:rFonts w:ascii="Times New Roman" w:hAnsi="Times New Roman"/>
          <w:color w:val="auto"/>
          <w:sz w:val="24"/>
        </w:rPr>
      </w:pPr>
    </w:p>
    <w:p w14:paraId="3F04BDDE">
      <w:pPr>
        <w:pStyle w:val="29"/>
        <w:spacing w:line="312" w:lineRule="auto"/>
        <w:ind w:left="-27" w:firstLine="480" w:firstLineChars="200"/>
        <w:rPr>
          <w:rFonts w:ascii="Times New Roman" w:hAnsi="Times New Roman"/>
          <w:color w:val="auto"/>
          <w:sz w:val="24"/>
        </w:rPr>
      </w:pPr>
    </w:p>
    <w:p w14:paraId="155415CE">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F1D0213">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133C15F">
      <w:pPr>
        <w:spacing w:before="240" w:beforeLines="100" w:after="240" w:afterLines="100"/>
        <w:jc w:val="left"/>
        <w:rPr>
          <w:color w:val="auto"/>
          <w:sz w:val="24"/>
          <w:szCs w:val="24"/>
        </w:rPr>
      </w:pPr>
      <w:r>
        <w:rPr>
          <w:rFonts w:hint="eastAsia" w:ascii="宋体" w:hAnsi="宋体" w:cs="宋体"/>
          <w:color w:val="auto"/>
          <w:sz w:val="24"/>
        </w:rPr>
        <w:t>日期：      年   月   日</w:t>
      </w:r>
    </w:p>
    <w:p w14:paraId="6B7867E8">
      <w:pPr>
        <w:rPr>
          <w:color w:val="auto"/>
          <w:sz w:val="24"/>
          <w:szCs w:val="24"/>
        </w:rPr>
      </w:pPr>
    </w:p>
    <w:p w14:paraId="1D86EF26">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5EA34920">
      <w:pPr>
        <w:pStyle w:val="6"/>
        <w:ind w:left="0" w:firstLine="0"/>
        <w:outlineLvl w:val="0"/>
        <w:rPr>
          <w:color w:val="auto"/>
        </w:rPr>
      </w:pPr>
      <w:bookmarkStart w:id="744" w:name="_Toc2482"/>
      <w:r>
        <w:rPr>
          <w:rFonts w:hint="eastAsia"/>
          <w:color w:val="auto"/>
        </w:rPr>
        <w:t>（2）法定代表人授权书（非法定代表人参加时提供）</w:t>
      </w:r>
      <w:bookmarkEnd w:id="744"/>
    </w:p>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14:paraId="7E05D0BD">
      <w:pPr>
        <w:pStyle w:val="29"/>
        <w:tabs>
          <w:tab w:val="left" w:pos="450"/>
        </w:tabs>
        <w:spacing w:line="400" w:lineRule="atLeast"/>
        <w:ind w:left="-27" w:firstLine="422"/>
        <w:rPr>
          <w:rFonts w:ascii="Times New Roman" w:hAnsi="Times New Roman"/>
          <w:color w:val="auto"/>
          <w:sz w:val="24"/>
          <w:szCs w:val="24"/>
        </w:rPr>
      </w:pPr>
    </w:p>
    <w:p w14:paraId="11DFB8E1">
      <w:pPr>
        <w:pStyle w:val="29"/>
        <w:tabs>
          <w:tab w:val="left" w:pos="450"/>
        </w:tabs>
        <w:spacing w:line="400" w:lineRule="atLeast"/>
        <w:ind w:left="-27" w:firstLine="565"/>
        <w:jc w:val="center"/>
        <w:outlineLvl w:val="1"/>
        <w:rPr>
          <w:rFonts w:ascii="Times New Roman" w:hAnsi="Times New Roman"/>
          <w:b/>
          <w:color w:val="auto"/>
          <w:sz w:val="32"/>
          <w:szCs w:val="32"/>
        </w:rPr>
      </w:pPr>
      <w:bookmarkStart w:id="745" w:name="_Toc4024"/>
      <w:bookmarkStart w:id="746" w:name="_Toc25566_WPSOffice_Level2"/>
      <w:r>
        <w:rPr>
          <w:rFonts w:hint="eastAsia" w:ascii="Times New Roman" w:hAnsi="Times New Roman"/>
          <w:b/>
          <w:color w:val="auto"/>
          <w:sz w:val="32"/>
          <w:szCs w:val="32"/>
        </w:rPr>
        <w:t>法定代表人授权书</w:t>
      </w:r>
      <w:bookmarkEnd w:id="745"/>
      <w:bookmarkEnd w:id="746"/>
    </w:p>
    <w:p w14:paraId="7DC2DF7D">
      <w:pPr>
        <w:pStyle w:val="29"/>
        <w:spacing w:line="600" w:lineRule="atLeast"/>
        <w:ind w:left="-27" w:firstLine="493"/>
        <w:rPr>
          <w:rFonts w:ascii="Times New Roman" w:hAnsi="Times New Roman"/>
          <w:color w:val="auto"/>
          <w:sz w:val="28"/>
          <w:u w:val="single"/>
        </w:rPr>
      </w:pPr>
    </w:p>
    <w:p w14:paraId="6AFFB6CF">
      <w:pPr>
        <w:pStyle w:val="29"/>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0EFA84F0">
      <w:pPr>
        <w:pStyle w:val="29"/>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（项目名称、标项名称、项目编号）</w:t>
      </w:r>
      <w:r>
        <w:rPr>
          <w:rFonts w:hint="eastAsia" w:ascii="Times New Roman" w:hAnsi="Times New Roman"/>
          <w:color w:val="auto"/>
          <w:sz w:val="24"/>
          <w:szCs w:val="24"/>
        </w:rPr>
        <w:t>项目的竞争性磋商，并全权处理磋商中的一切事宜。</w:t>
      </w:r>
    </w:p>
    <w:p w14:paraId="4BE07B4C">
      <w:pPr>
        <w:pStyle w:val="29"/>
        <w:spacing w:line="600" w:lineRule="atLeast"/>
        <w:ind w:left="-27" w:firstLine="422"/>
        <w:rPr>
          <w:rFonts w:ascii="Times New Roman" w:hAnsi="Times New Roman"/>
          <w:color w:val="auto"/>
          <w:sz w:val="24"/>
          <w:szCs w:val="24"/>
        </w:rPr>
      </w:pPr>
    </w:p>
    <w:p w14:paraId="18C65659">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14:paraId="438CC29F">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6369C22A">
      <w:pPr>
        <w:pStyle w:val="29"/>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52F6632A">
      <w:pPr>
        <w:pStyle w:val="29"/>
        <w:spacing w:line="400" w:lineRule="atLeast"/>
        <w:ind w:left="-27" w:firstLine="422"/>
        <w:rPr>
          <w:rFonts w:ascii="Times New Roman" w:hAnsi="Times New Roman"/>
          <w:color w:val="auto"/>
          <w:sz w:val="24"/>
          <w:szCs w:val="24"/>
        </w:rPr>
      </w:pPr>
    </w:p>
    <w:p w14:paraId="042EE805">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4F0FB316">
      <w:pPr>
        <w:pStyle w:val="29"/>
        <w:spacing w:line="400" w:lineRule="atLeast"/>
        <w:ind w:left="-27" w:firstLine="422"/>
        <w:rPr>
          <w:rFonts w:ascii="Times New Roman" w:hAnsi="Times New Roman"/>
          <w:color w:val="auto"/>
          <w:sz w:val="24"/>
          <w:szCs w:val="24"/>
        </w:rPr>
      </w:pPr>
    </w:p>
    <w:p w14:paraId="6F425596">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044FA4A4">
      <w:pPr>
        <w:pStyle w:val="29"/>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77200B67">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597D7E70">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651289A4">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4E3820A5">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14FAA04E">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6F326902">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263BE0E5">
      <w:pPr>
        <w:pStyle w:val="29"/>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7415B33C">
      <w:pPr>
        <w:widowControl/>
        <w:ind w:firstLine="723" w:firstLineChars="225"/>
        <w:jc w:val="left"/>
        <w:outlineLvl w:val="2"/>
        <w:rPr>
          <w:b/>
          <w:color w:val="auto"/>
          <w:sz w:val="32"/>
          <w:szCs w:val="32"/>
        </w:rPr>
      </w:pPr>
      <w:bookmarkStart w:id="747" w:name="_Toc7114"/>
      <w:r>
        <w:rPr>
          <w:rFonts w:hint="eastAsia"/>
          <w:b/>
          <w:color w:val="auto"/>
          <w:sz w:val="32"/>
          <w:szCs w:val="32"/>
        </w:rPr>
        <w:t>法定代表人身份证复印件（正反面）</w:t>
      </w:r>
      <w:bookmarkEnd w:id="747"/>
    </w:p>
    <w:p w14:paraId="04628AFA">
      <w:pPr>
        <w:widowControl/>
        <w:ind w:firstLine="723" w:firstLineChars="225"/>
        <w:jc w:val="left"/>
        <w:rPr>
          <w:b/>
          <w:color w:val="auto"/>
          <w:sz w:val="32"/>
          <w:szCs w:val="32"/>
        </w:rPr>
      </w:pPr>
    </w:p>
    <w:p w14:paraId="606A6983">
      <w:pPr>
        <w:widowControl/>
        <w:ind w:firstLine="723" w:firstLineChars="225"/>
        <w:jc w:val="left"/>
        <w:outlineLvl w:val="2"/>
        <w:rPr>
          <w:b/>
          <w:color w:val="auto"/>
          <w:sz w:val="32"/>
          <w:szCs w:val="32"/>
        </w:rPr>
      </w:pPr>
      <w:bookmarkStart w:id="748" w:name="_Toc32281"/>
      <w:r>
        <w:rPr>
          <w:rFonts w:hint="eastAsia"/>
          <w:b/>
          <w:color w:val="auto"/>
          <w:sz w:val="32"/>
          <w:szCs w:val="32"/>
        </w:rPr>
        <w:t>授权代表人身份证复印件（正反面）</w:t>
      </w:r>
      <w:bookmarkEnd w:id="748"/>
    </w:p>
    <w:p w14:paraId="05B73033">
      <w:pPr>
        <w:widowControl/>
        <w:ind w:firstLine="723" w:firstLineChars="225"/>
        <w:jc w:val="left"/>
        <w:rPr>
          <w:b/>
          <w:color w:val="auto"/>
          <w:sz w:val="32"/>
          <w:szCs w:val="32"/>
        </w:rPr>
      </w:pPr>
    </w:p>
    <w:p w14:paraId="39A6ED5E">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750B16D2">
      <w:pPr>
        <w:pStyle w:val="6"/>
        <w:ind w:left="0" w:firstLine="0"/>
        <w:outlineLvl w:val="0"/>
        <w:rPr>
          <w:color w:val="auto"/>
        </w:rPr>
      </w:pPr>
      <w:bookmarkStart w:id="749" w:name="_Toc24777"/>
      <w:r>
        <w:rPr>
          <w:rFonts w:hint="eastAsia"/>
          <w:color w:val="auto"/>
        </w:rPr>
        <w:t>（3）授权代表社保缴纳证明</w:t>
      </w:r>
      <w:bookmarkEnd w:id="749"/>
    </w:p>
    <w:p w14:paraId="6F3E0426">
      <w:pPr>
        <w:rPr>
          <w:rFonts w:ascii="宋体" w:hAnsi="宋体" w:cs="宋体"/>
          <w:b/>
          <w:color w:val="auto"/>
          <w:spacing w:val="-6"/>
          <w:sz w:val="32"/>
          <w:szCs w:val="32"/>
        </w:rPr>
      </w:pPr>
    </w:p>
    <w:p w14:paraId="44875E93">
      <w:pPr>
        <w:jc w:val="center"/>
        <w:outlineLvl w:val="1"/>
        <w:rPr>
          <w:rFonts w:ascii="宋体" w:hAnsi="宋体" w:cs="宋体"/>
          <w:b/>
          <w:color w:val="auto"/>
          <w:spacing w:val="-6"/>
          <w:sz w:val="32"/>
          <w:szCs w:val="32"/>
        </w:rPr>
      </w:pPr>
      <w:bookmarkStart w:id="750" w:name="_Toc1539_WPSOffice_Level2"/>
      <w:bookmarkStart w:id="751" w:name="_Toc1099"/>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bookmarkEnd w:id="750"/>
      <w:bookmarkEnd w:id="751"/>
    </w:p>
    <w:p w14:paraId="7C938D51">
      <w:pPr>
        <w:spacing w:line="200" w:lineRule="atLeast"/>
        <w:ind w:firstLine="420"/>
        <w:jc w:val="center"/>
        <w:outlineLvl w:val="0"/>
        <w:rPr>
          <w:rFonts w:ascii="宋体" w:hAnsi="宋体"/>
          <w:b/>
          <w:color w:val="auto"/>
          <w:spacing w:val="-4"/>
          <w:sz w:val="28"/>
          <w:szCs w:val="28"/>
        </w:rPr>
      </w:pPr>
      <w:bookmarkStart w:id="752" w:name="_Toc15808"/>
      <w:bookmarkStart w:id="753" w:name="_Toc27283_WPSOffice_Level2"/>
      <w:r>
        <w:rPr>
          <w:rFonts w:hint="eastAsia" w:ascii="宋体" w:hAnsi="宋体"/>
          <w:b/>
          <w:color w:val="auto"/>
          <w:spacing w:val="-6"/>
          <w:sz w:val="28"/>
          <w:szCs w:val="28"/>
        </w:rPr>
        <w:t>（授权代表为法定代表人可不提供）</w:t>
      </w:r>
      <w:bookmarkEnd w:id="752"/>
      <w:bookmarkEnd w:id="753"/>
    </w:p>
    <w:p w14:paraId="26CEE363">
      <w:pPr>
        <w:widowControl/>
        <w:ind w:firstLine="723" w:firstLineChars="225"/>
        <w:jc w:val="left"/>
        <w:rPr>
          <w:b/>
          <w:color w:val="auto"/>
          <w:sz w:val="32"/>
          <w:szCs w:val="32"/>
        </w:rPr>
      </w:pPr>
    </w:p>
    <w:p w14:paraId="7C406F80">
      <w:pPr>
        <w:widowControl/>
        <w:ind w:firstLine="723" w:firstLineChars="225"/>
        <w:jc w:val="left"/>
        <w:rPr>
          <w:b/>
          <w:color w:val="auto"/>
          <w:sz w:val="32"/>
          <w:szCs w:val="32"/>
        </w:rPr>
        <w:sectPr>
          <w:footerReference r:id="rId6" w:type="default"/>
          <w:pgSz w:w="11907" w:h="16840"/>
          <w:pgMar w:top="1134" w:right="1247" w:bottom="1247" w:left="1247" w:header="567" w:footer="794" w:gutter="0"/>
          <w:cols w:space="720" w:num="1"/>
        </w:sectPr>
      </w:pPr>
    </w:p>
    <w:p w14:paraId="181560CD">
      <w:pPr>
        <w:pStyle w:val="6"/>
        <w:ind w:left="0" w:firstLine="0"/>
        <w:outlineLvl w:val="0"/>
        <w:rPr>
          <w:color w:val="auto"/>
        </w:rPr>
      </w:pPr>
      <w:bookmarkStart w:id="754" w:name="_Toc4883"/>
      <w:bookmarkStart w:id="755" w:name="_Toc14222"/>
      <w:bookmarkStart w:id="756" w:name="_Toc25749"/>
      <w:bookmarkStart w:id="757" w:name="_Toc26387"/>
      <w:bookmarkStart w:id="758" w:name="_Toc19676"/>
      <w:bookmarkStart w:id="759" w:name="_Toc23121"/>
      <w:bookmarkStart w:id="760" w:name="_Toc30038"/>
      <w:bookmarkStart w:id="761" w:name="_Toc2212"/>
      <w:bookmarkStart w:id="762" w:name="_Toc25890"/>
      <w:bookmarkStart w:id="763" w:name="_Toc21021"/>
      <w:bookmarkStart w:id="764" w:name="_Toc20835"/>
      <w:bookmarkStart w:id="765" w:name="_Toc31568"/>
      <w:bookmarkStart w:id="766" w:name="_Toc32360"/>
      <w:bookmarkStart w:id="767" w:name="_Toc772"/>
      <w:bookmarkStart w:id="768" w:name="_Toc14954"/>
      <w:bookmarkStart w:id="769" w:name="_Toc26592"/>
      <w:bookmarkStart w:id="770" w:name="_Toc20443"/>
      <w:bookmarkStart w:id="771" w:name="_Toc11332"/>
      <w:bookmarkStart w:id="772" w:name="_Toc24848"/>
      <w:bookmarkStart w:id="773" w:name="_Toc9338"/>
      <w:bookmarkStart w:id="774" w:name="_Toc2974"/>
      <w:bookmarkStart w:id="775" w:name="_Toc20129"/>
      <w:bookmarkStart w:id="776" w:name="_Toc24184"/>
      <w:bookmarkStart w:id="777" w:name="_Toc30387"/>
      <w:bookmarkStart w:id="778" w:name="_Toc31464"/>
      <w:bookmarkStart w:id="779" w:name="_Toc22103"/>
      <w:bookmarkStart w:id="780" w:name="_Toc3968"/>
      <w:bookmarkStart w:id="781" w:name="_Toc14198"/>
      <w:bookmarkStart w:id="782" w:name="_Toc2570"/>
      <w:bookmarkStart w:id="783" w:name="_Toc5481"/>
      <w:bookmarkStart w:id="784" w:name="_Toc11813"/>
      <w:bookmarkStart w:id="785" w:name="_Toc31758"/>
      <w:bookmarkStart w:id="786" w:name="_Toc350"/>
      <w:bookmarkStart w:id="787" w:name="_Toc26242"/>
      <w:bookmarkStart w:id="788" w:name="_Toc18481"/>
      <w:bookmarkStart w:id="789" w:name="_Toc12615"/>
      <w:bookmarkStart w:id="790" w:name="_Toc28598"/>
      <w:bookmarkStart w:id="791" w:name="_Toc4577"/>
      <w:bookmarkStart w:id="792" w:name="_Toc14931"/>
      <w:r>
        <w:rPr>
          <w:rFonts w:hint="eastAsia"/>
          <w:color w:val="auto"/>
        </w:rPr>
        <w:t>（4）法定代表人资格证明书</w:t>
      </w:r>
      <w:bookmarkEnd w:id="754"/>
      <w:bookmarkEnd w:id="755"/>
      <w:bookmarkEnd w:id="756"/>
      <w:bookmarkEnd w:id="757"/>
      <w:bookmarkEnd w:id="758"/>
      <w:bookmarkEnd w:id="759"/>
      <w:bookmarkEnd w:id="760"/>
      <w:bookmarkEnd w:id="761"/>
      <w:bookmarkEnd w:id="762"/>
      <w:bookmarkEnd w:id="763"/>
      <w:r>
        <w:rPr>
          <w:rFonts w:hint="eastAsia"/>
          <w:color w:val="auto"/>
        </w:rPr>
        <w:t>（法定代表人参加时提供）</w:t>
      </w:r>
      <w:bookmarkEnd w:id="764"/>
    </w:p>
    <w:p w14:paraId="7F2A3FFC">
      <w:pPr>
        <w:pStyle w:val="24"/>
        <w:ind w:left="0" w:leftChars="0" w:firstLine="0" w:firstLineChars="0"/>
        <w:rPr>
          <w:color w:val="auto"/>
        </w:rPr>
      </w:pPr>
    </w:p>
    <w:p w14:paraId="1EC1B68E">
      <w:pPr>
        <w:pStyle w:val="29"/>
        <w:tabs>
          <w:tab w:val="left" w:pos="450"/>
        </w:tabs>
        <w:spacing w:line="400" w:lineRule="atLeast"/>
        <w:ind w:left="-27" w:firstLine="565"/>
        <w:jc w:val="center"/>
        <w:outlineLvl w:val="1"/>
        <w:rPr>
          <w:rFonts w:ascii="Times New Roman" w:hAnsi="Times New Roman"/>
          <w:b/>
          <w:color w:val="auto"/>
          <w:sz w:val="32"/>
          <w:szCs w:val="32"/>
        </w:rPr>
      </w:pPr>
      <w:bookmarkStart w:id="793" w:name="_Toc4773"/>
      <w:bookmarkStart w:id="794" w:name="_Toc10019"/>
      <w:bookmarkStart w:id="795" w:name="_Toc15451_WPSOffice_Level2"/>
      <w:r>
        <w:rPr>
          <w:rFonts w:hint="eastAsia" w:ascii="Times New Roman" w:hAnsi="Times New Roman"/>
          <w:b/>
          <w:color w:val="auto"/>
          <w:sz w:val="32"/>
          <w:szCs w:val="32"/>
        </w:rPr>
        <w:t>法定代表人资格证明书</w:t>
      </w:r>
      <w:bookmarkEnd w:id="793"/>
      <w:bookmarkEnd w:id="794"/>
      <w:bookmarkEnd w:id="795"/>
    </w:p>
    <w:p w14:paraId="6A689099">
      <w:pPr>
        <w:spacing w:line="360" w:lineRule="auto"/>
        <w:jc w:val="center"/>
        <w:rPr>
          <w:b/>
          <w:color w:val="auto"/>
          <w:spacing w:val="-6"/>
          <w:sz w:val="24"/>
        </w:rPr>
      </w:pPr>
    </w:p>
    <w:p w14:paraId="1ECF0260">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1CB60490">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67EB2628">
      <w:pPr>
        <w:spacing w:line="360" w:lineRule="auto"/>
        <w:ind w:firstLine="456" w:firstLineChars="200"/>
        <w:rPr>
          <w:bCs/>
          <w:color w:val="auto"/>
          <w:spacing w:val="-6"/>
          <w:sz w:val="24"/>
        </w:rPr>
      </w:pPr>
      <w:r>
        <w:rPr>
          <w:bCs/>
          <w:color w:val="auto"/>
          <w:spacing w:val="-6"/>
          <w:sz w:val="24"/>
        </w:rPr>
        <w:t>特此证明。</w:t>
      </w:r>
    </w:p>
    <w:p w14:paraId="168BF476">
      <w:pPr>
        <w:spacing w:line="360" w:lineRule="auto"/>
        <w:rPr>
          <w:bCs/>
          <w:color w:val="auto"/>
          <w:spacing w:val="-6"/>
          <w:sz w:val="24"/>
        </w:rPr>
      </w:pPr>
    </w:p>
    <w:tbl>
      <w:tblPr>
        <w:tblStyle w:val="4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5F794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12857A52">
            <w:pPr>
              <w:jc w:val="center"/>
              <w:rPr>
                <w:color w:val="auto"/>
                <w:sz w:val="24"/>
              </w:rPr>
            </w:pPr>
            <w:r>
              <w:rPr>
                <w:color w:val="auto"/>
                <w:sz w:val="24"/>
              </w:rPr>
              <w:t>法定代表人身份证(正、反面)复印件粘贴处</w:t>
            </w:r>
          </w:p>
          <w:p w14:paraId="49B8F421">
            <w:pPr>
              <w:spacing w:line="360" w:lineRule="auto"/>
              <w:jc w:val="center"/>
              <w:rPr>
                <w:bCs/>
                <w:color w:val="auto"/>
                <w:spacing w:val="-6"/>
                <w:sz w:val="24"/>
              </w:rPr>
            </w:pPr>
          </w:p>
        </w:tc>
      </w:tr>
    </w:tbl>
    <w:p w14:paraId="5E6058E2">
      <w:pPr>
        <w:spacing w:line="360" w:lineRule="auto"/>
        <w:rPr>
          <w:bCs/>
          <w:color w:val="auto"/>
          <w:spacing w:val="-6"/>
          <w:sz w:val="24"/>
        </w:rPr>
      </w:pPr>
    </w:p>
    <w:p w14:paraId="72C38168">
      <w:pPr>
        <w:spacing w:line="360" w:lineRule="auto"/>
        <w:ind w:right="456"/>
        <w:rPr>
          <w:b/>
          <w:bCs/>
          <w:color w:val="auto"/>
          <w:spacing w:val="-6"/>
          <w:sz w:val="24"/>
        </w:rPr>
      </w:pPr>
    </w:p>
    <w:p w14:paraId="48BB30F9">
      <w:pPr>
        <w:pStyle w:val="29"/>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0C5E49CD">
      <w:pPr>
        <w:pStyle w:val="29"/>
        <w:spacing w:line="400" w:lineRule="atLeast"/>
        <w:ind w:left="-27" w:firstLine="2530" w:firstLineChars="1050"/>
        <w:rPr>
          <w:rFonts w:ascii="Times New Roman" w:hAnsi="Times New Roman"/>
          <w:b/>
          <w:bCs/>
          <w:color w:val="auto"/>
          <w:sz w:val="24"/>
          <w:szCs w:val="24"/>
        </w:rPr>
      </w:pPr>
    </w:p>
    <w:p w14:paraId="78BB40D3">
      <w:pPr>
        <w:pStyle w:val="29"/>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77F17424">
      <w:pPr>
        <w:spacing w:line="360" w:lineRule="auto"/>
        <w:ind w:left="3578" w:leftChars="1704" w:right="456"/>
        <w:rPr>
          <w:b/>
          <w:bCs/>
          <w:color w:val="auto"/>
          <w:sz w:val="24"/>
          <w:szCs w:val="24"/>
        </w:rPr>
      </w:pPr>
      <w:r>
        <w:rPr>
          <w:rFonts w:hint="eastAsia"/>
          <w:b/>
          <w:bCs/>
          <w:color w:val="auto"/>
          <w:sz w:val="24"/>
          <w:szCs w:val="24"/>
        </w:rPr>
        <w:t xml:space="preserve"> </w:t>
      </w:r>
    </w:p>
    <w:p w14:paraId="4F9D6A23">
      <w:pPr>
        <w:spacing w:line="360" w:lineRule="auto"/>
        <w:ind w:left="3360" w:leftChars="1600" w:right="456"/>
        <w:rPr>
          <w:color w:val="auto"/>
          <w:sz w:val="24"/>
          <w:szCs w:val="24"/>
        </w:rPr>
      </w:pPr>
    </w:p>
    <w:p w14:paraId="4FCE32A8">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14:paraId="21DDAF81">
      <w:pPr>
        <w:pStyle w:val="6"/>
        <w:ind w:left="0" w:firstLine="0"/>
        <w:outlineLvl w:val="0"/>
        <w:rPr>
          <w:color w:val="auto"/>
        </w:rPr>
      </w:pPr>
      <w:bookmarkStart w:id="796" w:name="_Toc26060"/>
      <w:bookmarkStart w:id="797" w:name="_Toc1553"/>
      <w:bookmarkStart w:id="798" w:name="_Toc4163"/>
      <w:bookmarkStart w:id="799" w:name="_Toc20480"/>
      <w:bookmarkStart w:id="800" w:name="_Toc16347"/>
      <w:bookmarkStart w:id="801" w:name="_Toc20101"/>
      <w:bookmarkStart w:id="802" w:name="_Toc3893"/>
      <w:bookmarkStart w:id="803" w:name="_Toc441"/>
      <w:bookmarkStart w:id="804" w:name="_Toc11492"/>
      <w:bookmarkStart w:id="805" w:name="_Toc27024"/>
      <w:bookmarkStart w:id="806" w:name="_Toc27945"/>
      <w:bookmarkStart w:id="807" w:name="_Toc22052"/>
      <w:bookmarkStart w:id="808" w:name="_Toc26243"/>
      <w:bookmarkStart w:id="809" w:name="_Toc17219"/>
      <w:bookmarkStart w:id="810" w:name="_Toc32367"/>
      <w:bookmarkStart w:id="811" w:name="_Toc32465"/>
      <w:bookmarkStart w:id="812" w:name="_Toc2218"/>
      <w:bookmarkStart w:id="813" w:name="_Toc21741"/>
      <w:bookmarkStart w:id="814" w:name="_Toc24530"/>
      <w:bookmarkStart w:id="815" w:name="_Toc30022"/>
      <w:bookmarkStart w:id="816" w:name="_Toc29343"/>
      <w:bookmarkStart w:id="817" w:name="_Toc24989"/>
      <w:bookmarkStart w:id="818" w:name="_Toc30169"/>
      <w:bookmarkStart w:id="819" w:name="_Toc5970"/>
      <w:bookmarkStart w:id="820" w:name="_Toc6625"/>
      <w:bookmarkStart w:id="821" w:name="_Toc21937"/>
      <w:bookmarkStart w:id="822" w:name="_Toc1334"/>
      <w:bookmarkStart w:id="823" w:name="_Toc30921"/>
      <w:bookmarkStart w:id="824" w:name="_Toc17126"/>
      <w:bookmarkStart w:id="825" w:name="_Toc15720"/>
      <w:bookmarkStart w:id="826" w:name="_Toc3162"/>
      <w:bookmarkStart w:id="827" w:name="_Toc15510"/>
      <w:bookmarkStart w:id="828" w:name="_Toc25655"/>
      <w:bookmarkStart w:id="829" w:name="_Toc27347"/>
      <w:bookmarkStart w:id="830" w:name="_Toc11889"/>
      <w:bookmarkStart w:id="831" w:name="_Toc23078"/>
      <w:r>
        <w:rPr>
          <w:rFonts w:hint="eastAsia"/>
          <w:color w:val="auto"/>
        </w:rPr>
        <w:t>（5）采购需求偏离表</w:t>
      </w:r>
      <w:bookmarkEnd w:id="796"/>
    </w:p>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14:paraId="2E188047">
      <w:pPr>
        <w:jc w:val="center"/>
        <w:outlineLvl w:val="1"/>
        <w:rPr>
          <w:b/>
          <w:bCs/>
          <w:color w:val="auto"/>
          <w:sz w:val="32"/>
        </w:rPr>
      </w:pPr>
      <w:bookmarkStart w:id="832" w:name="_Toc773"/>
      <w:bookmarkStart w:id="833" w:name="_Toc26442_WPSOffice_Level2"/>
      <w:r>
        <w:rPr>
          <w:rFonts w:hint="eastAsia"/>
          <w:b/>
          <w:bCs/>
          <w:color w:val="auto"/>
          <w:sz w:val="32"/>
        </w:rPr>
        <w:t>采购需求偏离表</w:t>
      </w:r>
      <w:bookmarkEnd w:id="832"/>
      <w:bookmarkEnd w:id="833"/>
    </w:p>
    <w:p w14:paraId="12868F63">
      <w:pPr>
        <w:rPr>
          <w:b/>
          <w:bCs/>
          <w:color w:val="auto"/>
          <w:sz w:val="32"/>
        </w:rPr>
      </w:pPr>
    </w:p>
    <w:p w14:paraId="0A77DB03">
      <w:pPr>
        <w:pStyle w:val="29"/>
        <w:spacing w:line="400" w:lineRule="atLeast"/>
        <w:ind w:left="-27" w:firstLine="422"/>
        <w:rPr>
          <w:rFonts w:ascii="Times New Roman" w:hAnsi="Times New Roman"/>
          <w:color w:val="auto"/>
          <w:sz w:val="24"/>
        </w:rPr>
      </w:pPr>
      <w:r>
        <w:rPr>
          <w:rFonts w:hint="eastAsia" w:ascii="Times New Roman" w:hAnsi="Times New Roman"/>
          <w:color w:val="auto"/>
          <w:sz w:val="24"/>
        </w:rPr>
        <w:t>项目名称（含标项名称）：</w:t>
      </w:r>
      <w:r>
        <w:rPr>
          <w:rFonts w:ascii="Times New Roman" w:hAnsi="Times New Roman"/>
          <w:color w:val="auto"/>
          <w:sz w:val="24"/>
        </w:rPr>
        <w:t xml:space="preserve"> </w:t>
      </w:r>
    </w:p>
    <w:p w14:paraId="0D5F4AE5">
      <w:pPr>
        <w:pStyle w:val="29"/>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3D3F3965">
      <w:pPr>
        <w:pStyle w:val="29"/>
        <w:spacing w:line="400" w:lineRule="atLeast"/>
        <w:ind w:left="-27" w:firstLine="422"/>
        <w:rPr>
          <w:rFonts w:ascii="Times New Roman" w:hAnsi="Times New Roman"/>
          <w:color w:val="auto"/>
          <w:sz w:val="24"/>
        </w:rPr>
      </w:pPr>
    </w:p>
    <w:tbl>
      <w:tblPr>
        <w:tblStyle w:val="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3B70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788B2E0D">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5CA1FDE6">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56EC69AD">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4BFFD708">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75F15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681784E6">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1AD40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AB8ED3E">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32D76371">
            <w:pPr>
              <w:rPr>
                <w:rFonts w:ascii="宋体" w:hAnsi="宋体" w:cs="宋体"/>
                <w:color w:val="auto"/>
                <w:szCs w:val="21"/>
              </w:rPr>
            </w:pPr>
          </w:p>
        </w:tc>
        <w:tc>
          <w:tcPr>
            <w:tcW w:w="2574" w:type="dxa"/>
            <w:vAlign w:val="center"/>
          </w:tcPr>
          <w:p w14:paraId="30CF3985">
            <w:pPr>
              <w:rPr>
                <w:rFonts w:ascii="宋体" w:hAnsi="宋体" w:cs="宋体"/>
                <w:color w:val="auto"/>
                <w:szCs w:val="21"/>
              </w:rPr>
            </w:pPr>
          </w:p>
        </w:tc>
        <w:tc>
          <w:tcPr>
            <w:tcW w:w="2124" w:type="dxa"/>
            <w:vAlign w:val="center"/>
          </w:tcPr>
          <w:p w14:paraId="390AEA5F">
            <w:pPr>
              <w:rPr>
                <w:rFonts w:ascii="宋体" w:hAnsi="宋体" w:cs="宋体"/>
                <w:color w:val="auto"/>
                <w:szCs w:val="21"/>
              </w:rPr>
            </w:pPr>
          </w:p>
        </w:tc>
      </w:tr>
      <w:tr w14:paraId="326F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FC30FE5">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195412FB">
            <w:pPr>
              <w:rPr>
                <w:rFonts w:ascii="宋体" w:hAnsi="宋体" w:cs="宋体"/>
                <w:color w:val="auto"/>
                <w:szCs w:val="21"/>
              </w:rPr>
            </w:pPr>
          </w:p>
        </w:tc>
        <w:tc>
          <w:tcPr>
            <w:tcW w:w="2574" w:type="dxa"/>
            <w:vAlign w:val="center"/>
          </w:tcPr>
          <w:p w14:paraId="0E65A088">
            <w:pPr>
              <w:rPr>
                <w:rFonts w:ascii="宋体" w:hAnsi="宋体" w:cs="宋体"/>
                <w:color w:val="auto"/>
                <w:szCs w:val="21"/>
              </w:rPr>
            </w:pPr>
          </w:p>
        </w:tc>
        <w:tc>
          <w:tcPr>
            <w:tcW w:w="2124" w:type="dxa"/>
            <w:vAlign w:val="center"/>
          </w:tcPr>
          <w:p w14:paraId="5E5E9AC9">
            <w:pPr>
              <w:rPr>
                <w:rFonts w:ascii="宋体" w:hAnsi="宋体" w:cs="宋体"/>
                <w:color w:val="auto"/>
                <w:szCs w:val="21"/>
              </w:rPr>
            </w:pPr>
          </w:p>
        </w:tc>
      </w:tr>
      <w:tr w14:paraId="4CDDE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1753F3C">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982BA4C">
            <w:pPr>
              <w:rPr>
                <w:rFonts w:ascii="宋体" w:hAnsi="宋体" w:cs="宋体"/>
                <w:color w:val="auto"/>
                <w:szCs w:val="21"/>
              </w:rPr>
            </w:pPr>
          </w:p>
        </w:tc>
        <w:tc>
          <w:tcPr>
            <w:tcW w:w="2574" w:type="dxa"/>
            <w:vAlign w:val="center"/>
          </w:tcPr>
          <w:p w14:paraId="6849EC23">
            <w:pPr>
              <w:rPr>
                <w:rFonts w:ascii="宋体" w:hAnsi="宋体" w:cs="宋体"/>
                <w:color w:val="auto"/>
                <w:szCs w:val="21"/>
              </w:rPr>
            </w:pPr>
          </w:p>
        </w:tc>
        <w:tc>
          <w:tcPr>
            <w:tcW w:w="2124" w:type="dxa"/>
            <w:vAlign w:val="center"/>
          </w:tcPr>
          <w:p w14:paraId="569EFE6C">
            <w:pPr>
              <w:rPr>
                <w:rFonts w:ascii="宋体" w:hAnsi="宋体" w:cs="宋体"/>
                <w:color w:val="auto"/>
                <w:szCs w:val="21"/>
              </w:rPr>
            </w:pPr>
          </w:p>
        </w:tc>
      </w:tr>
      <w:tr w14:paraId="0682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5EC451E3">
            <w:pPr>
              <w:rPr>
                <w:rFonts w:ascii="宋体" w:hAnsi="宋体" w:cs="宋体"/>
                <w:color w:val="auto"/>
                <w:szCs w:val="21"/>
              </w:rPr>
            </w:pPr>
            <w:r>
              <w:rPr>
                <w:rFonts w:hint="eastAsia" w:ascii="宋体" w:hAnsi="宋体" w:cs="宋体"/>
                <w:b/>
                <w:bCs/>
                <w:color w:val="auto"/>
                <w:szCs w:val="21"/>
              </w:rPr>
              <w:t>技术参数、功能、服务等技术要求</w:t>
            </w:r>
          </w:p>
        </w:tc>
      </w:tr>
      <w:tr w14:paraId="43E92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235EF96">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13201A1C">
            <w:pPr>
              <w:jc w:val="left"/>
              <w:rPr>
                <w:rFonts w:ascii="宋体" w:hAnsi="宋体" w:cs="宋体"/>
                <w:color w:val="auto"/>
                <w:szCs w:val="21"/>
              </w:rPr>
            </w:pPr>
          </w:p>
        </w:tc>
        <w:tc>
          <w:tcPr>
            <w:tcW w:w="2574" w:type="dxa"/>
            <w:vAlign w:val="center"/>
          </w:tcPr>
          <w:p w14:paraId="0851000F">
            <w:pPr>
              <w:jc w:val="left"/>
              <w:rPr>
                <w:rFonts w:ascii="宋体" w:hAnsi="宋体" w:cs="宋体"/>
                <w:color w:val="auto"/>
                <w:szCs w:val="21"/>
              </w:rPr>
            </w:pPr>
          </w:p>
        </w:tc>
        <w:tc>
          <w:tcPr>
            <w:tcW w:w="2124" w:type="dxa"/>
            <w:vAlign w:val="center"/>
          </w:tcPr>
          <w:p w14:paraId="67DC03EB">
            <w:pPr>
              <w:jc w:val="left"/>
              <w:rPr>
                <w:rFonts w:ascii="宋体" w:hAnsi="宋体" w:cs="宋体"/>
                <w:color w:val="auto"/>
                <w:szCs w:val="21"/>
              </w:rPr>
            </w:pPr>
          </w:p>
        </w:tc>
      </w:tr>
      <w:tr w14:paraId="74674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CA87DF2">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3CB7DB99">
            <w:pPr>
              <w:jc w:val="left"/>
              <w:rPr>
                <w:rFonts w:ascii="宋体" w:hAnsi="宋体" w:cs="宋体"/>
                <w:color w:val="auto"/>
                <w:szCs w:val="21"/>
              </w:rPr>
            </w:pPr>
          </w:p>
        </w:tc>
        <w:tc>
          <w:tcPr>
            <w:tcW w:w="2574" w:type="dxa"/>
            <w:vAlign w:val="center"/>
          </w:tcPr>
          <w:p w14:paraId="16FB582B">
            <w:pPr>
              <w:jc w:val="left"/>
              <w:rPr>
                <w:rFonts w:ascii="宋体" w:hAnsi="宋体" w:cs="宋体"/>
                <w:color w:val="auto"/>
                <w:szCs w:val="21"/>
              </w:rPr>
            </w:pPr>
          </w:p>
        </w:tc>
        <w:tc>
          <w:tcPr>
            <w:tcW w:w="2124" w:type="dxa"/>
            <w:vAlign w:val="center"/>
          </w:tcPr>
          <w:p w14:paraId="4E81E253">
            <w:pPr>
              <w:jc w:val="left"/>
              <w:rPr>
                <w:rFonts w:ascii="宋体" w:hAnsi="宋体" w:cs="宋体"/>
                <w:color w:val="auto"/>
                <w:szCs w:val="21"/>
              </w:rPr>
            </w:pPr>
          </w:p>
        </w:tc>
      </w:tr>
      <w:tr w14:paraId="10476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83AC9DA">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6E3921E6">
            <w:pPr>
              <w:jc w:val="left"/>
              <w:rPr>
                <w:rFonts w:ascii="宋体" w:hAnsi="宋体" w:cs="宋体"/>
                <w:color w:val="auto"/>
                <w:szCs w:val="21"/>
              </w:rPr>
            </w:pPr>
          </w:p>
        </w:tc>
        <w:tc>
          <w:tcPr>
            <w:tcW w:w="2574" w:type="dxa"/>
            <w:vAlign w:val="center"/>
          </w:tcPr>
          <w:p w14:paraId="70A609F3">
            <w:pPr>
              <w:jc w:val="left"/>
              <w:rPr>
                <w:rFonts w:ascii="宋体" w:hAnsi="宋体" w:cs="宋体"/>
                <w:color w:val="auto"/>
                <w:szCs w:val="21"/>
              </w:rPr>
            </w:pPr>
          </w:p>
        </w:tc>
        <w:tc>
          <w:tcPr>
            <w:tcW w:w="2124" w:type="dxa"/>
            <w:vAlign w:val="center"/>
          </w:tcPr>
          <w:p w14:paraId="7E118B2F">
            <w:pPr>
              <w:jc w:val="left"/>
              <w:rPr>
                <w:rFonts w:ascii="宋体" w:hAnsi="宋体" w:cs="宋体"/>
                <w:color w:val="auto"/>
                <w:szCs w:val="21"/>
              </w:rPr>
            </w:pPr>
          </w:p>
        </w:tc>
      </w:tr>
    </w:tbl>
    <w:p w14:paraId="1B785333">
      <w:pPr>
        <w:spacing w:line="360" w:lineRule="auto"/>
        <w:rPr>
          <w:rFonts w:ascii="宋体" w:hAnsi="宋体"/>
          <w:b/>
          <w:bCs/>
          <w:color w:val="auto"/>
          <w:spacing w:val="-6"/>
          <w:szCs w:val="21"/>
        </w:rPr>
      </w:pPr>
    </w:p>
    <w:p w14:paraId="30F1DC92">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6E220353">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53DCE1BE">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3B510AC7">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46BE61CA">
      <w:pPr>
        <w:pStyle w:val="29"/>
        <w:spacing w:line="400" w:lineRule="atLeast"/>
        <w:ind w:left="-27" w:firstLine="422"/>
        <w:rPr>
          <w:rFonts w:ascii="Times New Roman" w:hAnsi="Times New Roman"/>
          <w:color w:val="auto"/>
          <w:sz w:val="24"/>
        </w:rPr>
      </w:pPr>
    </w:p>
    <w:p w14:paraId="332F74B7">
      <w:pPr>
        <w:pStyle w:val="29"/>
        <w:spacing w:line="400" w:lineRule="atLeast"/>
        <w:ind w:left="-27" w:firstLine="422"/>
        <w:rPr>
          <w:rFonts w:ascii="Times New Roman" w:hAnsi="Times New Roman"/>
          <w:color w:val="auto"/>
          <w:sz w:val="24"/>
        </w:rPr>
      </w:pPr>
    </w:p>
    <w:p w14:paraId="56F18375">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28A6614">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A3C5003">
      <w:pPr>
        <w:spacing w:before="240" w:beforeLines="100" w:after="240" w:afterLines="100"/>
        <w:jc w:val="left"/>
        <w:rPr>
          <w:color w:val="auto"/>
          <w:sz w:val="24"/>
          <w:szCs w:val="24"/>
        </w:rPr>
      </w:pPr>
      <w:r>
        <w:rPr>
          <w:rFonts w:hint="eastAsia" w:ascii="宋体" w:hAnsi="宋体" w:cs="宋体"/>
          <w:color w:val="auto"/>
          <w:sz w:val="24"/>
        </w:rPr>
        <w:t>日期：      年   月   日</w:t>
      </w:r>
    </w:p>
    <w:p w14:paraId="0D15FD56">
      <w:pPr>
        <w:pStyle w:val="29"/>
        <w:spacing w:line="400" w:lineRule="atLeast"/>
        <w:ind w:left="-27" w:firstLine="528"/>
        <w:rPr>
          <w:rFonts w:ascii="Times New Roman" w:hAnsi="Times New Roman"/>
          <w:color w:val="auto"/>
          <w:sz w:val="30"/>
        </w:rPr>
      </w:pPr>
    </w:p>
    <w:p w14:paraId="3354EE33">
      <w:pPr>
        <w:pStyle w:val="6"/>
        <w:ind w:left="0" w:firstLine="0"/>
        <w:outlineLvl w:val="0"/>
        <w:rPr>
          <w:color w:val="auto"/>
        </w:rPr>
      </w:pPr>
      <w:r>
        <w:rPr>
          <w:bCs/>
          <w:color w:val="auto"/>
          <w:sz w:val="32"/>
        </w:rPr>
        <w:br w:type="page"/>
      </w:r>
      <w:bookmarkStart w:id="834" w:name="_Toc16503"/>
      <w:bookmarkStart w:id="835" w:name="_Toc27408"/>
      <w:bookmarkStart w:id="836" w:name="_Toc28469"/>
      <w:bookmarkStart w:id="837" w:name="_Toc5267"/>
      <w:bookmarkStart w:id="838" w:name="_Toc27033"/>
      <w:bookmarkStart w:id="839" w:name="_Toc24911"/>
      <w:bookmarkStart w:id="840" w:name="_Toc29052"/>
      <w:bookmarkStart w:id="841" w:name="_Toc25833"/>
      <w:bookmarkStart w:id="842" w:name="_Toc19442"/>
      <w:bookmarkStart w:id="843" w:name="_Toc18959"/>
      <w:bookmarkStart w:id="844" w:name="_Toc2658"/>
      <w:bookmarkStart w:id="845" w:name="_Toc23576"/>
      <w:bookmarkStart w:id="846" w:name="_Toc13471"/>
      <w:bookmarkStart w:id="847" w:name="_Toc31125"/>
      <w:bookmarkStart w:id="848" w:name="_Toc24720"/>
      <w:bookmarkStart w:id="849" w:name="_Toc21842"/>
      <w:bookmarkStart w:id="850" w:name="_Toc5561"/>
      <w:bookmarkStart w:id="851" w:name="_Toc14028"/>
      <w:bookmarkStart w:id="852" w:name="_Toc1162"/>
      <w:bookmarkStart w:id="853" w:name="_Toc12636"/>
      <w:bookmarkStart w:id="854" w:name="_Toc10664"/>
      <w:bookmarkStart w:id="855" w:name="_Toc7973"/>
      <w:bookmarkStart w:id="856" w:name="_Toc13064"/>
      <w:bookmarkStart w:id="857" w:name="_Toc21740"/>
      <w:bookmarkStart w:id="858" w:name="_Toc18149"/>
      <w:bookmarkStart w:id="859" w:name="_Toc16944"/>
      <w:bookmarkStart w:id="860" w:name="_Toc21289"/>
      <w:bookmarkStart w:id="861" w:name="_Toc21423"/>
      <w:bookmarkStart w:id="862" w:name="_Toc12587"/>
      <w:bookmarkStart w:id="863" w:name="_Toc32055"/>
      <w:bookmarkStart w:id="864" w:name="_Toc5417"/>
      <w:bookmarkStart w:id="865" w:name="_Toc15291"/>
      <w:bookmarkStart w:id="866" w:name="_Toc31984"/>
      <w:bookmarkStart w:id="867" w:name="_Toc8117"/>
      <w:bookmarkStart w:id="868" w:name="_Toc10611"/>
      <w:bookmarkStart w:id="869" w:name="_Toc4311"/>
      <w:bookmarkStart w:id="870" w:name="_Toc22720"/>
      <w:bookmarkStart w:id="871" w:name="_Toc3703"/>
      <w:bookmarkStart w:id="872" w:name="_Toc25187"/>
      <w:bookmarkStart w:id="873" w:name="_Toc16636"/>
      <w:bookmarkStart w:id="874" w:name="_Toc18451"/>
      <w:bookmarkStart w:id="875" w:name="_Toc26665"/>
      <w:bookmarkStart w:id="876" w:name="_Toc15898"/>
      <w:bookmarkStart w:id="877" w:name="_Toc13985"/>
      <w:bookmarkStart w:id="878" w:name="_Toc20418"/>
      <w:bookmarkStart w:id="879" w:name="_Toc22688"/>
      <w:bookmarkStart w:id="880" w:name="_Toc3061"/>
      <w:bookmarkStart w:id="881" w:name="_Toc17790"/>
      <w:bookmarkStart w:id="882" w:name="_Toc22794"/>
      <w:bookmarkStart w:id="883" w:name="_Toc32508"/>
      <w:bookmarkStart w:id="884" w:name="_Toc23923"/>
      <w:bookmarkStart w:id="885" w:name="_Toc12787"/>
      <w:bookmarkStart w:id="886" w:name="_Toc27705"/>
      <w:bookmarkStart w:id="887" w:name="_Toc19416"/>
      <w:bookmarkStart w:id="888" w:name="_Toc16502"/>
      <w:bookmarkStart w:id="889" w:name="_Toc16423"/>
      <w:bookmarkStart w:id="890" w:name="_Toc26450"/>
      <w:bookmarkStart w:id="891" w:name="_Toc9470"/>
      <w:bookmarkStart w:id="892" w:name="_Toc1110"/>
      <w:bookmarkStart w:id="893" w:name="_Toc14653"/>
      <w:bookmarkStart w:id="894" w:name="_Toc23122"/>
      <w:r>
        <w:rPr>
          <w:rFonts w:hint="eastAsia"/>
          <w:color w:val="auto"/>
        </w:rPr>
        <w:t>（6）响应方基本情况表</w:t>
      </w:r>
      <w:bookmarkEnd w:id="834"/>
    </w:p>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14:paraId="4047D312">
      <w:pPr>
        <w:jc w:val="center"/>
        <w:outlineLvl w:val="1"/>
        <w:rPr>
          <w:b/>
          <w:bCs/>
          <w:color w:val="auto"/>
          <w:sz w:val="32"/>
        </w:rPr>
      </w:pPr>
      <w:bookmarkStart w:id="895" w:name="_Toc27030_WPSOffice_Level2"/>
      <w:bookmarkStart w:id="896" w:name="_Toc17011"/>
      <w:r>
        <w:rPr>
          <w:rFonts w:hint="eastAsia"/>
          <w:b/>
          <w:bCs/>
          <w:color w:val="auto"/>
          <w:sz w:val="32"/>
        </w:rPr>
        <w:t>响应方基本情况表</w:t>
      </w:r>
      <w:bookmarkEnd w:id="895"/>
      <w:bookmarkEnd w:id="896"/>
    </w:p>
    <w:tbl>
      <w:tblPr>
        <w:tblStyle w:val="47"/>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405DC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C6AF4A7">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005564A0">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3C59F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A4B3CA3">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7C63F38E">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69E60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51B488A">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59C6987A">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2D2AB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F33081B">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0A7E8598">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077674DA">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08A6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B3E8F65">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0C870E87">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53964198">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3B71C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22520A1">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6AD1AE40">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170C44E8">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19C2F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E014B09">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401BF400">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5B0A7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A18EFEC">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14:paraId="4CA0B2E5">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348" w:type="dxa"/>
            <w:gridSpan w:val="2"/>
            <w:vAlign w:val="center"/>
          </w:tcPr>
          <w:p w14:paraId="44E3309C">
            <w:pPr>
              <w:spacing w:line="360" w:lineRule="auto"/>
              <w:rPr>
                <w:rFonts w:hint="default" w:ascii="宋体" w:hAnsi="宋体" w:eastAsia="宋体" w:cs="宋体"/>
                <w:color w:val="auto"/>
                <w:sz w:val="24"/>
                <w:szCs w:val="24"/>
                <w:lang w:val="en-US"/>
              </w:rPr>
            </w:pP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 xml:space="preserve"> </w:t>
            </w:r>
            <w:r>
              <w:rPr>
                <w:rFonts w:hint="eastAsia" w:ascii="宋体" w:hAnsi="宋体" w:cs="宋体"/>
                <w:color w:val="auto"/>
                <w:spacing w:val="-6"/>
                <w:sz w:val="24"/>
                <w:szCs w:val="24"/>
                <w:u w:val="single"/>
                <w:lang w:val="en-US" w:eastAsia="zh-CN"/>
              </w:rPr>
              <w:t>批发</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val="en-US" w:eastAsia="zh-CN"/>
              </w:rPr>
              <w:t>承建（承接）</w:t>
            </w:r>
            <w:r>
              <w:rPr>
                <w:rFonts w:hint="eastAsia" w:ascii="宋体" w:hAnsi="宋体" w:cs="宋体"/>
                <w:color w:val="auto"/>
                <w:spacing w:val="-6"/>
                <w:sz w:val="24"/>
                <w:szCs w:val="24"/>
                <w:lang w:val="en-US" w:eastAsia="zh-CN"/>
              </w:rPr>
              <w:t>企业</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p>
        </w:tc>
      </w:tr>
      <w:tr w14:paraId="13203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041B11B">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14:paraId="18A5E21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2D652EB0">
            <w:pPr>
              <w:spacing w:line="360" w:lineRule="auto"/>
              <w:rPr>
                <w:rFonts w:hint="eastAsia" w:ascii="宋体" w:hAnsi="宋体" w:eastAsia="宋体" w:cs="宋体"/>
                <w:color w:val="auto"/>
                <w:sz w:val="24"/>
                <w:szCs w:val="24"/>
              </w:rPr>
            </w:pPr>
          </w:p>
        </w:tc>
      </w:tr>
    </w:tbl>
    <w:p w14:paraId="10F6CD7B">
      <w:pPr>
        <w:spacing w:line="360" w:lineRule="auto"/>
        <w:ind w:firstLine="240" w:firstLineChars="100"/>
        <w:rPr>
          <w:color w:val="auto"/>
          <w:sz w:val="24"/>
          <w:szCs w:val="24"/>
        </w:rPr>
      </w:pPr>
      <w:r>
        <w:rPr>
          <w:rFonts w:hint="eastAsia"/>
          <w:color w:val="auto"/>
          <w:sz w:val="24"/>
          <w:szCs w:val="24"/>
        </w:rPr>
        <w:t>说明：</w:t>
      </w:r>
    </w:p>
    <w:p w14:paraId="6AFC9BD6">
      <w:pPr>
        <w:spacing w:line="360" w:lineRule="auto"/>
        <w:ind w:firstLine="360" w:firstLineChars="150"/>
        <w:jc w:val="left"/>
        <w:outlineLvl w:val="2"/>
        <w:rPr>
          <w:color w:val="auto"/>
          <w:sz w:val="24"/>
          <w:szCs w:val="24"/>
        </w:rPr>
      </w:pPr>
      <w:bookmarkStart w:id="897" w:name="_Toc28060_WPSOffice_Level2"/>
      <w:bookmarkStart w:id="898" w:name="_Toc29242"/>
      <w:r>
        <w:rPr>
          <w:color w:val="auto"/>
          <w:sz w:val="24"/>
          <w:szCs w:val="24"/>
        </w:rPr>
        <w:t>1</w:t>
      </w:r>
      <w:r>
        <w:rPr>
          <w:rFonts w:hint="eastAsia"/>
          <w:color w:val="auto"/>
          <w:sz w:val="24"/>
          <w:szCs w:val="24"/>
        </w:rPr>
        <w:t>、表格如不够，可按同样格式扩展。</w:t>
      </w:r>
      <w:bookmarkEnd w:id="897"/>
      <w:bookmarkEnd w:id="898"/>
    </w:p>
    <w:p w14:paraId="6EAAFB06">
      <w:pPr>
        <w:spacing w:line="360" w:lineRule="auto"/>
        <w:ind w:firstLine="360" w:firstLineChars="150"/>
        <w:jc w:val="left"/>
        <w:outlineLvl w:val="2"/>
        <w:rPr>
          <w:color w:val="auto"/>
          <w:sz w:val="24"/>
          <w:szCs w:val="24"/>
        </w:rPr>
      </w:pPr>
      <w:bookmarkStart w:id="899" w:name="_Toc17468_WPSOffice_Level2"/>
      <w:bookmarkStart w:id="900" w:name="_Toc21411"/>
      <w:r>
        <w:rPr>
          <w:color w:val="auto"/>
          <w:sz w:val="24"/>
          <w:szCs w:val="24"/>
        </w:rPr>
        <w:t>2</w:t>
      </w:r>
      <w:r>
        <w:rPr>
          <w:rFonts w:hint="eastAsia"/>
          <w:color w:val="auto"/>
          <w:sz w:val="24"/>
          <w:szCs w:val="24"/>
        </w:rPr>
        <w:t>、证书、资信材料等，根据评分标准要求提供。</w:t>
      </w:r>
      <w:bookmarkEnd w:id="899"/>
      <w:bookmarkEnd w:id="900"/>
    </w:p>
    <w:p w14:paraId="4C47F0B6">
      <w:pPr>
        <w:spacing w:line="360" w:lineRule="auto"/>
        <w:ind w:firstLine="360" w:firstLineChars="150"/>
        <w:jc w:val="left"/>
        <w:rPr>
          <w:color w:val="auto"/>
          <w:sz w:val="24"/>
          <w:szCs w:val="24"/>
        </w:rPr>
      </w:pPr>
    </w:p>
    <w:p w14:paraId="24FE8812">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0922B29">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8939691">
      <w:pPr>
        <w:spacing w:before="240" w:beforeLines="100" w:after="240" w:afterLines="100"/>
        <w:jc w:val="left"/>
        <w:rPr>
          <w:color w:val="auto"/>
          <w:sz w:val="24"/>
          <w:szCs w:val="24"/>
        </w:rPr>
      </w:pPr>
      <w:r>
        <w:rPr>
          <w:rFonts w:hint="eastAsia" w:ascii="宋体" w:hAnsi="宋体" w:cs="宋体"/>
          <w:color w:val="auto"/>
          <w:sz w:val="24"/>
        </w:rPr>
        <w:t>日期：      年   月   日</w:t>
      </w:r>
    </w:p>
    <w:p w14:paraId="705A24C2">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bookmarkEnd w:id="300"/>
    <w:bookmarkEnd w:id="740"/>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p w14:paraId="67C36CED">
      <w:pPr>
        <w:pStyle w:val="6"/>
        <w:bidi w:val="0"/>
        <w:ind w:left="0" w:leftChars="0" w:firstLine="0" w:firstLineChars="0"/>
        <w:jc w:val="left"/>
        <w:rPr>
          <w:rFonts w:hint="eastAsia"/>
          <w:b/>
          <w:bCs w:val="0"/>
          <w:color w:val="auto"/>
          <w:lang w:val="en-US" w:eastAsia="zh-CN"/>
        </w:rPr>
      </w:pPr>
      <w:bookmarkStart w:id="901" w:name="_Toc26465"/>
      <w:bookmarkStart w:id="902" w:name="_Toc5418"/>
      <w:bookmarkStart w:id="903" w:name="_Toc3327"/>
      <w:bookmarkStart w:id="904" w:name="_Toc16592"/>
      <w:bookmarkStart w:id="905" w:name="_Toc18777"/>
      <w:bookmarkStart w:id="906" w:name="_Toc20174"/>
      <w:bookmarkStart w:id="907" w:name="_Toc24426"/>
      <w:bookmarkStart w:id="908" w:name="_Toc3841"/>
      <w:bookmarkStart w:id="909" w:name="_Toc5024"/>
      <w:bookmarkStart w:id="910" w:name="_Toc21767"/>
      <w:bookmarkStart w:id="911" w:name="_Toc21110"/>
      <w:bookmarkStart w:id="912" w:name="_Toc17265"/>
      <w:r>
        <w:rPr>
          <w:rFonts w:hint="eastAsia"/>
          <w:b/>
          <w:bCs w:val="0"/>
          <w:color w:val="auto"/>
          <w:lang w:val="en-US" w:eastAsia="zh-CN"/>
        </w:rPr>
        <w:t>（7）IS09001 国际质量体系认证书，环境管理体系认证书，职业健康安全管理体系认证书（如有，复印件加盖公章）</w:t>
      </w:r>
      <w:bookmarkEnd w:id="901"/>
      <w:bookmarkEnd w:id="902"/>
    </w:p>
    <w:p w14:paraId="064060CB">
      <w:pPr>
        <w:pStyle w:val="3"/>
        <w:numPr>
          <w:ilvl w:val="0"/>
          <w:numId w:val="0"/>
        </w:numPr>
        <w:rPr>
          <w:rFonts w:hint="eastAsia"/>
          <w:color w:val="auto"/>
          <w:lang w:val="en-US" w:eastAsia="zh-CN"/>
        </w:rPr>
      </w:pPr>
    </w:p>
    <w:p w14:paraId="6CB676F9">
      <w:pPr>
        <w:pStyle w:val="6"/>
        <w:bidi w:val="0"/>
        <w:ind w:left="0" w:leftChars="0" w:firstLine="0" w:firstLineChars="0"/>
        <w:jc w:val="left"/>
        <w:rPr>
          <w:rFonts w:hint="eastAsia"/>
          <w:b/>
          <w:bCs w:val="0"/>
          <w:color w:val="auto"/>
          <w:szCs w:val="22"/>
          <w:lang w:val="en-US" w:eastAsia="zh-CN"/>
        </w:rPr>
      </w:pPr>
      <w:bookmarkStart w:id="913" w:name="_Toc2657"/>
      <w:bookmarkStart w:id="914" w:name="_Toc9641"/>
      <w:r>
        <w:rPr>
          <w:rFonts w:hint="eastAsia"/>
          <w:b/>
          <w:bCs w:val="0"/>
          <w:color w:val="auto"/>
          <w:szCs w:val="22"/>
          <w:lang w:val="en-US" w:eastAsia="zh-CN"/>
        </w:rPr>
        <w:t>（8）中国书刊发行协会会员证书（如有，复印件加盖公章）</w:t>
      </w:r>
      <w:bookmarkEnd w:id="913"/>
      <w:bookmarkEnd w:id="914"/>
    </w:p>
    <w:p w14:paraId="72CAD55E">
      <w:pPr>
        <w:pStyle w:val="3"/>
        <w:rPr>
          <w:rFonts w:hint="eastAsia"/>
          <w:color w:val="auto"/>
          <w:lang w:val="en-US" w:eastAsia="zh-CN"/>
        </w:rPr>
      </w:pPr>
    </w:p>
    <w:p w14:paraId="28A68EB8">
      <w:pPr>
        <w:pStyle w:val="6"/>
        <w:bidi w:val="0"/>
        <w:ind w:left="0" w:leftChars="0" w:firstLine="0" w:firstLineChars="0"/>
        <w:jc w:val="left"/>
        <w:rPr>
          <w:rFonts w:hint="eastAsia"/>
          <w:color w:val="auto"/>
          <w:lang w:val="en-US" w:eastAsia="zh-CN"/>
        </w:rPr>
      </w:pPr>
      <w:bookmarkStart w:id="915" w:name="_Toc23031"/>
      <w:bookmarkStart w:id="916" w:name="_Toc9396"/>
      <w:r>
        <w:rPr>
          <w:rFonts w:hint="eastAsia"/>
          <w:color w:val="auto"/>
          <w:lang w:val="en-US" w:eastAsia="zh-CN"/>
        </w:rPr>
        <w:t>（9）现采基地库房自有的房产证明或租赁合同（如有，复印件加盖公章）及有现货承诺书（格式自拟，授权代表签字加盖单位公章）</w:t>
      </w:r>
      <w:bookmarkEnd w:id="915"/>
      <w:bookmarkEnd w:id="916"/>
    </w:p>
    <w:p w14:paraId="231A03A5">
      <w:pPr>
        <w:pStyle w:val="3"/>
        <w:numPr>
          <w:ilvl w:val="0"/>
          <w:numId w:val="0"/>
        </w:numPr>
        <w:ind w:leftChars="0"/>
        <w:rPr>
          <w:rFonts w:hint="eastAsia"/>
          <w:color w:val="auto"/>
          <w:lang w:val="en-US" w:eastAsia="zh-CN"/>
        </w:rPr>
      </w:pPr>
    </w:p>
    <w:p w14:paraId="2EECE4A9">
      <w:pPr>
        <w:pStyle w:val="6"/>
        <w:bidi w:val="0"/>
        <w:ind w:left="0" w:leftChars="0" w:firstLine="0" w:firstLineChars="0"/>
        <w:jc w:val="left"/>
        <w:rPr>
          <w:rFonts w:hint="eastAsia"/>
          <w:color w:val="auto"/>
          <w:szCs w:val="22"/>
          <w:lang w:val="en-US" w:eastAsia="zh-CN"/>
        </w:rPr>
      </w:pPr>
      <w:bookmarkStart w:id="917" w:name="_Toc7306"/>
      <w:bookmarkStart w:id="918" w:name="_Toc6924"/>
      <w:r>
        <w:rPr>
          <w:rFonts w:hint="eastAsia"/>
          <w:color w:val="auto"/>
          <w:szCs w:val="22"/>
          <w:lang w:val="en-US" w:eastAsia="zh-CN"/>
        </w:rPr>
        <w:t>（10）2023年以来组织参与的图书馆配会、图书博览会现采活动或线上图书展览会的相关证明材料（如有，须提供有关办会的通知、证明或办会邀请函等证明材料复印件加盖公章）</w:t>
      </w:r>
      <w:bookmarkEnd w:id="917"/>
      <w:bookmarkEnd w:id="918"/>
    </w:p>
    <w:p w14:paraId="5EFBF444">
      <w:pPr>
        <w:pStyle w:val="3"/>
        <w:ind w:left="0" w:leftChars="0" w:firstLine="0" w:firstLineChars="0"/>
        <w:rPr>
          <w:rFonts w:hint="eastAsia"/>
          <w:color w:val="auto"/>
          <w:lang w:val="en-US" w:eastAsia="zh-CN"/>
        </w:rPr>
      </w:pPr>
    </w:p>
    <w:p w14:paraId="207A262C">
      <w:pPr>
        <w:pStyle w:val="6"/>
        <w:bidi w:val="0"/>
        <w:ind w:left="0" w:leftChars="0" w:firstLine="0" w:firstLineChars="0"/>
        <w:jc w:val="left"/>
        <w:rPr>
          <w:rFonts w:hint="eastAsia"/>
          <w:color w:val="auto"/>
          <w:szCs w:val="22"/>
          <w:lang w:val="en-US" w:eastAsia="zh-CN"/>
        </w:rPr>
      </w:pPr>
      <w:bookmarkStart w:id="919" w:name="_Toc31679"/>
      <w:bookmarkStart w:id="920" w:name="_Toc28555"/>
      <w:r>
        <w:rPr>
          <w:rFonts w:hint="eastAsia"/>
          <w:color w:val="auto"/>
          <w:szCs w:val="22"/>
          <w:lang w:val="en-US" w:eastAsia="zh-CN"/>
        </w:rPr>
        <w:t>（11）用户评价（格式模版附后，须提供调查表、中标通知书、合同复印件加盖公章）</w:t>
      </w:r>
      <w:bookmarkEnd w:id="919"/>
      <w:bookmarkEnd w:id="920"/>
    </w:p>
    <w:p w14:paraId="15C95B6D">
      <w:pPr>
        <w:rPr>
          <w:rFonts w:hint="eastAsia"/>
          <w:color w:val="auto"/>
          <w:lang w:val="en-US" w:eastAsia="zh-CN"/>
        </w:rPr>
      </w:pPr>
      <w:r>
        <w:rPr>
          <w:rFonts w:hint="eastAsia"/>
          <w:color w:val="auto"/>
          <w:lang w:val="en-US" w:eastAsia="zh-CN"/>
        </w:rPr>
        <w:br w:type="page"/>
      </w:r>
    </w:p>
    <w:p w14:paraId="644BF6DB">
      <w:pPr>
        <w:pStyle w:val="29"/>
        <w:spacing w:before="120" w:after="120" w:line="360" w:lineRule="auto"/>
        <w:ind w:right="-252"/>
        <w:jc w:val="center"/>
        <w:rPr>
          <w:rFonts w:ascii="Times New Roman" w:hAnsi="Times New Roman"/>
          <w:b/>
          <w:color w:val="auto"/>
          <w:sz w:val="32"/>
          <w:szCs w:val="32"/>
        </w:rPr>
      </w:pPr>
      <w:bookmarkStart w:id="921" w:name="_Toc19958_WPSOffice_Level2"/>
      <w:r>
        <w:rPr>
          <w:rFonts w:hint="eastAsia" w:ascii="Times New Roman" w:hAnsi="Times New Roman"/>
          <w:b/>
          <w:color w:val="auto"/>
          <w:sz w:val="32"/>
          <w:szCs w:val="32"/>
        </w:rPr>
        <w:t>供应商高校图书服务质量评价表</w:t>
      </w:r>
      <w:bookmarkEnd w:id="921"/>
    </w:p>
    <w:p w14:paraId="2F07226A">
      <w:pPr>
        <w:widowControl/>
        <w:rPr>
          <w:rFonts w:ascii="仿宋_GB2312" w:hAnsi="仿宋_GB2312" w:eastAsia="仿宋_GB2312"/>
          <w:b/>
          <w:color w:val="auto"/>
          <w:sz w:val="24"/>
        </w:rPr>
      </w:pPr>
      <w:r>
        <w:rPr>
          <w:rFonts w:hint="eastAsia" w:ascii="仿宋_GB2312" w:hAnsi="仿宋_GB2312" w:eastAsia="仿宋_GB2312"/>
          <w:b/>
          <w:color w:val="auto"/>
          <w:sz w:val="24"/>
        </w:rPr>
        <w:t>被评价供应商：XXXXXX公司（企业）                          日期：    年 月 日</w:t>
      </w:r>
    </w:p>
    <w:tbl>
      <w:tblPr>
        <w:tblStyle w:val="47"/>
        <w:tblW w:w="9002" w:type="dxa"/>
        <w:tblInd w:w="0" w:type="dxa"/>
        <w:tblLayout w:type="fixed"/>
        <w:tblCellMar>
          <w:top w:w="0" w:type="dxa"/>
          <w:left w:w="108" w:type="dxa"/>
          <w:bottom w:w="0" w:type="dxa"/>
          <w:right w:w="108" w:type="dxa"/>
        </w:tblCellMar>
      </w:tblPr>
      <w:tblGrid>
        <w:gridCol w:w="1696"/>
        <w:gridCol w:w="1330"/>
        <w:gridCol w:w="891"/>
        <w:gridCol w:w="1905"/>
        <w:gridCol w:w="634"/>
        <w:gridCol w:w="635"/>
        <w:gridCol w:w="634"/>
        <w:gridCol w:w="636"/>
        <w:gridCol w:w="641"/>
      </w:tblGrid>
      <w:tr w14:paraId="512872C0">
        <w:tblPrEx>
          <w:tblCellMar>
            <w:top w:w="0" w:type="dxa"/>
            <w:left w:w="108" w:type="dxa"/>
            <w:bottom w:w="0" w:type="dxa"/>
            <w:right w:w="108" w:type="dxa"/>
          </w:tblCellMar>
        </w:tblPrEx>
        <w:trPr>
          <w:trHeight w:val="733" w:hRule="atLeast"/>
        </w:trPr>
        <w:tc>
          <w:tcPr>
            <w:tcW w:w="1696" w:type="dxa"/>
            <w:tcBorders>
              <w:top w:val="single" w:color="000000" w:sz="4" w:space="0"/>
              <w:left w:val="single" w:color="000000" w:sz="4" w:space="0"/>
              <w:bottom w:val="single" w:color="000000" w:sz="4" w:space="0"/>
              <w:right w:val="single" w:color="000000" w:sz="4" w:space="0"/>
            </w:tcBorders>
            <w:vAlign w:val="center"/>
          </w:tcPr>
          <w:p w14:paraId="533D51DC">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采购图书单位（盖章）</w:t>
            </w:r>
          </w:p>
        </w:tc>
        <w:tc>
          <w:tcPr>
            <w:tcW w:w="7306" w:type="dxa"/>
            <w:gridSpan w:val="8"/>
            <w:tcBorders>
              <w:top w:val="single" w:color="000000" w:sz="4" w:space="0"/>
              <w:left w:val="nil"/>
              <w:bottom w:val="single" w:color="000000" w:sz="4" w:space="0"/>
              <w:right w:val="single" w:color="000000" w:sz="4" w:space="0"/>
            </w:tcBorders>
            <w:vAlign w:val="center"/>
          </w:tcPr>
          <w:p w14:paraId="7FE73609">
            <w:pPr>
              <w:widowControl/>
              <w:rPr>
                <w:rFonts w:ascii="仿宋_GB2312" w:hAnsi="仿宋_GB2312" w:eastAsia="仿宋_GB2312"/>
                <w:b/>
                <w:color w:val="auto"/>
                <w:sz w:val="24"/>
              </w:rPr>
            </w:pPr>
            <w:r>
              <w:rPr>
                <w:rFonts w:hint="eastAsia" w:ascii="仿宋_GB2312" w:hAnsi="仿宋_GB2312" w:eastAsia="仿宋_GB2312"/>
                <w:b/>
                <w:color w:val="auto"/>
                <w:sz w:val="24"/>
              </w:rPr>
              <w:t xml:space="preserve">                                   大学（学院）图书馆</w:t>
            </w:r>
          </w:p>
        </w:tc>
      </w:tr>
      <w:tr w14:paraId="5EAA47CE">
        <w:tblPrEx>
          <w:tblCellMar>
            <w:top w:w="0" w:type="dxa"/>
            <w:left w:w="108" w:type="dxa"/>
            <w:bottom w:w="0" w:type="dxa"/>
            <w:right w:w="108" w:type="dxa"/>
          </w:tblCellMar>
        </w:tblPrEx>
        <w:trPr>
          <w:trHeight w:val="733" w:hRule="atLeast"/>
        </w:trPr>
        <w:tc>
          <w:tcPr>
            <w:tcW w:w="1696" w:type="dxa"/>
            <w:tcBorders>
              <w:top w:val="single" w:color="000000" w:sz="4" w:space="0"/>
              <w:left w:val="single" w:color="000000" w:sz="4" w:space="0"/>
              <w:bottom w:val="single" w:color="000000" w:sz="4" w:space="0"/>
              <w:right w:val="single" w:color="000000" w:sz="4" w:space="0"/>
            </w:tcBorders>
            <w:vAlign w:val="center"/>
          </w:tcPr>
          <w:p w14:paraId="452BF987">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联系人</w:t>
            </w:r>
          </w:p>
        </w:tc>
        <w:tc>
          <w:tcPr>
            <w:tcW w:w="1330" w:type="dxa"/>
            <w:tcBorders>
              <w:top w:val="single" w:color="000000" w:sz="4" w:space="0"/>
              <w:left w:val="nil"/>
              <w:bottom w:val="single" w:color="000000" w:sz="4" w:space="0"/>
              <w:right w:val="single" w:color="000000" w:sz="4" w:space="0"/>
            </w:tcBorders>
            <w:vAlign w:val="center"/>
          </w:tcPr>
          <w:p w14:paraId="05B1EA02">
            <w:pPr>
              <w:widowControl/>
              <w:jc w:val="center"/>
              <w:rPr>
                <w:rFonts w:ascii="仿宋_GB2312" w:hAnsi="仿宋_GB2312" w:eastAsia="仿宋_GB2312"/>
                <w:b/>
                <w:color w:val="auto"/>
                <w:sz w:val="24"/>
              </w:rPr>
            </w:pPr>
          </w:p>
        </w:tc>
        <w:tc>
          <w:tcPr>
            <w:tcW w:w="891" w:type="dxa"/>
            <w:tcBorders>
              <w:top w:val="single" w:color="000000" w:sz="4" w:space="0"/>
              <w:left w:val="nil"/>
              <w:bottom w:val="single" w:color="000000" w:sz="4" w:space="0"/>
              <w:right w:val="single" w:color="000000" w:sz="4" w:space="0"/>
            </w:tcBorders>
            <w:vAlign w:val="center"/>
          </w:tcPr>
          <w:p w14:paraId="0EB9E52D">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电话</w:t>
            </w:r>
          </w:p>
        </w:tc>
        <w:tc>
          <w:tcPr>
            <w:tcW w:w="1905" w:type="dxa"/>
            <w:tcBorders>
              <w:top w:val="single" w:color="000000" w:sz="4" w:space="0"/>
              <w:left w:val="nil"/>
              <w:bottom w:val="single" w:color="000000" w:sz="4" w:space="0"/>
              <w:right w:val="single" w:color="000000" w:sz="4" w:space="0"/>
            </w:tcBorders>
            <w:vAlign w:val="center"/>
          </w:tcPr>
          <w:p w14:paraId="73775E74">
            <w:pPr>
              <w:widowControl/>
              <w:jc w:val="center"/>
              <w:rPr>
                <w:rFonts w:ascii="仿宋_GB2312" w:hAnsi="仿宋_GB2312" w:eastAsia="仿宋_GB2312"/>
                <w:b/>
                <w:color w:val="auto"/>
                <w:sz w:val="24"/>
              </w:rPr>
            </w:pPr>
          </w:p>
        </w:tc>
        <w:tc>
          <w:tcPr>
            <w:tcW w:w="1269" w:type="dxa"/>
            <w:gridSpan w:val="2"/>
            <w:tcBorders>
              <w:top w:val="single" w:color="000000" w:sz="4" w:space="0"/>
              <w:left w:val="nil"/>
              <w:bottom w:val="single" w:color="000000" w:sz="4" w:space="0"/>
              <w:right w:val="single" w:color="000000" w:sz="4" w:space="0"/>
            </w:tcBorders>
            <w:vAlign w:val="center"/>
          </w:tcPr>
          <w:p w14:paraId="039F4A1E">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传真</w:t>
            </w:r>
          </w:p>
        </w:tc>
        <w:tc>
          <w:tcPr>
            <w:tcW w:w="1911" w:type="dxa"/>
            <w:gridSpan w:val="3"/>
            <w:tcBorders>
              <w:top w:val="single" w:color="000000" w:sz="4" w:space="0"/>
              <w:left w:val="nil"/>
              <w:bottom w:val="single" w:color="000000" w:sz="4" w:space="0"/>
              <w:right w:val="single" w:color="000000" w:sz="4" w:space="0"/>
            </w:tcBorders>
            <w:vAlign w:val="center"/>
          </w:tcPr>
          <w:p w14:paraId="5871A46A">
            <w:pPr>
              <w:widowControl/>
              <w:jc w:val="center"/>
              <w:rPr>
                <w:rFonts w:ascii="仿宋_GB2312" w:hAnsi="仿宋_GB2312" w:eastAsia="仿宋_GB2312"/>
                <w:b/>
                <w:color w:val="auto"/>
                <w:sz w:val="24"/>
              </w:rPr>
            </w:pPr>
          </w:p>
        </w:tc>
      </w:tr>
      <w:tr w14:paraId="145C2AC0">
        <w:tblPrEx>
          <w:tblCellMar>
            <w:top w:w="0" w:type="dxa"/>
            <w:left w:w="108" w:type="dxa"/>
            <w:bottom w:w="0" w:type="dxa"/>
            <w:right w:w="108" w:type="dxa"/>
          </w:tblCellMar>
        </w:tblPrEx>
        <w:trPr>
          <w:cantSplit/>
          <w:trHeight w:val="458" w:hRule="atLeast"/>
        </w:trPr>
        <w:tc>
          <w:tcPr>
            <w:tcW w:w="1696" w:type="dxa"/>
            <w:vMerge w:val="restart"/>
            <w:tcBorders>
              <w:top w:val="nil"/>
              <w:left w:val="single" w:color="000000" w:sz="4" w:space="0"/>
              <w:bottom w:val="single" w:color="000000" w:sz="4" w:space="0"/>
              <w:right w:val="single" w:color="000000" w:sz="4" w:space="0"/>
            </w:tcBorders>
            <w:shd w:val="clear" w:color="auto" w:fill="auto"/>
            <w:vAlign w:val="center"/>
          </w:tcPr>
          <w:p w14:paraId="1D811DEB">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对供应商的评价</w:t>
            </w:r>
          </w:p>
        </w:tc>
        <w:tc>
          <w:tcPr>
            <w:tcW w:w="4126" w:type="dxa"/>
            <w:gridSpan w:val="3"/>
            <w:tcBorders>
              <w:top w:val="single" w:color="000000" w:sz="4" w:space="0"/>
              <w:left w:val="nil"/>
              <w:bottom w:val="single" w:color="000000" w:sz="4" w:space="0"/>
              <w:right w:val="single" w:color="000000" w:sz="4" w:space="0"/>
            </w:tcBorders>
            <w:shd w:val="clear" w:color="auto" w:fill="FFFFFF"/>
            <w:vAlign w:val="center"/>
          </w:tcPr>
          <w:p w14:paraId="39FB01E0">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项  目</w:t>
            </w:r>
          </w:p>
        </w:tc>
        <w:tc>
          <w:tcPr>
            <w:tcW w:w="634" w:type="dxa"/>
            <w:tcBorders>
              <w:top w:val="single" w:color="000000" w:sz="4" w:space="0"/>
              <w:left w:val="nil"/>
              <w:bottom w:val="single" w:color="000000" w:sz="4" w:space="0"/>
              <w:right w:val="single" w:color="000000" w:sz="4" w:space="0"/>
            </w:tcBorders>
            <w:vAlign w:val="center"/>
          </w:tcPr>
          <w:p w14:paraId="6AD9FBB5">
            <w:pPr>
              <w:widowControl/>
              <w:rPr>
                <w:rFonts w:ascii="仿宋_GB2312" w:hAnsi="仿宋_GB2312" w:eastAsia="仿宋_GB2312"/>
                <w:b/>
                <w:color w:val="auto"/>
                <w:sz w:val="24"/>
              </w:rPr>
            </w:pPr>
            <w:r>
              <w:rPr>
                <w:rFonts w:hint="eastAsia" w:ascii="仿宋_GB2312" w:hAnsi="仿宋_GB2312" w:eastAsia="仿宋_GB2312"/>
                <w:b/>
                <w:color w:val="auto"/>
                <w:sz w:val="24"/>
              </w:rPr>
              <w:t>很好</w:t>
            </w:r>
          </w:p>
        </w:tc>
        <w:tc>
          <w:tcPr>
            <w:tcW w:w="635" w:type="dxa"/>
            <w:tcBorders>
              <w:top w:val="single" w:color="000000" w:sz="4" w:space="0"/>
              <w:left w:val="nil"/>
              <w:bottom w:val="single" w:color="000000" w:sz="4" w:space="0"/>
              <w:right w:val="single" w:color="000000" w:sz="4" w:space="0"/>
            </w:tcBorders>
            <w:vAlign w:val="center"/>
          </w:tcPr>
          <w:p w14:paraId="1F3AE009">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较好</w:t>
            </w:r>
          </w:p>
        </w:tc>
        <w:tc>
          <w:tcPr>
            <w:tcW w:w="634" w:type="dxa"/>
            <w:tcBorders>
              <w:top w:val="single" w:color="000000" w:sz="4" w:space="0"/>
              <w:left w:val="nil"/>
              <w:bottom w:val="single" w:color="000000" w:sz="4" w:space="0"/>
              <w:right w:val="single" w:color="000000" w:sz="4" w:space="0"/>
            </w:tcBorders>
            <w:vAlign w:val="center"/>
          </w:tcPr>
          <w:p w14:paraId="6EB42880">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一般</w:t>
            </w:r>
          </w:p>
        </w:tc>
        <w:tc>
          <w:tcPr>
            <w:tcW w:w="636" w:type="dxa"/>
            <w:tcBorders>
              <w:top w:val="single" w:color="000000" w:sz="4" w:space="0"/>
              <w:left w:val="nil"/>
              <w:bottom w:val="single" w:color="000000" w:sz="4" w:space="0"/>
              <w:right w:val="single" w:color="000000" w:sz="4" w:space="0"/>
            </w:tcBorders>
            <w:vAlign w:val="center"/>
          </w:tcPr>
          <w:p w14:paraId="017CAE17">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较差</w:t>
            </w:r>
          </w:p>
        </w:tc>
        <w:tc>
          <w:tcPr>
            <w:tcW w:w="641" w:type="dxa"/>
            <w:tcBorders>
              <w:top w:val="single" w:color="000000" w:sz="4" w:space="0"/>
              <w:left w:val="nil"/>
              <w:bottom w:val="single" w:color="000000" w:sz="4" w:space="0"/>
              <w:right w:val="single" w:color="000000" w:sz="4" w:space="0"/>
            </w:tcBorders>
            <w:vAlign w:val="center"/>
          </w:tcPr>
          <w:p w14:paraId="49CC998A">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很差</w:t>
            </w:r>
          </w:p>
        </w:tc>
      </w:tr>
      <w:tr w14:paraId="7E334AD5">
        <w:tblPrEx>
          <w:tblCellMar>
            <w:top w:w="0" w:type="dxa"/>
            <w:left w:w="108" w:type="dxa"/>
            <w:bottom w:w="0" w:type="dxa"/>
            <w:right w:w="108" w:type="dxa"/>
          </w:tblCellMar>
        </w:tblPrEx>
        <w:trPr>
          <w:cantSplit/>
          <w:trHeight w:val="604"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23F14A1C">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7F073479">
            <w:pPr>
              <w:rPr>
                <w:color w:val="auto"/>
              </w:rPr>
            </w:pPr>
            <w:r>
              <w:rPr>
                <w:rFonts w:hint="eastAsia"/>
                <w:b/>
                <w:color w:val="auto"/>
              </w:rPr>
              <w:t>图书质量：</w:t>
            </w:r>
            <w:r>
              <w:rPr>
                <w:rFonts w:hint="eastAsia"/>
                <w:color w:val="auto"/>
              </w:rPr>
              <w:t>全新正版出版物；无破损；附件齐全。</w:t>
            </w:r>
          </w:p>
        </w:tc>
        <w:tc>
          <w:tcPr>
            <w:tcW w:w="634" w:type="dxa"/>
            <w:tcBorders>
              <w:top w:val="single" w:color="000000" w:sz="4" w:space="0"/>
              <w:left w:val="nil"/>
              <w:bottom w:val="single" w:color="000000" w:sz="4" w:space="0"/>
              <w:right w:val="single" w:color="000000" w:sz="4" w:space="0"/>
            </w:tcBorders>
            <w:vAlign w:val="center"/>
          </w:tcPr>
          <w:p w14:paraId="4A32F50C">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37469829">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16029AFA">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68B47DE4">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624F4762">
            <w:pPr>
              <w:widowControl/>
              <w:jc w:val="center"/>
              <w:rPr>
                <w:rFonts w:ascii="仿宋_GB2312" w:hAnsi="仿宋_GB2312" w:eastAsia="仿宋_GB2312"/>
                <w:b/>
                <w:color w:val="auto"/>
                <w:sz w:val="24"/>
              </w:rPr>
            </w:pPr>
          </w:p>
        </w:tc>
      </w:tr>
      <w:tr w14:paraId="0DE7A4C8">
        <w:tblPrEx>
          <w:tblCellMar>
            <w:top w:w="0" w:type="dxa"/>
            <w:left w:w="108" w:type="dxa"/>
            <w:bottom w:w="0" w:type="dxa"/>
            <w:right w:w="108" w:type="dxa"/>
          </w:tblCellMar>
        </w:tblPrEx>
        <w:trPr>
          <w:cantSplit/>
          <w:trHeight w:val="496"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7EDE7AD1">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0614A1C5">
            <w:pPr>
              <w:rPr>
                <w:color w:val="auto"/>
              </w:rPr>
            </w:pPr>
            <w:r>
              <w:rPr>
                <w:rFonts w:hint="eastAsia"/>
                <w:color w:val="auto"/>
              </w:rPr>
              <w:t>采访书目齐全、信息覆盖面；提供的采访书目时效性强。</w:t>
            </w:r>
          </w:p>
        </w:tc>
        <w:tc>
          <w:tcPr>
            <w:tcW w:w="634" w:type="dxa"/>
            <w:tcBorders>
              <w:top w:val="single" w:color="000000" w:sz="4" w:space="0"/>
              <w:left w:val="nil"/>
              <w:bottom w:val="single" w:color="000000" w:sz="4" w:space="0"/>
              <w:right w:val="single" w:color="000000" w:sz="4" w:space="0"/>
            </w:tcBorders>
            <w:vAlign w:val="center"/>
          </w:tcPr>
          <w:p w14:paraId="774E3B4B">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5AD432C8">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37A9FFC2">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499A4414">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2CEC9220">
            <w:pPr>
              <w:widowControl/>
              <w:jc w:val="center"/>
              <w:rPr>
                <w:rFonts w:ascii="仿宋_GB2312" w:hAnsi="仿宋_GB2312" w:eastAsia="仿宋_GB2312"/>
                <w:b/>
                <w:color w:val="auto"/>
                <w:sz w:val="24"/>
              </w:rPr>
            </w:pPr>
          </w:p>
        </w:tc>
      </w:tr>
      <w:tr w14:paraId="276E48A7">
        <w:tblPrEx>
          <w:tblCellMar>
            <w:top w:w="0" w:type="dxa"/>
            <w:left w:w="108" w:type="dxa"/>
            <w:bottom w:w="0" w:type="dxa"/>
            <w:right w:w="108" w:type="dxa"/>
          </w:tblCellMar>
        </w:tblPrEx>
        <w:trPr>
          <w:cantSplit/>
          <w:trHeight w:val="564"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000189B6">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401432E7">
            <w:pPr>
              <w:rPr>
                <w:color w:val="auto"/>
              </w:rPr>
            </w:pPr>
            <w:r>
              <w:rPr>
                <w:rFonts w:hint="eastAsia"/>
                <w:color w:val="auto"/>
              </w:rPr>
              <w:t>采访数据标准、准确。</w:t>
            </w:r>
          </w:p>
        </w:tc>
        <w:tc>
          <w:tcPr>
            <w:tcW w:w="634" w:type="dxa"/>
            <w:tcBorders>
              <w:top w:val="single" w:color="000000" w:sz="4" w:space="0"/>
              <w:left w:val="nil"/>
              <w:bottom w:val="single" w:color="000000" w:sz="4" w:space="0"/>
              <w:right w:val="single" w:color="000000" w:sz="4" w:space="0"/>
            </w:tcBorders>
            <w:vAlign w:val="center"/>
          </w:tcPr>
          <w:p w14:paraId="21FA1CF9">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410C6E99">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459EB244">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31054ECC">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153D7FA5">
            <w:pPr>
              <w:widowControl/>
              <w:jc w:val="center"/>
              <w:rPr>
                <w:rFonts w:ascii="仿宋_GB2312" w:hAnsi="仿宋_GB2312" w:eastAsia="仿宋_GB2312"/>
                <w:b/>
                <w:color w:val="auto"/>
                <w:sz w:val="24"/>
              </w:rPr>
            </w:pPr>
          </w:p>
        </w:tc>
      </w:tr>
      <w:tr w14:paraId="340108AA">
        <w:tblPrEx>
          <w:tblCellMar>
            <w:top w:w="0" w:type="dxa"/>
            <w:left w:w="108" w:type="dxa"/>
            <w:bottom w:w="0" w:type="dxa"/>
            <w:right w:w="108" w:type="dxa"/>
          </w:tblCellMar>
        </w:tblPrEx>
        <w:trPr>
          <w:cantSplit/>
          <w:trHeight w:val="453"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04296AA0">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68A41D11">
            <w:pPr>
              <w:rPr>
                <w:color w:val="auto"/>
              </w:rPr>
            </w:pPr>
            <w:r>
              <w:rPr>
                <w:rFonts w:hint="eastAsia"/>
                <w:color w:val="auto"/>
              </w:rPr>
              <w:t>编目数据的质量符合高校图书馆要求；与到馆图书的匹配程度（不漏发、错发）；是否与到馆图书同时到达。</w:t>
            </w:r>
          </w:p>
        </w:tc>
        <w:tc>
          <w:tcPr>
            <w:tcW w:w="634" w:type="dxa"/>
            <w:tcBorders>
              <w:top w:val="single" w:color="000000" w:sz="4" w:space="0"/>
              <w:left w:val="nil"/>
              <w:bottom w:val="single" w:color="000000" w:sz="4" w:space="0"/>
              <w:right w:val="single" w:color="000000" w:sz="4" w:space="0"/>
            </w:tcBorders>
            <w:vAlign w:val="center"/>
          </w:tcPr>
          <w:p w14:paraId="43EA38B2">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0671EB69">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2CB6F60D">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391367BB">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728F82E1">
            <w:pPr>
              <w:widowControl/>
              <w:jc w:val="center"/>
              <w:rPr>
                <w:rFonts w:ascii="仿宋_GB2312" w:hAnsi="仿宋_GB2312" w:eastAsia="仿宋_GB2312"/>
                <w:b/>
                <w:color w:val="auto"/>
                <w:sz w:val="24"/>
              </w:rPr>
            </w:pPr>
          </w:p>
        </w:tc>
      </w:tr>
      <w:tr w14:paraId="2F9170C1">
        <w:tblPrEx>
          <w:tblCellMar>
            <w:top w:w="0" w:type="dxa"/>
            <w:left w:w="108" w:type="dxa"/>
            <w:bottom w:w="0" w:type="dxa"/>
            <w:right w:w="108" w:type="dxa"/>
          </w:tblCellMar>
        </w:tblPrEx>
        <w:trPr>
          <w:cantSplit/>
          <w:trHeight w:val="505"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6B521861">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7E9CCEEC">
            <w:pPr>
              <w:rPr>
                <w:color w:val="auto"/>
              </w:rPr>
            </w:pPr>
            <w:r>
              <w:rPr>
                <w:rFonts w:hint="eastAsia"/>
                <w:color w:val="auto"/>
              </w:rPr>
              <w:t>根据供应商承诺的到书率、供书类型、供书数量及各校历史实际到书记录情况等。</w:t>
            </w:r>
          </w:p>
        </w:tc>
        <w:tc>
          <w:tcPr>
            <w:tcW w:w="634" w:type="dxa"/>
            <w:tcBorders>
              <w:top w:val="single" w:color="000000" w:sz="4" w:space="0"/>
              <w:left w:val="nil"/>
              <w:bottom w:val="single" w:color="000000" w:sz="4" w:space="0"/>
              <w:right w:val="single" w:color="000000" w:sz="4" w:space="0"/>
            </w:tcBorders>
            <w:vAlign w:val="center"/>
          </w:tcPr>
          <w:p w14:paraId="22E89716">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4498873A">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1F679273">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54AFCAAA">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5EDB9244">
            <w:pPr>
              <w:widowControl/>
              <w:jc w:val="center"/>
              <w:rPr>
                <w:rFonts w:ascii="仿宋_GB2312" w:hAnsi="仿宋_GB2312" w:eastAsia="仿宋_GB2312"/>
                <w:b/>
                <w:color w:val="auto"/>
                <w:sz w:val="24"/>
              </w:rPr>
            </w:pPr>
          </w:p>
        </w:tc>
      </w:tr>
      <w:tr w14:paraId="509F74CE">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049FEDDE">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7DA477A3">
            <w:pPr>
              <w:rPr>
                <w:color w:val="auto"/>
              </w:rPr>
            </w:pPr>
            <w:r>
              <w:rPr>
                <w:rFonts w:hint="eastAsia"/>
                <w:color w:val="auto"/>
              </w:rPr>
              <w:t>对图书馆自备书目的采购能力；自定较窄主题采购的快速响应能力。</w:t>
            </w:r>
          </w:p>
        </w:tc>
        <w:tc>
          <w:tcPr>
            <w:tcW w:w="634" w:type="dxa"/>
            <w:tcBorders>
              <w:top w:val="single" w:color="000000" w:sz="4" w:space="0"/>
              <w:left w:val="nil"/>
              <w:bottom w:val="single" w:color="000000" w:sz="4" w:space="0"/>
              <w:right w:val="single" w:color="000000" w:sz="4" w:space="0"/>
            </w:tcBorders>
            <w:vAlign w:val="center"/>
          </w:tcPr>
          <w:p w14:paraId="209286C0">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201FDF87">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18695285">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01E874EB">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0F6A5EA0">
            <w:pPr>
              <w:widowControl/>
              <w:jc w:val="center"/>
              <w:rPr>
                <w:rFonts w:ascii="仿宋_GB2312" w:hAnsi="仿宋_GB2312" w:eastAsia="仿宋_GB2312"/>
                <w:b/>
                <w:color w:val="auto"/>
                <w:sz w:val="24"/>
              </w:rPr>
            </w:pPr>
          </w:p>
        </w:tc>
      </w:tr>
      <w:tr w14:paraId="70291AD1">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01495E2A">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0AEA0409">
            <w:pPr>
              <w:rPr>
                <w:color w:val="auto"/>
              </w:rPr>
            </w:pPr>
            <w:r>
              <w:rPr>
                <w:rFonts w:hint="eastAsia"/>
                <w:color w:val="auto"/>
              </w:rPr>
              <w:t>对已订书单因情况变化，图书馆要求减少订数或要求取消订购的反应能力。</w:t>
            </w:r>
          </w:p>
        </w:tc>
        <w:tc>
          <w:tcPr>
            <w:tcW w:w="634" w:type="dxa"/>
            <w:tcBorders>
              <w:top w:val="single" w:color="000000" w:sz="4" w:space="0"/>
              <w:left w:val="nil"/>
              <w:bottom w:val="single" w:color="000000" w:sz="4" w:space="0"/>
              <w:right w:val="single" w:color="000000" w:sz="4" w:space="0"/>
            </w:tcBorders>
            <w:vAlign w:val="center"/>
          </w:tcPr>
          <w:p w14:paraId="60932FE7">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6B01F3BC">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6CFB407C">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690780D9">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4333C674">
            <w:pPr>
              <w:widowControl/>
              <w:jc w:val="center"/>
              <w:rPr>
                <w:rFonts w:ascii="仿宋_GB2312" w:hAnsi="仿宋_GB2312" w:eastAsia="仿宋_GB2312"/>
                <w:b/>
                <w:color w:val="auto"/>
                <w:sz w:val="24"/>
              </w:rPr>
            </w:pPr>
          </w:p>
        </w:tc>
      </w:tr>
      <w:tr w14:paraId="07B88AEC">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7013D0A3">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0CFE64B7">
            <w:pPr>
              <w:rPr>
                <w:color w:val="auto"/>
              </w:rPr>
            </w:pPr>
            <w:r>
              <w:rPr>
                <w:rFonts w:hint="eastAsia"/>
                <w:color w:val="auto"/>
              </w:rPr>
              <w:t>对图书馆已预订，但因到货、出版推迟等不能及时到馆的图书，或取消出版的图书信息反馈能力、服务能力、服务态度。</w:t>
            </w:r>
          </w:p>
        </w:tc>
        <w:tc>
          <w:tcPr>
            <w:tcW w:w="634" w:type="dxa"/>
            <w:tcBorders>
              <w:top w:val="single" w:color="000000" w:sz="4" w:space="0"/>
              <w:left w:val="nil"/>
              <w:bottom w:val="single" w:color="000000" w:sz="4" w:space="0"/>
              <w:right w:val="single" w:color="000000" w:sz="4" w:space="0"/>
            </w:tcBorders>
            <w:vAlign w:val="center"/>
          </w:tcPr>
          <w:p w14:paraId="768AEDEC">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37B44C27">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5C71D8AB">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28DFB5A4">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1EA624CD">
            <w:pPr>
              <w:widowControl/>
              <w:jc w:val="center"/>
              <w:rPr>
                <w:rFonts w:ascii="仿宋_GB2312" w:hAnsi="仿宋_GB2312" w:eastAsia="仿宋_GB2312"/>
                <w:b/>
                <w:color w:val="auto"/>
                <w:sz w:val="24"/>
              </w:rPr>
            </w:pPr>
          </w:p>
        </w:tc>
      </w:tr>
      <w:tr w14:paraId="2EED276C">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57E1D853">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1FA7C2C9">
            <w:pPr>
              <w:rPr>
                <w:color w:val="auto"/>
              </w:rPr>
            </w:pPr>
            <w:r>
              <w:rPr>
                <w:rFonts w:hint="eastAsia"/>
                <w:color w:val="auto"/>
              </w:rPr>
              <w:t>对图书质量问题、与馆藏要求不符、与预订不符等原因退书的处理态度及处理速度。</w:t>
            </w:r>
          </w:p>
        </w:tc>
        <w:tc>
          <w:tcPr>
            <w:tcW w:w="634" w:type="dxa"/>
            <w:tcBorders>
              <w:top w:val="single" w:color="000000" w:sz="4" w:space="0"/>
              <w:left w:val="nil"/>
              <w:bottom w:val="single" w:color="000000" w:sz="4" w:space="0"/>
              <w:right w:val="single" w:color="000000" w:sz="4" w:space="0"/>
            </w:tcBorders>
            <w:vAlign w:val="center"/>
          </w:tcPr>
          <w:p w14:paraId="75C18544">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6B1FC84E">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0D4F337D">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48C72EAE">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13C7B868">
            <w:pPr>
              <w:widowControl/>
              <w:jc w:val="center"/>
              <w:rPr>
                <w:rFonts w:ascii="仿宋_GB2312" w:hAnsi="仿宋_GB2312" w:eastAsia="仿宋_GB2312"/>
                <w:b/>
                <w:color w:val="auto"/>
                <w:sz w:val="24"/>
              </w:rPr>
            </w:pPr>
          </w:p>
        </w:tc>
      </w:tr>
      <w:tr w14:paraId="240B1B2A">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6CC14A93">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6C5188C1">
            <w:pPr>
              <w:rPr>
                <w:color w:val="auto"/>
              </w:rPr>
            </w:pPr>
            <w:r>
              <w:rPr>
                <w:rFonts w:hint="eastAsia"/>
                <w:color w:val="auto"/>
              </w:rPr>
              <w:t>到馆图书的包装是否符合运输和方便装卸的要求，图书运送能力、搬运能力。</w:t>
            </w:r>
          </w:p>
        </w:tc>
        <w:tc>
          <w:tcPr>
            <w:tcW w:w="634" w:type="dxa"/>
            <w:tcBorders>
              <w:top w:val="single" w:color="000000" w:sz="4" w:space="0"/>
              <w:left w:val="nil"/>
              <w:bottom w:val="single" w:color="000000" w:sz="4" w:space="0"/>
              <w:right w:val="single" w:color="000000" w:sz="4" w:space="0"/>
            </w:tcBorders>
            <w:vAlign w:val="center"/>
          </w:tcPr>
          <w:p w14:paraId="335B116C">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5744C0B6">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65A36DDD">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375FB87D">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29587354">
            <w:pPr>
              <w:widowControl/>
              <w:jc w:val="center"/>
              <w:rPr>
                <w:rFonts w:ascii="仿宋_GB2312" w:hAnsi="仿宋_GB2312" w:eastAsia="仿宋_GB2312"/>
                <w:b/>
                <w:color w:val="auto"/>
                <w:sz w:val="24"/>
              </w:rPr>
            </w:pPr>
          </w:p>
        </w:tc>
      </w:tr>
      <w:tr w14:paraId="6030C4D3">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463648CD">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17C47C35">
            <w:pPr>
              <w:rPr>
                <w:color w:val="auto"/>
              </w:rPr>
            </w:pPr>
            <w:r>
              <w:rPr>
                <w:rFonts w:hint="eastAsia"/>
                <w:color w:val="auto"/>
              </w:rPr>
              <w:t>到馆服务相应时间；数据加工有专业人员，保质保量完成；差错率低，出现错误能及时改正。</w:t>
            </w:r>
          </w:p>
        </w:tc>
        <w:tc>
          <w:tcPr>
            <w:tcW w:w="634" w:type="dxa"/>
            <w:tcBorders>
              <w:top w:val="single" w:color="000000" w:sz="4" w:space="0"/>
              <w:left w:val="nil"/>
              <w:bottom w:val="single" w:color="000000" w:sz="4" w:space="0"/>
              <w:right w:val="single" w:color="000000" w:sz="4" w:space="0"/>
            </w:tcBorders>
            <w:vAlign w:val="center"/>
          </w:tcPr>
          <w:p w14:paraId="3F7A7442">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4DF61C1C">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3A3C7BFB">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47BB1DEC">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5A334EE6">
            <w:pPr>
              <w:widowControl/>
              <w:jc w:val="center"/>
              <w:rPr>
                <w:rFonts w:ascii="仿宋_GB2312" w:hAnsi="仿宋_GB2312" w:eastAsia="仿宋_GB2312"/>
                <w:b/>
                <w:color w:val="auto"/>
                <w:sz w:val="24"/>
              </w:rPr>
            </w:pPr>
          </w:p>
        </w:tc>
      </w:tr>
      <w:tr w14:paraId="5F511431">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4C3A96C1">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vAlign w:val="center"/>
          </w:tcPr>
          <w:p w14:paraId="50661AAE">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综 合 评 价</w:t>
            </w:r>
          </w:p>
        </w:tc>
        <w:tc>
          <w:tcPr>
            <w:tcW w:w="634" w:type="dxa"/>
            <w:tcBorders>
              <w:top w:val="single" w:color="000000" w:sz="4" w:space="0"/>
              <w:left w:val="nil"/>
              <w:bottom w:val="single" w:color="000000" w:sz="4" w:space="0"/>
              <w:right w:val="single" w:color="auto" w:sz="4" w:space="0"/>
            </w:tcBorders>
            <w:vAlign w:val="center"/>
          </w:tcPr>
          <w:p w14:paraId="72B45550">
            <w:pPr>
              <w:widowControl/>
              <w:jc w:val="center"/>
              <w:rPr>
                <w:rFonts w:ascii="仿宋_GB2312" w:hAnsi="仿宋_GB2312" w:eastAsia="仿宋_GB2312"/>
                <w:b/>
                <w:color w:val="auto"/>
                <w:sz w:val="24"/>
              </w:rPr>
            </w:pPr>
          </w:p>
        </w:tc>
        <w:tc>
          <w:tcPr>
            <w:tcW w:w="635" w:type="dxa"/>
            <w:tcBorders>
              <w:left w:val="single" w:color="auto" w:sz="4" w:space="0"/>
              <w:bottom w:val="single" w:color="auto" w:sz="4" w:space="0"/>
              <w:right w:val="single" w:color="auto" w:sz="4" w:space="0"/>
            </w:tcBorders>
          </w:tcPr>
          <w:p w14:paraId="41518A27">
            <w:pPr>
              <w:widowControl/>
              <w:jc w:val="center"/>
              <w:rPr>
                <w:rFonts w:ascii="仿宋_GB2312" w:hAnsi="仿宋_GB2312" w:eastAsia="仿宋_GB2312"/>
                <w:b/>
                <w:color w:val="auto"/>
                <w:sz w:val="24"/>
              </w:rPr>
            </w:pPr>
          </w:p>
        </w:tc>
        <w:tc>
          <w:tcPr>
            <w:tcW w:w="634" w:type="dxa"/>
            <w:tcBorders>
              <w:top w:val="single" w:color="000000" w:sz="4" w:space="0"/>
              <w:left w:val="single" w:color="auto" w:sz="4" w:space="0"/>
              <w:bottom w:val="single" w:color="000000" w:sz="4" w:space="0"/>
              <w:right w:val="single" w:color="auto" w:sz="4" w:space="0"/>
            </w:tcBorders>
            <w:vAlign w:val="center"/>
          </w:tcPr>
          <w:p w14:paraId="6D93E7B2">
            <w:pPr>
              <w:widowControl/>
              <w:jc w:val="center"/>
              <w:rPr>
                <w:rFonts w:ascii="仿宋_GB2312" w:hAnsi="仿宋_GB2312" w:eastAsia="仿宋_GB2312"/>
                <w:b/>
                <w:color w:val="auto"/>
                <w:sz w:val="24"/>
              </w:rPr>
            </w:pPr>
          </w:p>
        </w:tc>
        <w:tc>
          <w:tcPr>
            <w:tcW w:w="636" w:type="dxa"/>
            <w:tcBorders>
              <w:top w:val="single" w:color="000000" w:sz="4" w:space="0"/>
              <w:left w:val="single" w:color="auto" w:sz="4" w:space="0"/>
              <w:bottom w:val="single" w:color="000000" w:sz="4" w:space="0"/>
              <w:right w:val="single" w:color="000000" w:sz="4" w:space="0"/>
            </w:tcBorders>
            <w:vAlign w:val="center"/>
          </w:tcPr>
          <w:p w14:paraId="52640595">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6FB2DA23">
            <w:pPr>
              <w:widowControl/>
              <w:jc w:val="center"/>
              <w:rPr>
                <w:rFonts w:ascii="仿宋_GB2312" w:hAnsi="仿宋_GB2312" w:eastAsia="仿宋_GB2312"/>
                <w:b/>
                <w:color w:val="auto"/>
                <w:sz w:val="24"/>
              </w:rPr>
            </w:pPr>
          </w:p>
        </w:tc>
      </w:tr>
      <w:tr w14:paraId="259F5240">
        <w:tblPrEx>
          <w:tblCellMar>
            <w:top w:w="0" w:type="dxa"/>
            <w:left w:w="108" w:type="dxa"/>
            <w:bottom w:w="0" w:type="dxa"/>
            <w:right w:w="108" w:type="dxa"/>
          </w:tblCellMar>
        </w:tblPrEx>
        <w:trPr>
          <w:trHeight w:val="1280" w:hRule="atLeast"/>
        </w:trPr>
        <w:tc>
          <w:tcPr>
            <w:tcW w:w="1696" w:type="dxa"/>
            <w:tcBorders>
              <w:top w:val="single" w:color="000000" w:sz="4" w:space="0"/>
              <w:left w:val="single" w:color="000000" w:sz="4" w:space="0"/>
              <w:bottom w:val="single" w:color="000000" w:sz="4" w:space="0"/>
              <w:right w:val="single" w:color="000000" w:sz="4" w:space="0"/>
            </w:tcBorders>
            <w:vAlign w:val="center"/>
          </w:tcPr>
          <w:p w14:paraId="602ECA8E">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其他评价</w:t>
            </w:r>
          </w:p>
        </w:tc>
        <w:tc>
          <w:tcPr>
            <w:tcW w:w="7306" w:type="dxa"/>
            <w:gridSpan w:val="8"/>
            <w:tcBorders>
              <w:top w:val="single" w:color="000000" w:sz="4" w:space="0"/>
              <w:left w:val="nil"/>
              <w:bottom w:val="single" w:color="000000" w:sz="4" w:space="0"/>
              <w:right w:val="single" w:color="000000" w:sz="4" w:space="0"/>
            </w:tcBorders>
            <w:vAlign w:val="center"/>
          </w:tcPr>
          <w:p w14:paraId="7CBB7079">
            <w:pPr>
              <w:widowControl/>
              <w:rPr>
                <w:rFonts w:ascii="仿宋_GB2312" w:hAnsi="仿宋_GB2312" w:eastAsia="仿宋_GB2312"/>
                <w:b/>
                <w:color w:val="auto"/>
                <w:sz w:val="24"/>
              </w:rPr>
            </w:pPr>
          </w:p>
        </w:tc>
      </w:tr>
    </w:tbl>
    <w:p w14:paraId="315CCE49">
      <w:pPr>
        <w:rPr>
          <w:rFonts w:hint="eastAsia"/>
          <w:color w:val="auto"/>
          <w:lang w:val="en-US" w:eastAsia="zh-CN"/>
        </w:rPr>
      </w:pPr>
      <w:r>
        <w:rPr>
          <w:rFonts w:hint="eastAsia" w:ascii="仿宋_GB2312" w:hAnsi="仿宋_GB2312" w:eastAsia="仿宋_GB2312"/>
          <w:b/>
          <w:color w:val="auto"/>
          <w:sz w:val="24"/>
        </w:rPr>
        <w:t>备注：本评价表为投标供应商202</w:t>
      </w:r>
      <w:r>
        <w:rPr>
          <w:rFonts w:hint="eastAsia" w:ascii="仿宋_GB2312" w:hAnsi="仿宋_GB2312" w:eastAsia="仿宋_GB2312"/>
          <w:b/>
          <w:color w:val="auto"/>
          <w:sz w:val="24"/>
          <w:lang w:val="en-US" w:eastAsia="zh-CN"/>
        </w:rPr>
        <w:t>2</w:t>
      </w:r>
      <w:r>
        <w:rPr>
          <w:rFonts w:hint="eastAsia" w:ascii="仿宋_GB2312" w:hAnsi="仿宋_GB2312" w:eastAsia="仿宋_GB2312"/>
          <w:b/>
          <w:color w:val="auto"/>
          <w:sz w:val="24"/>
        </w:rPr>
        <w:t>年以来供书高校图书馆给予的评价，评价内容打√即可。须提供调查表、中标通知书、合同复印件加盖公章佐证。</w:t>
      </w:r>
    </w:p>
    <w:p w14:paraId="6EB8F0FE">
      <w:pPr>
        <w:pStyle w:val="6"/>
        <w:ind w:left="0" w:firstLine="0"/>
        <w:rPr>
          <w:color w:val="auto"/>
        </w:rPr>
      </w:pPr>
      <w:bookmarkStart w:id="922" w:name="_Toc31020"/>
      <w:bookmarkStart w:id="923" w:name="_Toc4960"/>
      <w:bookmarkStart w:id="924" w:name="_Toc15050"/>
      <w:r>
        <w:rPr>
          <w:rFonts w:hint="eastAsia"/>
          <w:color w:val="auto"/>
        </w:rPr>
        <w:t>（</w:t>
      </w:r>
      <w:r>
        <w:rPr>
          <w:rFonts w:hint="eastAsia"/>
          <w:color w:val="auto"/>
          <w:lang w:val="en-US" w:eastAsia="zh-CN"/>
        </w:rPr>
        <w:t>12</w:t>
      </w:r>
      <w:r>
        <w:rPr>
          <w:rFonts w:hint="eastAsia"/>
          <w:color w:val="auto"/>
        </w:rPr>
        <w:t>）供应商同类合同一览表</w:t>
      </w:r>
      <w:bookmarkEnd w:id="922"/>
      <w:bookmarkEnd w:id="923"/>
      <w:bookmarkEnd w:id="924"/>
    </w:p>
    <w:bookmarkEnd w:id="903"/>
    <w:bookmarkEnd w:id="904"/>
    <w:bookmarkEnd w:id="905"/>
    <w:bookmarkEnd w:id="906"/>
    <w:bookmarkEnd w:id="907"/>
    <w:bookmarkEnd w:id="908"/>
    <w:bookmarkEnd w:id="909"/>
    <w:bookmarkEnd w:id="910"/>
    <w:bookmarkEnd w:id="911"/>
    <w:bookmarkEnd w:id="912"/>
    <w:p w14:paraId="3306B562">
      <w:pPr>
        <w:adjustRightInd w:val="0"/>
        <w:snapToGrid w:val="0"/>
        <w:spacing w:line="288" w:lineRule="auto"/>
        <w:jc w:val="center"/>
        <w:rPr>
          <w:rFonts w:hint="eastAsia"/>
          <w:color w:val="auto"/>
          <w:sz w:val="24"/>
          <w:szCs w:val="24"/>
        </w:rPr>
      </w:pPr>
      <w:bookmarkStart w:id="925" w:name="_Toc24099_WPSOffice_Level1"/>
      <w:bookmarkStart w:id="926" w:name="_Toc27859_WPSOffice_Level1"/>
      <w:bookmarkStart w:id="927" w:name="_Toc18264"/>
      <w:r>
        <w:rPr>
          <w:rFonts w:hint="eastAsia"/>
          <w:color w:val="auto"/>
          <w:sz w:val="24"/>
          <w:szCs w:val="24"/>
        </w:rPr>
        <w:t>同类合同一览表</w:t>
      </w:r>
      <w:bookmarkEnd w:id="925"/>
      <w:bookmarkEnd w:id="926"/>
    </w:p>
    <w:tbl>
      <w:tblPr>
        <w:tblStyle w:val="48"/>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6F55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2D4D8F2">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683EBEE7">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3C577479">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3AAD1FF7">
            <w:pPr>
              <w:adjustRightInd w:val="0"/>
              <w:snapToGrid w:val="0"/>
              <w:spacing w:line="288" w:lineRule="auto"/>
              <w:jc w:val="center"/>
              <w:rPr>
                <w:color w:val="auto"/>
                <w:sz w:val="24"/>
                <w:szCs w:val="24"/>
              </w:rPr>
            </w:pPr>
            <w:r>
              <w:rPr>
                <w:rFonts w:hint="eastAsia"/>
                <w:color w:val="auto"/>
                <w:sz w:val="24"/>
                <w:szCs w:val="24"/>
              </w:rPr>
              <w:t>合同金额</w:t>
            </w:r>
          </w:p>
          <w:p w14:paraId="7E3C863C">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699D2A49">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5E47441C">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33BDA262">
            <w:pPr>
              <w:adjustRightInd w:val="0"/>
              <w:snapToGrid w:val="0"/>
              <w:spacing w:line="288" w:lineRule="auto"/>
              <w:jc w:val="center"/>
              <w:rPr>
                <w:color w:val="auto"/>
                <w:sz w:val="24"/>
                <w:szCs w:val="24"/>
              </w:rPr>
            </w:pPr>
            <w:r>
              <w:rPr>
                <w:rFonts w:hint="eastAsia"/>
                <w:color w:val="auto"/>
                <w:sz w:val="24"/>
                <w:szCs w:val="24"/>
              </w:rPr>
              <w:t>采购单位</w:t>
            </w:r>
          </w:p>
          <w:p w14:paraId="5C0333B3">
            <w:pPr>
              <w:adjustRightInd w:val="0"/>
              <w:snapToGrid w:val="0"/>
              <w:spacing w:line="288" w:lineRule="auto"/>
              <w:jc w:val="center"/>
              <w:rPr>
                <w:color w:val="auto"/>
                <w:sz w:val="24"/>
                <w:szCs w:val="24"/>
              </w:rPr>
            </w:pPr>
            <w:r>
              <w:rPr>
                <w:rFonts w:hint="eastAsia"/>
                <w:color w:val="auto"/>
                <w:sz w:val="24"/>
                <w:szCs w:val="24"/>
              </w:rPr>
              <w:t>联系人及电话</w:t>
            </w:r>
          </w:p>
        </w:tc>
      </w:tr>
      <w:tr w14:paraId="77374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B3BA4AF">
            <w:pPr>
              <w:adjustRightInd w:val="0"/>
              <w:snapToGrid w:val="0"/>
              <w:spacing w:line="288" w:lineRule="auto"/>
              <w:jc w:val="center"/>
              <w:rPr>
                <w:color w:val="auto"/>
                <w:sz w:val="24"/>
                <w:szCs w:val="24"/>
              </w:rPr>
            </w:pPr>
          </w:p>
        </w:tc>
        <w:tc>
          <w:tcPr>
            <w:tcW w:w="1380" w:type="dxa"/>
            <w:vAlign w:val="center"/>
          </w:tcPr>
          <w:p w14:paraId="07775E04">
            <w:pPr>
              <w:adjustRightInd w:val="0"/>
              <w:snapToGrid w:val="0"/>
              <w:spacing w:line="288" w:lineRule="auto"/>
              <w:jc w:val="center"/>
              <w:rPr>
                <w:color w:val="auto"/>
                <w:sz w:val="24"/>
                <w:szCs w:val="24"/>
              </w:rPr>
            </w:pPr>
          </w:p>
        </w:tc>
        <w:tc>
          <w:tcPr>
            <w:tcW w:w="1510" w:type="dxa"/>
            <w:vAlign w:val="center"/>
          </w:tcPr>
          <w:p w14:paraId="77B96FA6">
            <w:pPr>
              <w:adjustRightInd w:val="0"/>
              <w:snapToGrid w:val="0"/>
              <w:spacing w:line="288" w:lineRule="auto"/>
              <w:jc w:val="center"/>
              <w:rPr>
                <w:color w:val="auto"/>
                <w:sz w:val="24"/>
                <w:szCs w:val="24"/>
              </w:rPr>
            </w:pPr>
          </w:p>
        </w:tc>
        <w:tc>
          <w:tcPr>
            <w:tcW w:w="1256" w:type="dxa"/>
            <w:vAlign w:val="center"/>
          </w:tcPr>
          <w:p w14:paraId="2F102C46">
            <w:pPr>
              <w:adjustRightInd w:val="0"/>
              <w:snapToGrid w:val="0"/>
              <w:spacing w:line="288" w:lineRule="auto"/>
              <w:jc w:val="center"/>
              <w:rPr>
                <w:color w:val="auto"/>
                <w:sz w:val="24"/>
                <w:szCs w:val="24"/>
              </w:rPr>
            </w:pPr>
          </w:p>
        </w:tc>
        <w:tc>
          <w:tcPr>
            <w:tcW w:w="732" w:type="dxa"/>
            <w:vAlign w:val="center"/>
          </w:tcPr>
          <w:p w14:paraId="6D1EC117">
            <w:pPr>
              <w:adjustRightInd w:val="0"/>
              <w:snapToGrid w:val="0"/>
              <w:spacing w:line="288" w:lineRule="auto"/>
              <w:jc w:val="center"/>
              <w:rPr>
                <w:color w:val="auto"/>
                <w:sz w:val="24"/>
                <w:szCs w:val="24"/>
              </w:rPr>
            </w:pPr>
          </w:p>
        </w:tc>
        <w:tc>
          <w:tcPr>
            <w:tcW w:w="1005" w:type="dxa"/>
            <w:vAlign w:val="center"/>
          </w:tcPr>
          <w:p w14:paraId="64DAAD0E">
            <w:pPr>
              <w:adjustRightInd w:val="0"/>
              <w:snapToGrid w:val="0"/>
              <w:spacing w:line="288" w:lineRule="auto"/>
              <w:jc w:val="center"/>
              <w:rPr>
                <w:color w:val="auto"/>
                <w:sz w:val="24"/>
                <w:szCs w:val="24"/>
              </w:rPr>
            </w:pPr>
          </w:p>
        </w:tc>
        <w:tc>
          <w:tcPr>
            <w:tcW w:w="1675" w:type="dxa"/>
            <w:vAlign w:val="center"/>
          </w:tcPr>
          <w:p w14:paraId="60955691">
            <w:pPr>
              <w:adjustRightInd w:val="0"/>
              <w:snapToGrid w:val="0"/>
              <w:spacing w:line="288" w:lineRule="auto"/>
              <w:jc w:val="center"/>
              <w:rPr>
                <w:color w:val="auto"/>
                <w:sz w:val="24"/>
                <w:szCs w:val="24"/>
              </w:rPr>
            </w:pPr>
          </w:p>
        </w:tc>
      </w:tr>
      <w:tr w14:paraId="61ACE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74049C8">
            <w:pPr>
              <w:adjustRightInd w:val="0"/>
              <w:snapToGrid w:val="0"/>
              <w:spacing w:line="288" w:lineRule="auto"/>
              <w:jc w:val="center"/>
              <w:rPr>
                <w:color w:val="auto"/>
                <w:sz w:val="24"/>
                <w:szCs w:val="24"/>
              </w:rPr>
            </w:pPr>
          </w:p>
        </w:tc>
        <w:tc>
          <w:tcPr>
            <w:tcW w:w="1380" w:type="dxa"/>
            <w:vAlign w:val="center"/>
          </w:tcPr>
          <w:p w14:paraId="4BFF839D">
            <w:pPr>
              <w:adjustRightInd w:val="0"/>
              <w:snapToGrid w:val="0"/>
              <w:spacing w:line="288" w:lineRule="auto"/>
              <w:jc w:val="center"/>
              <w:rPr>
                <w:color w:val="auto"/>
                <w:sz w:val="24"/>
                <w:szCs w:val="24"/>
              </w:rPr>
            </w:pPr>
          </w:p>
        </w:tc>
        <w:tc>
          <w:tcPr>
            <w:tcW w:w="1510" w:type="dxa"/>
            <w:vAlign w:val="center"/>
          </w:tcPr>
          <w:p w14:paraId="15CAB224">
            <w:pPr>
              <w:adjustRightInd w:val="0"/>
              <w:snapToGrid w:val="0"/>
              <w:spacing w:line="288" w:lineRule="auto"/>
              <w:jc w:val="center"/>
              <w:rPr>
                <w:color w:val="auto"/>
                <w:sz w:val="24"/>
                <w:szCs w:val="24"/>
              </w:rPr>
            </w:pPr>
          </w:p>
        </w:tc>
        <w:tc>
          <w:tcPr>
            <w:tcW w:w="1256" w:type="dxa"/>
            <w:vAlign w:val="center"/>
          </w:tcPr>
          <w:p w14:paraId="264466C8">
            <w:pPr>
              <w:adjustRightInd w:val="0"/>
              <w:snapToGrid w:val="0"/>
              <w:spacing w:line="288" w:lineRule="auto"/>
              <w:jc w:val="center"/>
              <w:rPr>
                <w:color w:val="auto"/>
                <w:sz w:val="24"/>
                <w:szCs w:val="24"/>
              </w:rPr>
            </w:pPr>
          </w:p>
        </w:tc>
        <w:tc>
          <w:tcPr>
            <w:tcW w:w="732" w:type="dxa"/>
            <w:vAlign w:val="center"/>
          </w:tcPr>
          <w:p w14:paraId="5F0A0CA8">
            <w:pPr>
              <w:adjustRightInd w:val="0"/>
              <w:snapToGrid w:val="0"/>
              <w:spacing w:line="288" w:lineRule="auto"/>
              <w:jc w:val="center"/>
              <w:rPr>
                <w:color w:val="auto"/>
                <w:sz w:val="24"/>
                <w:szCs w:val="24"/>
              </w:rPr>
            </w:pPr>
          </w:p>
        </w:tc>
        <w:tc>
          <w:tcPr>
            <w:tcW w:w="1005" w:type="dxa"/>
            <w:vAlign w:val="center"/>
          </w:tcPr>
          <w:p w14:paraId="66898C51">
            <w:pPr>
              <w:adjustRightInd w:val="0"/>
              <w:snapToGrid w:val="0"/>
              <w:spacing w:line="288" w:lineRule="auto"/>
              <w:jc w:val="center"/>
              <w:rPr>
                <w:color w:val="auto"/>
                <w:sz w:val="24"/>
                <w:szCs w:val="24"/>
              </w:rPr>
            </w:pPr>
          </w:p>
        </w:tc>
        <w:tc>
          <w:tcPr>
            <w:tcW w:w="1675" w:type="dxa"/>
            <w:vAlign w:val="center"/>
          </w:tcPr>
          <w:p w14:paraId="43FD1D9C">
            <w:pPr>
              <w:adjustRightInd w:val="0"/>
              <w:snapToGrid w:val="0"/>
              <w:spacing w:line="288" w:lineRule="auto"/>
              <w:jc w:val="center"/>
              <w:rPr>
                <w:color w:val="auto"/>
                <w:sz w:val="24"/>
                <w:szCs w:val="24"/>
              </w:rPr>
            </w:pPr>
          </w:p>
        </w:tc>
      </w:tr>
      <w:tr w14:paraId="531B9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9169DD6">
            <w:pPr>
              <w:adjustRightInd w:val="0"/>
              <w:snapToGrid w:val="0"/>
              <w:spacing w:line="288" w:lineRule="auto"/>
              <w:jc w:val="center"/>
              <w:rPr>
                <w:color w:val="auto"/>
                <w:sz w:val="24"/>
                <w:szCs w:val="24"/>
              </w:rPr>
            </w:pPr>
          </w:p>
        </w:tc>
        <w:tc>
          <w:tcPr>
            <w:tcW w:w="1380" w:type="dxa"/>
            <w:vAlign w:val="center"/>
          </w:tcPr>
          <w:p w14:paraId="42DC7CB7">
            <w:pPr>
              <w:adjustRightInd w:val="0"/>
              <w:snapToGrid w:val="0"/>
              <w:spacing w:line="288" w:lineRule="auto"/>
              <w:jc w:val="center"/>
              <w:rPr>
                <w:color w:val="auto"/>
                <w:sz w:val="24"/>
                <w:szCs w:val="24"/>
              </w:rPr>
            </w:pPr>
          </w:p>
        </w:tc>
        <w:tc>
          <w:tcPr>
            <w:tcW w:w="1510" w:type="dxa"/>
            <w:vAlign w:val="center"/>
          </w:tcPr>
          <w:p w14:paraId="73F702CE">
            <w:pPr>
              <w:adjustRightInd w:val="0"/>
              <w:snapToGrid w:val="0"/>
              <w:spacing w:line="288" w:lineRule="auto"/>
              <w:jc w:val="center"/>
              <w:rPr>
                <w:color w:val="auto"/>
                <w:sz w:val="24"/>
                <w:szCs w:val="24"/>
              </w:rPr>
            </w:pPr>
          </w:p>
        </w:tc>
        <w:tc>
          <w:tcPr>
            <w:tcW w:w="1256" w:type="dxa"/>
            <w:vAlign w:val="center"/>
          </w:tcPr>
          <w:p w14:paraId="0F8659BE">
            <w:pPr>
              <w:adjustRightInd w:val="0"/>
              <w:snapToGrid w:val="0"/>
              <w:spacing w:line="288" w:lineRule="auto"/>
              <w:jc w:val="center"/>
              <w:rPr>
                <w:color w:val="auto"/>
                <w:sz w:val="24"/>
                <w:szCs w:val="24"/>
              </w:rPr>
            </w:pPr>
          </w:p>
        </w:tc>
        <w:tc>
          <w:tcPr>
            <w:tcW w:w="732" w:type="dxa"/>
            <w:vAlign w:val="center"/>
          </w:tcPr>
          <w:p w14:paraId="18C5A301">
            <w:pPr>
              <w:adjustRightInd w:val="0"/>
              <w:snapToGrid w:val="0"/>
              <w:spacing w:line="288" w:lineRule="auto"/>
              <w:jc w:val="center"/>
              <w:rPr>
                <w:color w:val="auto"/>
                <w:sz w:val="24"/>
                <w:szCs w:val="24"/>
              </w:rPr>
            </w:pPr>
          </w:p>
        </w:tc>
        <w:tc>
          <w:tcPr>
            <w:tcW w:w="1005" w:type="dxa"/>
            <w:vAlign w:val="center"/>
          </w:tcPr>
          <w:p w14:paraId="34E2FBB4">
            <w:pPr>
              <w:adjustRightInd w:val="0"/>
              <w:snapToGrid w:val="0"/>
              <w:spacing w:line="288" w:lineRule="auto"/>
              <w:jc w:val="center"/>
              <w:rPr>
                <w:color w:val="auto"/>
                <w:sz w:val="24"/>
                <w:szCs w:val="24"/>
              </w:rPr>
            </w:pPr>
          </w:p>
        </w:tc>
        <w:tc>
          <w:tcPr>
            <w:tcW w:w="1675" w:type="dxa"/>
            <w:vAlign w:val="center"/>
          </w:tcPr>
          <w:p w14:paraId="13BF5282">
            <w:pPr>
              <w:adjustRightInd w:val="0"/>
              <w:snapToGrid w:val="0"/>
              <w:spacing w:line="288" w:lineRule="auto"/>
              <w:jc w:val="center"/>
              <w:rPr>
                <w:color w:val="auto"/>
                <w:sz w:val="24"/>
                <w:szCs w:val="24"/>
              </w:rPr>
            </w:pPr>
          </w:p>
        </w:tc>
      </w:tr>
      <w:tr w14:paraId="79B90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4CAB1E9">
            <w:pPr>
              <w:adjustRightInd w:val="0"/>
              <w:snapToGrid w:val="0"/>
              <w:spacing w:line="288" w:lineRule="auto"/>
              <w:jc w:val="center"/>
              <w:rPr>
                <w:color w:val="auto"/>
                <w:sz w:val="24"/>
                <w:szCs w:val="24"/>
              </w:rPr>
            </w:pPr>
          </w:p>
        </w:tc>
        <w:tc>
          <w:tcPr>
            <w:tcW w:w="1380" w:type="dxa"/>
            <w:vAlign w:val="center"/>
          </w:tcPr>
          <w:p w14:paraId="70C957F3">
            <w:pPr>
              <w:adjustRightInd w:val="0"/>
              <w:snapToGrid w:val="0"/>
              <w:spacing w:line="288" w:lineRule="auto"/>
              <w:jc w:val="center"/>
              <w:rPr>
                <w:color w:val="auto"/>
                <w:sz w:val="24"/>
                <w:szCs w:val="24"/>
              </w:rPr>
            </w:pPr>
          </w:p>
        </w:tc>
        <w:tc>
          <w:tcPr>
            <w:tcW w:w="1510" w:type="dxa"/>
            <w:vAlign w:val="center"/>
          </w:tcPr>
          <w:p w14:paraId="789F3393">
            <w:pPr>
              <w:adjustRightInd w:val="0"/>
              <w:snapToGrid w:val="0"/>
              <w:spacing w:line="288" w:lineRule="auto"/>
              <w:jc w:val="center"/>
              <w:rPr>
                <w:color w:val="auto"/>
                <w:sz w:val="24"/>
                <w:szCs w:val="24"/>
              </w:rPr>
            </w:pPr>
          </w:p>
        </w:tc>
        <w:tc>
          <w:tcPr>
            <w:tcW w:w="1256" w:type="dxa"/>
            <w:vAlign w:val="center"/>
          </w:tcPr>
          <w:p w14:paraId="2317EC7E">
            <w:pPr>
              <w:adjustRightInd w:val="0"/>
              <w:snapToGrid w:val="0"/>
              <w:spacing w:line="288" w:lineRule="auto"/>
              <w:jc w:val="center"/>
              <w:rPr>
                <w:color w:val="auto"/>
                <w:sz w:val="24"/>
                <w:szCs w:val="24"/>
              </w:rPr>
            </w:pPr>
          </w:p>
        </w:tc>
        <w:tc>
          <w:tcPr>
            <w:tcW w:w="732" w:type="dxa"/>
            <w:vAlign w:val="center"/>
          </w:tcPr>
          <w:p w14:paraId="7F8C8278">
            <w:pPr>
              <w:adjustRightInd w:val="0"/>
              <w:snapToGrid w:val="0"/>
              <w:spacing w:line="288" w:lineRule="auto"/>
              <w:jc w:val="center"/>
              <w:rPr>
                <w:color w:val="auto"/>
                <w:sz w:val="24"/>
                <w:szCs w:val="24"/>
              </w:rPr>
            </w:pPr>
          </w:p>
        </w:tc>
        <w:tc>
          <w:tcPr>
            <w:tcW w:w="1005" w:type="dxa"/>
            <w:vAlign w:val="center"/>
          </w:tcPr>
          <w:p w14:paraId="660C2743">
            <w:pPr>
              <w:adjustRightInd w:val="0"/>
              <w:snapToGrid w:val="0"/>
              <w:spacing w:line="288" w:lineRule="auto"/>
              <w:jc w:val="center"/>
              <w:rPr>
                <w:color w:val="auto"/>
                <w:sz w:val="24"/>
                <w:szCs w:val="24"/>
              </w:rPr>
            </w:pPr>
          </w:p>
        </w:tc>
        <w:tc>
          <w:tcPr>
            <w:tcW w:w="1675" w:type="dxa"/>
            <w:vAlign w:val="center"/>
          </w:tcPr>
          <w:p w14:paraId="5C335D3D">
            <w:pPr>
              <w:adjustRightInd w:val="0"/>
              <w:snapToGrid w:val="0"/>
              <w:spacing w:line="288" w:lineRule="auto"/>
              <w:jc w:val="center"/>
              <w:rPr>
                <w:color w:val="auto"/>
                <w:sz w:val="24"/>
                <w:szCs w:val="24"/>
              </w:rPr>
            </w:pPr>
          </w:p>
        </w:tc>
      </w:tr>
    </w:tbl>
    <w:p w14:paraId="4805B2DE">
      <w:pPr>
        <w:adjustRightInd w:val="0"/>
        <w:snapToGrid w:val="0"/>
        <w:spacing w:line="288" w:lineRule="auto"/>
        <w:rPr>
          <w:color w:val="auto"/>
          <w:sz w:val="24"/>
          <w:szCs w:val="24"/>
        </w:rPr>
      </w:pPr>
    </w:p>
    <w:p w14:paraId="4A24C539">
      <w:pPr>
        <w:adjustRightInd w:val="0"/>
        <w:snapToGrid w:val="0"/>
        <w:spacing w:line="288" w:lineRule="auto"/>
        <w:rPr>
          <w:color w:val="auto"/>
          <w:sz w:val="24"/>
          <w:szCs w:val="24"/>
        </w:rPr>
      </w:pPr>
      <w:r>
        <w:rPr>
          <w:rFonts w:hint="eastAsia"/>
          <w:color w:val="auto"/>
          <w:sz w:val="24"/>
          <w:szCs w:val="24"/>
        </w:rPr>
        <w:t>说明：</w:t>
      </w:r>
    </w:p>
    <w:p w14:paraId="7496650A">
      <w:pPr>
        <w:adjustRightInd w:val="0"/>
        <w:snapToGrid w:val="0"/>
        <w:spacing w:line="288" w:lineRule="auto"/>
        <w:rPr>
          <w:color w:val="auto"/>
          <w:sz w:val="24"/>
          <w:szCs w:val="24"/>
        </w:rPr>
      </w:pPr>
      <w:r>
        <w:rPr>
          <w:rFonts w:hint="eastAsia"/>
          <w:color w:val="auto"/>
          <w:sz w:val="24"/>
          <w:szCs w:val="24"/>
        </w:rPr>
        <w:t>1.供应商须提供上述业绩合同扫描件；</w:t>
      </w:r>
    </w:p>
    <w:p w14:paraId="009AE1B2">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21CF6E7A">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65A2D358">
      <w:pPr>
        <w:pStyle w:val="29"/>
        <w:spacing w:line="360" w:lineRule="auto"/>
        <w:ind w:left="-27" w:firstLine="424"/>
        <w:rPr>
          <w:rFonts w:ascii="Times New Roman" w:hAnsi="Times New Roman"/>
          <w:b/>
          <w:bCs/>
          <w:color w:val="auto"/>
          <w:sz w:val="24"/>
          <w:szCs w:val="24"/>
        </w:rPr>
      </w:pPr>
    </w:p>
    <w:p w14:paraId="4A09AF90">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2BA9E2B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1BC0597">
      <w:pPr>
        <w:spacing w:line="360" w:lineRule="auto"/>
        <w:rPr>
          <w:color w:val="auto"/>
          <w:sz w:val="24"/>
          <w:szCs w:val="24"/>
        </w:rPr>
      </w:pPr>
      <w:r>
        <w:rPr>
          <w:rFonts w:hint="eastAsia" w:ascii="宋体" w:hAnsi="宋体" w:cs="宋体"/>
          <w:color w:val="auto"/>
          <w:sz w:val="24"/>
        </w:rPr>
        <w:t>日期：      年   月   日</w:t>
      </w:r>
    </w:p>
    <w:p w14:paraId="6456A574">
      <w:pPr>
        <w:rPr>
          <w:rFonts w:ascii="黑体" w:hAnsi="黑体" w:eastAsia="黑体" w:cs="黑体"/>
          <w:color w:val="auto"/>
          <w:sz w:val="28"/>
          <w:szCs w:val="28"/>
        </w:rPr>
      </w:pPr>
      <w:bookmarkStart w:id="928" w:name="_Toc9100"/>
      <w:bookmarkStart w:id="929" w:name="_Toc27754"/>
      <w:bookmarkStart w:id="930" w:name="_Toc12743"/>
      <w:bookmarkStart w:id="931" w:name="_Toc21474"/>
      <w:bookmarkStart w:id="932" w:name="_Toc16499"/>
      <w:bookmarkStart w:id="933" w:name="_Toc20235"/>
      <w:bookmarkStart w:id="934" w:name="_Toc25395"/>
      <w:bookmarkStart w:id="935" w:name="_Toc28010"/>
      <w:bookmarkStart w:id="936" w:name="_Toc9428"/>
      <w:bookmarkStart w:id="937" w:name="_Toc27736"/>
      <w:bookmarkStart w:id="938" w:name="_Toc27924"/>
      <w:bookmarkStart w:id="939" w:name="_Toc24884"/>
      <w:bookmarkStart w:id="940" w:name="_Toc21901"/>
      <w:bookmarkStart w:id="941" w:name="_Toc29300"/>
      <w:bookmarkStart w:id="942" w:name="_Toc18122"/>
      <w:bookmarkStart w:id="943" w:name="_Toc32660"/>
      <w:bookmarkStart w:id="944" w:name="_Toc23972"/>
      <w:bookmarkStart w:id="945" w:name="_Toc9650"/>
      <w:bookmarkStart w:id="946" w:name="_Toc29974"/>
      <w:bookmarkStart w:id="947" w:name="_Toc26175"/>
      <w:bookmarkStart w:id="948" w:name="_Toc11435"/>
      <w:bookmarkStart w:id="949" w:name="_Toc6410"/>
      <w:bookmarkStart w:id="950" w:name="_Toc20421"/>
      <w:bookmarkStart w:id="951" w:name="_Toc22005"/>
      <w:bookmarkStart w:id="952" w:name="_Toc25847"/>
      <w:bookmarkStart w:id="953" w:name="_Toc5640"/>
      <w:bookmarkStart w:id="954" w:name="_Toc30618"/>
      <w:bookmarkStart w:id="955" w:name="_Toc1352"/>
      <w:bookmarkStart w:id="956" w:name="_Toc3809"/>
      <w:bookmarkStart w:id="957" w:name="_Toc31965"/>
      <w:bookmarkStart w:id="958" w:name="_Toc8383"/>
      <w:r>
        <w:rPr>
          <w:rFonts w:hint="eastAsia" w:ascii="黑体" w:hAnsi="黑体" w:eastAsia="黑体" w:cs="黑体"/>
          <w:color w:val="auto"/>
          <w:sz w:val="28"/>
          <w:szCs w:val="28"/>
        </w:rPr>
        <w:br w:type="page"/>
      </w:r>
    </w:p>
    <w:p w14:paraId="189EFE8A">
      <w:pPr>
        <w:pStyle w:val="6"/>
        <w:ind w:left="0" w:firstLine="0"/>
        <w:rPr>
          <w:color w:val="auto"/>
        </w:rPr>
      </w:pPr>
      <w:bookmarkStart w:id="959" w:name="_Toc29949"/>
      <w:bookmarkStart w:id="960" w:name="_Toc3832"/>
      <w:bookmarkStart w:id="961" w:name="_Toc20606"/>
      <w:r>
        <w:rPr>
          <w:rFonts w:hint="eastAsia"/>
          <w:color w:val="auto"/>
        </w:rPr>
        <w:t>（</w:t>
      </w:r>
      <w:r>
        <w:rPr>
          <w:rFonts w:hint="eastAsia"/>
          <w:color w:val="auto"/>
          <w:lang w:val="en-US" w:eastAsia="zh-CN"/>
        </w:rPr>
        <w:t>13</w:t>
      </w:r>
      <w:r>
        <w:rPr>
          <w:rFonts w:hint="eastAsia"/>
          <w:color w:val="auto"/>
        </w:rPr>
        <w:t>）</w:t>
      </w:r>
      <w:bookmarkEnd w:id="928"/>
      <w:bookmarkEnd w:id="929"/>
      <w:bookmarkEnd w:id="930"/>
      <w:r>
        <w:rPr>
          <w:rFonts w:hint="eastAsia"/>
          <w:color w:val="auto"/>
        </w:rPr>
        <w:t>详细技术和服务方案</w:t>
      </w:r>
      <w:bookmarkEnd w:id="931"/>
      <w:bookmarkEnd w:id="932"/>
      <w:bookmarkEnd w:id="933"/>
      <w:bookmarkEnd w:id="934"/>
      <w:bookmarkEnd w:id="935"/>
      <w:bookmarkEnd w:id="936"/>
      <w:bookmarkEnd w:id="937"/>
      <w:bookmarkEnd w:id="959"/>
      <w:bookmarkEnd w:id="960"/>
      <w:bookmarkEnd w:id="961"/>
    </w:p>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p w14:paraId="2F5FC581">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rPr>
        <w:t>包括图书的采购、包装、运输、交货、分类、加工、上架、验收）</w:t>
      </w:r>
    </w:p>
    <w:p w14:paraId="15C1C546">
      <w:pPr>
        <w:pStyle w:val="29"/>
        <w:snapToGrid w:val="0"/>
        <w:spacing w:line="440" w:lineRule="exact"/>
        <w:rPr>
          <w:rFonts w:asciiTheme="majorEastAsia" w:hAnsiTheme="majorEastAsia" w:eastAsiaTheme="majorEastAsia" w:cstheme="majorEastAsia"/>
          <w:color w:val="auto"/>
          <w:sz w:val="24"/>
          <w:szCs w:val="24"/>
        </w:rPr>
      </w:pPr>
    </w:p>
    <w:p w14:paraId="33BF0B56">
      <w:pPr>
        <w:pStyle w:val="29"/>
        <w:snapToGrid w:val="0"/>
        <w:spacing w:line="440" w:lineRule="exact"/>
        <w:rPr>
          <w:rFonts w:asciiTheme="majorEastAsia" w:hAnsiTheme="majorEastAsia" w:eastAsiaTheme="majorEastAsia" w:cstheme="majorEastAsia"/>
          <w:color w:val="auto"/>
          <w:sz w:val="24"/>
          <w:szCs w:val="24"/>
        </w:rPr>
      </w:pPr>
    </w:p>
    <w:p w14:paraId="3E63934F">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6C0CDAE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3D83FE2">
      <w:pPr>
        <w:spacing w:before="312" w:beforeLines="100" w:after="312" w:afterLines="100"/>
        <w:jc w:val="left"/>
        <w:rPr>
          <w:color w:val="auto"/>
          <w:sz w:val="24"/>
          <w:szCs w:val="24"/>
        </w:rPr>
      </w:pPr>
      <w:r>
        <w:rPr>
          <w:rFonts w:hint="eastAsia" w:ascii="宋体" w:hAnsi="宋体" w:cs="宋体"/>
          <w:color w:val="auto"/>
          <w:sz w:val="24"/>
        </w:rPr>
        <w:t>日期：      年   月   日</w:t>
      </w:r>
    </w:p>
    <w:p w14:paraId="43C59941">
      <w:pPr>
        <w:rPr>
          <w:rFonts w:hint="eastAsia"/>
          <w:color w:val="auto"/>
          <w:szCs w:val="22"/>
          <w:lang w:eastAsia="zh-CN"/>
        </w:rPr>
      </w:pPr>
      <w:r>
        <w:rPr>
          <w:rFonts w:hint="eastAsia"/>
          <w:color w:val="auto"/>
          <w:szCs w:val="22"/>
          <w:lang w:eastAsia="zh-CN"/>
        </w:rPr>
        <w:br w:type="page"/>
      </w:r>
    </w:p>
    <w:p w14:paraId="7FCA95C1">
      <w:pPr>
        <w:pStyle w:val="6"/>
        <w:numPr>
          <w:ilvl w:val="0"/>
          <w:numId w:val="0"/>
        </w:numPr>
        <w:ind w:leftChars="0"/>
        <w:rPr>
          <w:rFonts w:hint="eastAsia"/>
          <w:color w:val="auto"/>
          <w:szCs w:val="22"/>
        </w:rPr>
      </w:pPr>
      <w:bookmarkStart w:id="962" w:name="_Toc10401"/>
      <w:bookmarkStart w:id="963" w:name="_Toc14740"/>
      <w:bookmarkStart w:id="964" w:name="_Toc12659"/>
      <w:r>
        <w:rPr>
          <w:rFonts w:hint="eastAsia"/>
          <w:color w:val="auto"/>
          <w:szCs w:val="22"/>
          <w:lang w:eastAsia="zh-CN"/>
        </w:rPr>
        <w:t>（</w:t>
      </w:r>
      <w:r>
        <w:rPr>
          <w:rFonts w:hint="eastAsia"/>
          <w:color w:val="auto"/>
          <w:szCs w:val="22"/>
          <w:lang w:val="en-US" w:eastAsia="zh-CN"/>
        </w:rPr>
        <w:t>14）</w:t>
      </w:r>
      <w:r>
        <w:rPr>
          <w:rFonts w:hint="eastAsia"/>
          <w:color w:val="auto"/>
          <w:szCs w:val="22"/>
        </w:rPr>
        <w:t>售后服务承诺函</w:t>
      </w:r>
      <w:bookmarkEnd w:id="962"/>
      <w:bookmarkEnd w:id="963"/>
      <w:bookmarkEnd w:id="964"/>
    </w:p>
    <w:p w14:paraId="1B5DE19E">
      <w:pPr>
        <w:snapToGrid w:val="0"/>
        <w:spacing w:before="240" w:beforeLines="100" w:after="240" w:afterLines="100"/>
        <w:jc w:val="center"/>
        <w:rPr>
          <w:rFonts w:ascii="黑体" w:hAnsi="黑体" w:eastAsia="仿宋_GB2312" w:cs="黑体"/>
          <w:color w:val="auto"/>
          <w:sz w:val="28"/>
          <w:szCs w:val="28"/>
        </w:rPr>
      </w:pPr>
      <w:bookmarkStart w:id="965" w:name="_Toc9959_WPSOffice_Level2"/>
      <w:r>
        <w:rPr>
          <w:rFonts w:hint="eastAsia" w:eastAsia="仿宋_GB2312"/>
          <w:b/>
          <w:color w:val="auto"/>
          <w:sz w:val="28"/>
          <w:szCs w:val="28"/>
        </w:rPr>
        <w:t>售后服务承诺函</w:t>
      </w:r>
      <w:bookmarkEnd w:id="965"/>
    </w:p>
    <w:tbl>
      <w:tblPr>
        <w:tblStyle w:val="47"/>
        <w:tblW w:w="9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4556"/>
        <w:gridCol w:w="4140"/>
      </w:tblGrid>
      <w:tr w14:paraId="2EB7F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6CF0E845">
            <w:pPr>
              <w:spacing w:line="460" w:lineRule="exact"/>
              <w:jc w:val="center"/>
              <w:rPr>
                <w:rFonts w:ascii="黑体" w:eastAsia="黑体"/>
                <w:color w:val="auto"/>
                <w:sz w:val="24"/>
                <w:szCs w:val="24"/>
              </w:rPr>
            </w:pPr>
            <w:r>
              <w:rPr>
                <w:rFonts w:hint="eastAsia" w:ascii="黑体" w:eastAsia="黑体"/>
                <w:color w:val="auto"/>
                <w:sz w:val="24"/>
                <w:szCs w:val="24"/>
              </w:rPr>
              <w:t>序号</w:t>
            </w:r>
          </w:p>
        </w:tc>
        <w:tc>
          <w:tcPr>
            <w:tcW w:w="4556" w:type="dxa"/>
          </w:tcPr>
          <w:p w14:paraId="07D274DD">
            <w:pPr>
              <w:spacing w:line="720" w:lineRule="exact"/>
              <w:jc w:val="center"/>
              <w:rPr>
                <w:rFonts w:ascii="黑体" w:eastAsia="黑体"/>
                <w:color w:val="auto"/>
                <w:sz w:val="24"/>
                <w:szCs w:val="24"/>
              </w:rPr>
            </w:pPr>
            <w:r>
              <w:rPr>
                <w:rFonts w:hint="eastAsia" w:ascii="黑体" w:eastAsia="黑体"/>
                <w:color w:val="auto"/>
                <w:sz w:val="24"/>
                <w:szCs w:val="24"/>
              </w:rPr>
              <w:t>内容</w:t>
            </w:r>
          </w:p>
        </w:tc>
        <w:tc>
          <w:tcPr>
            <w:tcW w:w="4140" w:type="dxa"/>
          </w:tcPr>
          <w:p w14:paraId="599B82B4">
            <w:pPr>
              <w:spacing w:line="720" w:lineRule="exact"/>
              <w:jc w:val="center"/>
              <w:rPr>
                <w:rFonts w:ascii="黑体" w:eastAsia="黑体"/>
                <w:color w:val="auto"/>
                <w:sz w:val="24"/>
                <w:szCs w:val="24"/>
              </w:rPr>
            </w:pPr>
            <w:r>
              <w:rPr>
                <w:rFonts w:hint="eastAsia" w:ascii="黑体" w:eastAsia="黑体"/>
                <w:color w:val="auto"/>
                <w:sz w:val="24"/>
                <w:szCs w:val="24"/>
              </w:rPr>
              <w:t>承诺</w:t>
            </w:r>
          </w:p>
        </w:tc>
      </w:tr>
      <w:tr w14:paraId="591CC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5B202F19">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w:t>
            </w:r>
          </w:p>
        </w:tc>
        <w:tc>
          <w:tcPr>
            <w:tcW w:w="4556" w:type="dxa"/>
          </w:tcPr>
          <w:p w14:paraId="4B5FDBCB">
            <w:pPr>
              <w:spacing w:line="460" w:lineRule="exact"/>
              <w:rPr>
                <w:rFonts w:ascii="楷体_GB2312" w:eastAsia="楷体_GB2312"/>
                <w:color w:val="auto"/>
                <w:sz w:val="24"/>
                <w:szCs w:val="24"/>
              </w:rPr>
            </w:pPr>
            <w:r>
              <w:rPr>
                <w:rFonts w:hint="eastAsia" w:ascii="楷体_GB2312" w:eastAsia="楷体_GB2312"/>
                <w:color w:val="auto"/>
                <w:sz w:val="24"/>
                <w:szCs w:val="24"/>
              </w:rPr>
              <w:t>图书质量</w:t>
            </w:r>
          </w:p>
        </w:tc>
        <w:tc>
          <w:tcPr>
            <w:tcW w:w="4140" w:type="dxa"/>
          </w:tcPr>
          <w:p w14:paraId="0DB3CDC0">
            <w:pPr>
              <w:spacing w:line="460" w:lineRule="exact"/>
              <w:rPr>
                <w:rFonts w:ascii="楷体_GB2312" w:eastAsia="楷体_GB2312"/>
                <w:color w:val="auto"/>
                <w:sz w:val="24"/>
                <w:szCs w:val="24"/>
              </w:rPr>
            </w:pPr>
          </w:p>
        </w:tc>
      </w:tr>
      <w:tr w14:paraId="64D0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07273325">
            <w:pPr>
              <w:spacing w:line="720" w:lineRule="exact"/>
              <w:jc w:val="center"/>
              <w:rPr>
                <w:rFonts w:ascii="楷体_GB2312" w:eastAsia="楷体_GB2312"/>
                <w:color w:val="auto"/>
                <w:sz w:val="24"/>
                <w:szCs w:val="24"/>
              </w:rPr>
            </w:pPr>
            <w:r>
              <w:rPr>
                <w:rFonts w:hint="eastAsia" w:ascii="楷体_GB2312" w:eastAsia="楷体_GB2312"/>
                <w:color w:val="auto"/>
                <w:sz w:val="24"/>
                <w:szCs w:val="24"/>
              </w:rPr>
              <w:t>2</w:t>
            </w:r>
          </w:p>
        </w:tc>
        <w:tc>
          <w:tcPr>
            <w:tcW w:w="4556" w:type="dxa"/>
          </w:tcPr>
          <w:p w14:paraId="501C592B">
            <w:pPr>
              <w:spacing w:line="460" w:lineRule="exact"/>
              <w:rPr>
                <w:rFonts w:ascii="楷体_GB2312" w:eastAsia="楷体_GB2312"/>
                <w:color w:val="auto"/>
                <w:sz w:val="24"/>
                <w:szCs w:val="24"/>
              </w:rPr>
            </w:pPr>
            <w:r>
              <w:rPr>
                <w:rFonts w:hint="eastAsia" w:ascii="楷体_GB2312" w:eastAsia="楷体_GB2312"/>
                <w:color w:val="auto"/>
                <w:sz w:val="24"/>
                <w:szCs w:val="24"/>
              </w:rPr>
              <w:t>采访书目信息的准确、覆盖程度和时效性</w:t>
            </w:r>
          </w:p>
        </w:tc>
        <w:tc>
          <w:tcPr>
            <w:tcW w:w="4140" w:type="dxa"/>
          </w:tcPr>
          <w:p w14:paraId="28DB9E80">
            <w:pPr>
              <w:spacing w:line="460" w:lineRule="exact"/>
              <w:rPr>
                <w:rFonts w:ascii="楷体_GB2312" w:eastAsia="楷体_GB2312"/>
                <w:color w:val="auto"/>
                <w:sz w:val="24"/>
                <w:szCs w:val="24"/>
              </w:rPr>
            </w:pPr>
          </w:p>
        </w:tc>
      </w:tr>
      <w:tr w14:paraId="1B754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8" w:type="dxa"/>
          </w:tcPr>
          <w:p w14:paraId="57B6B098">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3</w:t>
            </w:r>
          </w:p>
        </w:tc>
        <w:tc>
          <w:tcPr>
            <w:tcW w:w="4556" w:type="dxa"/>
          </w:tcPr>
          <w:p w14:paraId="33492D03">
            <w:pPr>
              <w:spacing w:line="460" w:lineRule="exact"/>
              <w:rPr>
                <w:rFonts w:ascii="楷体_GB2312" w:eastAsia="楷体_GB2312"/>
                <w:color w:val="auto"/>
                <w:sz w:val="24"/>
                <w:szCs w:val="24"/>
              </w:rPr>
            </w:pPr>
            <w:r>
              <w:rPr>
                <w:rFonts w:hint="eastAsia" w:ascii="楷体_GB2312" w:eastAsia="楷体_GB2312"/>
                <w:color w:val="auto"/>
                <w:sz w:val="24"/>
                <w:szCs w:val="24"/>
              </w:rPr>
              <w:t>采访数据的完整程度</w:t>
            </w:r>
          </w:p>
        </w:tc>
        <w:tc>
          <w:tcPr>
            <w:tcW w:w="4140" w:type="dxa"/>
          </w:tcPr>
          <w:p w14:paraId="7B7FE2D2">
            <w:pPr>
              <w:spacing w:line="460" w:lineRule="exact"/>
              <w:rPr>
                <w:rFonts w:ascii="楷体_GB2312" w:eastAsia="楷体_GB2312"/>
                <w:color w:val="auto"/>
                <w:sz w:val="24"/>
                <w:szCs w:val="24"/>
              </w:rPr>
            </w:pPr>
          </w:p>
        </w:tc>
      </w:tr>
      <w:tr w14:paraId="56E46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46A5F4F9">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4</w:t>
            </w:r>
          </w:p>
        </w:tc>
        <w:tc>
          <w:tcPr>
            <w:tcW w:w="4556" w:type="dxa"/>
          </w:tcPr>
          <w:p w14:paraId="051DC3E0">
            <w:pPr>
              <w:spacing w:line="460" w:lineRule="exact"/>
              <w:rPr>
                <w:rFonts w:ascii="楷体_GB2312" w:eastAsia="楷体_GB2312"/>
                <w:color w:val="auto"/>
                <w:sz w:val="24"/>
                <w:szCs w:val="24"/>
              </w:rPr>
            </w:pPr>
            <w:r>
              <w:rPr>
                <w:rFonts w:hint="eastAsia" w:ascii="楷体_GB2312" w:eastAsia="楷体_GB2312"/>
                <w:color w:val="auto"/>
                <w:sz w:val="24"/>
                <w:szCs w:val="24"/>
              </w:rPr>
              <w:t>编目数据的完整程度</w:t>
            </w:r>
          </w:p>
        </w:tc>
        <w:tc>
          <w:tcPr>
            <w:tcW w:w="4140" w:type="dxa"/>
          </w:tcPr>
          <w:p w14:paraId="2B125186">
            <w:pPr>
              <w:spacing w:line="460" w:lineRule="exact"/>
              <w:rPr>
                <w:rFonts w:ascii="楷体_GB2312" w:eastAsia="楷体_GB2312"/>
                <w:color w:val="auto"/>
                <w:sz w:val="24"/>
                <w:szCs w:val="24"/>
              </w:rPr>
            </w:pPr>
          </w:p>
        </w:tc>
      </w:tr>
      <w:tr w14:paraId="19D8E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7F6021F8">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5</w:t>
            </w:r>
          </w:p>
        </w:tc>
        <w:tc>
          <w:tcPr>
            <w:tcW w:w="4556" w:type="dxa"/>
          </w:tcPr>
          <w:p w14:paraId="27B20ACB">
            <w:pPr>
              <w:spacing w:line="460" w:lineRule="exact"/>
              <w:rPr>
                <w:rFonts w:ascii="楷体_GB2312" w:eastAsia="楷体_GB2312"/>
                <w:color w:val="auto"/>
                <w:sz w:val="24"/>
                <w:szCs w:val="24"/>
              </w:rPr>
            </w:pPr>
            <w:r>
              <w:rPr>
                <w:rFonts w:hint="eastAsia" w:ascii="楷体_GB2312" w:eastAsia="楷体_GB2312"/>
                <w:color w:val="auto"/>
                <w:sz w:val="24"/>
                <w:szCs w:val="24"/>
              </w:rPr>
              <w:t>到书率</w:t>
            </w:r>
          </w:p>
        </w:tc>
        <w:tc>
          <w:tcPr>
            <w:tcW w:w="4140" w:type="dxa"/>
          </w:tcPr>
          <w:p w14:paraId="402B0BC6">
            <w:pPr>
              <w:spacing w:line="460" w:lineRule="exact"/>
              <w:rPr>
                <w:rFonts w:ascii="楷体_GB2312" w:eastAsia="楷体_GB2312"/>
                <w:color w:val="auto"/>
                <w:sz w:val="24"/>
                <w:szCs w:val="24"/>
              </w:rPr>
            </w:pPr>
          </w:p>
        </w:tc>
      </w:tr>
      <w:tr w14:paraId="7F971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4C3289D0">
            <w:pPr>
              <w:spacing w:line="720" w:lineRule="exact"/>
              <w:jc w:val="center"/>
              <w:rPr>
                <w:rFonts w:ascii="楷体_GB2312" w:eastAsia="楷体_GB2312"/>
                <w:color w:val="auto"/>
                <w:sz w:val="24"/>
                <w:szCs w:val="24"/>
              </w:rPr>
            </w:pPr>
            <w:r>
              <w:rPr>
                <w:rFonts w:hint="eastAsia" w:ascii="楷体_GB2312" w:eastAsia="楷体_GB2312"/>
                <w:color w:val="auto"/>
                <w:sz w:val="24"/>
                <w:szCs w:val="24"/>
              </w:rPr>
              <w:t>6</w:t>
            </w:r>
          </w:p>
        </w:tc>
        <w:tc>
          <w:tcPr>
            <w:tcW w:w="4556" w:type="dxa"/>
          </w:tcPr>
          <w:p w14:paraId="4BF2D848">
            <w:pPr>
              <w:spacing w:line="460" w:lineRule="exact"/>
              <w:rPr>
                <w:rFonts w:ascii="楷体_GB2312" w:eastAsia="楷体_GB2312"/>
                <w:color w:val="auto"/>
                <w:sz w:val="24"/>
                <w:szCs w:val="24"/>
              </w:rPr>
            </w:pPr>
            <w:r>
              <w:rPr>
                <w:rFonts w:hint="eastAsia" w:ascii="楷体_GB2312" w:eastAsia="楷体_GB2312"/>
                <w:color w:val="auto"/>
                <w:sz w:val="24"/>
                <w:szCs w:val="24"/>
              </w:rPr>
              <w:t>对图书馆自备书目采购及自定较窄主题采购的响应速度</w:t>
            </w:r>
          </w:p>
        </w:tc>
        <w:tc>
          <w:tcPr>
            <w:tcW w:w="4140" w:type="dxa"/>
          </w:tcPr>
          <w:p w14:paraId="41A1F5B2">
            <w:pPr>
              <w:spacing w:line="460" w:lineRule="exact"/>
              <w:rPr>
                <w:rFonts w:ascii="楷体_GB2312" w:eastAsia="楷体_GB2312"/>
                <w:color w:val="auto"/>
                <w:sz w:val="24"/>
                <w:szCs w:val="24"/>
              </w:rPr>
            </w:pPr>
          </w:p>
        </w:tc>
      </w:tr>
      <w:tr w14:paraId="39568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8" w:type="dxa"/>
          </w:tcPr>
          <w:p w14:paraId="22C70EAC">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7</w:t>
            </w:r>
          </w:p>
        </w:tc>
        <w:tc>
          <w:tcPr>
            <w:tcW w:w="4556" w:type="dxa"/>
          </w:tcPr>
          <w:p w14:paraId="0358A6F5">
            <w:pPr>
              <w:spacing w:line="460" w:lineRule="exact"/>
              <w:rPr>
                <w:rFonts w:ascii="楷体_GB2312" w:eastAsia="楷体_GB2312"/>
                <w:color w:val="auto"/>
                <w:sz w:val="24"/>
                <w:szCs w:val="24"/>
              </w:rPr>
            </w:pPr>
            <w:r>
              <w:rPr>
                <w:rFonts w:hint="eastAsia" w:ascii="楷体_GB2312" w:eastAsia="楷体_GB2312"/>
                <w:color w:val="auto"/>
                <w:sz w:val="24"/>
                <w:szCs w:val="24"/>
              </w:rPr>
              <w:t>对订单调整要求的反应能力</w:t>
            </w:r>
          </w:p>
        </w:tc>
        <w:tc>
          <w:tcPr>
            <w:tcW w:w="4140" w:type="dxa"/>
          </w:tcPr>
          <w:p w14:paraId="56C03405">
            <w:pPr>
              <w:spacing w:line="460" w:lineRule="exact"/>
              <w:rPr>
                <w:rFonts w:ascii="楷体_GB2312" w:eastAsia="楷体_GB2312"/>
                <w:color w:val="auto"/>
                <w:sz w:val="24"/>
                <w:szCs w:val="24"/>
              </w:rPr>
            </w:pPr>
          </w:p>
        </w:tc>
      </w:tr>
      <w:tr w14:paraId="1AD04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648" w:type="dxa"/>
          </w:tcPr>
          <w:p w14:paraId="773AF3D5">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8</w:t>
            </w:r>
          </w:p>
        </w:tc>
        <w:tc>
          <w:tcPr>
            <w:tcW w:w="4556" w:type="dxa"/>
          </w:tcPr>
          <w:p w14:paraId="31DAE95F">
            <w:pPr>
              <w:spacing w:line="460" w:lineRule="exact"/>
              <w:rPr>
                <w:rFonts w:ascii="楷体_GB2312" w:eastAsia="楷体_GB2312"/>
                <w:color w:val="auto"/>
                <w:sz w:val="24"/>
                <w:szCs w:val="24"/>
              </w:rPr>
            </w:pPr>
            <w:r>
              <w:rPr>
                <w:rFonts w:hint="eastAsia" w:ascii="楷体_GB2312" w:eastAsia="楷体_GB2312"/>
                <w:color w:val="auto"/>
                <w:sz w:val="24"/>
                <w:szCs w:val="24"/>
              </w:rPr>
              <w:t>对未能采购图书订单的处理</w:t>
            </w:r>
          </w:p>
        </w:tc>
        <w:tc>
          <w:tcPr>
            <w:tcW w:w="4140" w:type="dxa"/>
          </w:tcPr>
          <w:p w14:paraId="05AC8566">
            <w:pPr>
              <w:spacing w:line="460" w:lineRule="exact"/>
              <w:rPr>
                <w:rFonts w:ascii="楷体_GB2312" w:eastAsia="楷体_GB2312"/>
                <w:color w:val="auto"/>
                <w:sz w:val="24"/>
                <w:szCs w:val="24"/>
              </w:rPr>
            </w:pPr>
          </w:p>
        </w:tc>
      </w:tr>
      <w:tr w14:paraId="1391F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3F6B0321">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9</w:t>
            </w:r>
          </w:p>
        </w:tc>
        <w:tc>
          <w:tcPr>
            <w:tcW w:w="4556" w:type="dxa"/>
          </w:tcPr>
          <w:p w14:paraId="5C71B242">
            <w:pPr>
              <w:spacing w:line="460" w:lineRule="exact"/>
              <w:rPr>
                <w:rFonts w:ascii="楷体_GB2312" w:eastAsia="楷体_GB2312"/>
                <w:color w:val="auto"/>
                <w:sz w:val="24"/>
                <w:szCs w:val="24"/>
              </w:rPr>
            </w:pPr>
            <w:r>
              <w:rPr>
                <w:rFonts w:hint="eastAsia" w:ascii="楷体_GB2312" w:eastAsia="楷体_GB2312"/>
                <w:color w:val="auto"/>
                <w:sz w:val="24"/>
                <w:szCs w:val="24"/>
              </w:rPr>
              <w:t>退书的处理</w:t>
            </w:r>
          </w:p>
        </w:tc>
        <w:tc>
          <w:tcPr>
            <w:tcW w:w="4140" w:type="dxa"/>
          </w:tcPr>
          <w:p w14:paraId="1B978644">
            <w:pPr>
              <w:spacing w:line="460" w:lineRule="exact"/>
              <w:rPr>
                <w:rFonts w:ascii="楷体_GB2312" w:eastAsia="楷体_GB2312"/>
                <w:color w:val="auto"/>
                <w:sz w:val="24"/>
                <w:szCs w:val="24"/>
              </w:rPr>
            </w:pPr>
          </w:p>
        </w:tc>
      </w:tr>
      <w:tr w14:paraId="17EB1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4BB3953E">
            <w:pPr>
              <w:spacing w:line="720" w:lineRule="exact"/>
              <w:jc w:val="center"/>
              <w:rPr>
                <w:rFonts w:ascii="楷体_GB2312" w:eastAsia="楷体_GB2312"/>
                <w:color w:val="auto"/>
                <w:sz w:val="24"/>
                <w:szCs w:val="24"/>
              </w:rPr>
            </w:pPr>
            <w:r>
              <w:rPr>
                <w:rFonts w:hint="eastAsia" w:ascii="楷体_GB2312" w:eastAsia="楷体_GB2312"/>
                <w:color w:val="auto"/>
                <w:sz w:val="24"/>
                <w:szCs w:val="24"/>
              </w:rPr>
              <w:t>10</w:t>
            </w:r>
          </w:p>
        </w:tc>
        <w:tc>
          <w:tcPr>
            <w:tcW w:w="4556" w:type="dxa"/>
          </w:tcPr>
          <w:p w14:paraId="50278B48">
            <w:pPr>
              <w:spacing w:line="460" w:lineRule="exact"/>
              <w:rPr>
                <w:rFonts w:ascii="楷体_GB2312" w:eastAsia="楷体_GB2312"/>
                <w:color w:val="auto"/>
                <w:sz w:val="24"/>
                <w:szCs w:val="24"/>
              </w:rPr>
            </w:pPr>
            <w:r>
              <w:rPr>
                <w:rFonts w:hint="eastAsia" w:ascii="楷体_GB2312" w:eastAsia="楷体_GB2312"/>
                <w:color w:val="auto"/>
                <w:sz w:val="24"/>
                <w:szCs w:val="24"/>
              </w:rPr>
              <w:t>图书包装质量、运送及时性和搬运的到位程度</w:t>
            </w:r>
          </w:p>
        </w:tc>
        <w:tc>
          <w:tcPr>
            <w:tcW w:w="4140" w:type="dxa"/>
          </w:tcPr>
          <w:p w14:paraId="7BFA7210">
            <w:pPr>
              <w:spacing w:line="460" w:lineRule="exact"/>
              <w:rPr>
                <w:rFonts w:ascii="楷体_GB2312" w:eastAsia="楷体_GB2312"/>
                <w:color w:val="auto"/>
                <w:sz w:val="24"/>
                <w:szCs w:val="24"/>
              </w:rPr>
            </w:pPr>
          </w:p>
        </w:tc>
      </w:tr>
      <w:tr w14:paraId="6F633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295723E1">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11</w:t>
            </w:r>
          </w:p>
        </w:tc>
        <w:tc>
          <w:tcPr>
            <w:tcW w:w="4556" w:type="dxa"/>
          </w:tcPr>
          <w:p w14:paraId="14E2C1EC">
            <w:pPr>
              <w:spacing w:line="460" w:lineRule="exact"/>
              <w:rPr>
                <w:rFonts w:ascii="楷体_GB2312" w:eastAsia="楷体_GB2312"/>
                <w:color w:val="auto"/>
                <w:sz w:val="24"/>
                <w:szCs w:val="24"/>
              </w:rPr>
            </w:pPr>
            <w:r>
              <w:rPr>
                <w:rFonts w:hint="eastAsia" w:ascii="楷体_GB2312" w:eastAsia="楷体_GB2312"/>
                <w:color w:val="auto"/>
                <w:sz w:val="24"/>
                <w:szCs w:val="24"/>
              </w:rPr>
              <w:t>到馆加工服务</w:t>
            </w:r>
          </w:p>
        </w:tc>
        <w:tc>
          <w:tcPr>
            <w:tcW w:w="4140" w:type="dxa"/>
          </w:tcPr>
          <w:p w14:paraId="081EB8F5">
            <w:pPr>
              <w:spacing w:line="400" w:lineRule="exact"/>
              <w:rPr>
                <w:rFonts w:ascii="楷体_GB2312" w:eastAsia="楷体_GB2312"/>
                <w:color w:val="auto"/>
                <w:sz w:val="24"/>
                <w:szCs w:val="24"/>
              </w:rPr>
            </w:pPr>
            <w:r>
              <w:rPr>
                <w:rFonts w:hint="eastAsia" w:ascii="楷体_GB2312" w:eastAsia="楷体_GB2312"/>
                <w:color w:val="auto"/>
                <w:sz w:val="24"/>
                <w:szCs w:val="24"/>
                <w:u w:val="single"/>
              </w:rPr>
              <w:t xml:space="preserve">   </w:t>
            </w:r>
            <w:r>
              <w:rPr>
                <w:rFonts w:hint="eastAsia" w:ascii="楷体_GB2312" w:hAnsi="宋体" w:eastAsia="楷体_GB2312" w:cs="宋体"/>
                <w:color w:val="auto"/>
                <w:sz w:val="24"/>
                <w:szCs w:val="24"/>
              </w:rPr>
              <w:t>日内响应，</w:t>
            </w: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日内完成补缺工作</w:t>
            </w:r>
          </w:p>
        </w:tc>
      </w:tr>
      <w:tr w14:paraId="3D999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1BF45684">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12</w:t>
            </w:r>
          </w:p>
        </w:tc>
        <w:tc>
          <w:tcPr>
            <w:tcW w:w="4556" w:type="dxa"/>
          </w:tcPr>
          <w:p w14:paraId="271AAE63">
            <w:pPr>
              <w:spacing w:line="460" w:lineRule="exact"/>
              <w:rPr>
                <w:rFonts w:ascii="楷体_GB2312" w:eastAsia="楷体_GB2312"/>
                <w:color w:val="auto"/>
                <w:sz w:val="24"/>
                <w:szCs w:val="24"/>
              </w:rPr>
            </w:pPr>
            <w:r>
              <w:rPr>
                <w:rFonts w:hint="eastAsia" w:ascii="楷体_GB2312" w:eastAsia="楷体_GB2312"/>
                <w:color w:val="auto"/>
                <w:sz w:val="24"/>
                <w:szCs w:val="24"/>
              </w:rPr>
              <w:t>特色服务</w:t>
            </w:r>
          </w:p>
        </w:tc>
        <w:tc>
          <w:tcPr>
            <w:tcW w:w="4140" w:type="dxa"/>
          </w:tcPr>
          <w:p w14:paraId="06983077">
            <w:pPr>
              <w:spacing w:line="460" w:lineRule="exact"/>
              <w:rPr>
                <w:rFonts w:ascii="楷体_GB2312" w:eastAsia="楷体_GB2312"/>
                <w:color w:val="auto"/>
                <w:sz w:val="24"/>
                <w:szCs w:val="24"/>
              </w:rPr>
            </w:pPr>
          </w:p>
        </w:tc>
      </w:tr>
      <w:tr w14:paraId="3B922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1B75819E">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13</w:t>
            </w:r>
          </w:p>
        </w:tc>
        <w:tc>
          <w:tcPr>
            <w:tcW w:w="4556" w:type="dxa"/>
          </w:tcPr>
          <w:p w14:paraId="1FD04384">
            <w:pPr>
              <w:spacing w:line="460" w:lineRule="exact"/>
              <w:rPr>
                <w:rFonts w:ascii="楷体_GB2312" w:eastAsia="楷体_GB2312"/>
                <w:color w:val="auto"/>
                <w:sz w:val="24"/>
                <w:szCs w:val="24"/>
              </w:rPr>
            </w:pPr>
            <w:r>
              <w:rPr>
                <w:rFonts w:hint="eastAsia" w:ascii="楷体_GB2312" w:eastAsia="楷体_GB2312"/>
                <w:color w:val="auto"/>
                <w:sz w:val="24"/>
                <w:szCs w:val="24"/>
              </w:rPr>
              <w:t>其他服务</w:t>
            </w:r>
          </w:p>
        </w:tc>
        <w:tc>
          <w:tcPr>
            <w:tcW w:w="4140" w:type="dxa"/>
          </w:tcPr>
          <w:p w14:paraId="7C04A13A">
            <w:pPr>
              <w:spacing w:line="460" w:lineRule="exact"/>
              <w:rPr>
                <w:rFonts w:ascii="楷体_GB2312" w:eastAsia="楷体_GB2312"/>
                <w:color w:val="auto"/>
                <w:sz w:val="24"/>
                <w:szCs w:val="24"/>
              </w:rPr>
            </w:pPr>
          </w:p>
        </w:tc>
      </w:tr>
      <w:tr w14:paraId="2499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19C447D0">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14</w:t>
            </w:r>
          </w:p>
        </w:tc>
        <w:tc>
          <w:tcPr>
            <w:tcW w:w="4556" w:type="dxa"/>
          </w:tcPr>
          <w:p w14:paraId="6F8CE0A7">
            <w:pPr>
              <w:spacing w:line="460" w:lineRule="exact"/>
              <w:rPr>
                <w:rFonts w:ascii="楷体_GB2312" w:eastAsia="楷体_GB2312"/>
                <w:color w:val="auto"/>
                <w:sz w:val="24"/>
                <w:szCs w:val="24"/>
              </w:rPr>
            </w:pPr>
            <w:r>
              <w:rPr>
                <w:rFonts w:hint="eastAsia" w:ascii="楷体_GB2312" w:eastAsia="楷体_GB2312"/>
                <w:color w:val="auto"/>
                <w:sz w:val="24"/>
                <w:szCs w:val="24"/>
              </w:rPr>
              <w:t>补缺服务响应时间</w:t>
            </w:r>
          </w:p>
        </w:tc>
        <w:tc>
          <w:tcPr>
            <w:tcW w:w="4140" w:type="dxa"/>
          </w:tcPr>
          <w:p w14:paraId="22338A85">
            <w:pPr>
              <w:spacing w:line="400" w:lineRule="exact"/>
              <w:rPr>
                <w:rFonts w:ascii="楷体_GB2312" w:hAnsi="宋体" w:eastAsia="楷体_GB2312" w:cs="宋体"/>
                <w:color w:val="auto"/>
                <w:sz w:val="24"/>
                <w:szCs w:val="24"/>
              </w:rPr>
            </w:pP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日内响应，</w:t>
            </w: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日内完成补缺工作</w:t>
            </w:r>
          </w:p>
        </w:tc>
      </w:tr>
      <w:tr w14:paraId="12269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12B734E9">
            <w:pPr>
              <w:spacing w:line="640" w:lineRule="exact"/>
              <w:jc w:val="center"/>
              <w:rPr>
                <w:rFonts w:ascii="楷体_GB2312" w:eastAsia="楷体_GB2312"/>
                <w:color w:val="auto"/>
                <w:sz w:val="24"/>
                <w:szCs w:val="24"/>
              </w:rPr>
            </w:pPr>
            <w:r>
              <w:rPr>
                <w:rFonts w:hint="eastAsia" w:ascii="楷体_GB2312" w:eastAsia="楷体_GB2312"/>
                <w:color w:val="auto"/>
                <w:sz w:val="24"/>
                <w:szCs w:val="24"/>
              </w:rPr>
              <w:t>15</w:t>
            </w:r>
          </w:p>
        </w:tc>
        <w:tc>
          <w:tcPr>
            <w:tcW w:w="4556" w:type="dxa"/>
          </w:tcPr>
          <w:p w14:paraId="0CD90BFA">
            <w:pPr>
              <w:spacing w:line="600" w:lineRule="exact"/>
              <w:rPr>
                <w:rFonts w:ascii="楷体_GB2312" w:eastAsia="楷体_GB2312"/>
                <w:color w:val="auto"/>
                <w:sz w:val="24"/>
                <w:szCs w:val="24"/>
              </w:rPr>
            </w:pPr>
            <w:r>
              <w:rPr>
                <w:rFonts w:hint="eastAsia" w:ascii="楷体_GB2312" w:eastAsia="楷体_GB2312"/>
                <w:color w:val="auto"/>
                <w:sz w:val="24"/>
                <w:szCs w:val="24"/>
              </w:rPr>
              <w:t>到馆加工相应时间和服务质量</w:t>
            </w:r>
          </w:p>
        </w:tc>
        <w:tc>
          <w:tcPr>
            <w:tcW w:w="4140" w:type="dxa"/>
          </w:tcPr>
          <w:p w14:paraId="5179802D">
            <w:pPr>
              <w:spacing w:line="400" w:lineRule="exact"/>
              <w:rPr>
                <w:rFonts w:ascii="楷体_GB2312" w:hAnsi="宋体" w:eastAsia="楷体_GB2312" w:cs="宋体"/>
                <w:color w:val="auto"/>
                <w:sz w:val="24"/>
                <w:szCs w:val="24"/>
              </w:rPr>
            </w:pP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日内响应，有/无专业编目人员，编目准确率</w:t>
            </w: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w:t>
            </w:r>
          </w:p>
        </w:tc>
      </w:tr>
    </w:tbl>
    <w:p w14:paraId="0DAF67D7">
      <w:pPr>
        <w:pStyle w:val="29"/>
        <w:spacing w:line="360" w:lineRule="auto"/>
        <w:ind w:right="-252"/>
        <w:rPr>
          <w:rFonts w:hAnsi="宋体" w:cs="宋体"/>
          <w:b/>
          <w:bCs/>
          <w:color w:val="auto"/>
          <w:sz w:val="24"/>
        </w:rPr>
      </w:pPr>
      <w:r>
        <w:rPr>
          <w:rFonts w:hint="eastAsia" w:hAnsi="宋体" w:cs="宋体"/>
          <w:b/>
          <w:bCs/>
          <w:color w:val="auto"/>
          <w:sz w:val="24"/>
        </w:rPr>
        <w:t xml:space="preserve">响应方（盖章）：            </w:t>
      </w:r>
    </w:p>
    <w:p w14:paraId="17C4392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AE8DC74">
      <w:pPr>
        <w:numPr>
          <w:ilvl w:val="0"/>
          <w:numId w:val="0"/>
        </w:numPr>
        <w:rPr>
          <w:rFonts w:hint="eastAsia"/>
          <w:color w:val="auto"/>
        </w:rPr>
      </w:pPr>
      <w:bookmarkStart w:id="966" w:name="_Toc23549"/>
      <w:r>
        <w:rPr>
          <w:rFonts w:hint="eastAsia" w:hAnsi="宋体" w:cs="宋体"/>
          <w:color w:val="auto"/>
          <w:sz w:val="24"/>
        </w:rPr>
        <w:t>日期：      年   月   日</w:t>
      </w:r>
      <w:bookmarkEnd w:id="966"/>
    </w:p>
    <w:p w14:paraId="6830C717">
      <w:pPr>
        <w:rPr>
          <w:rFonts w:hint="eastAsia"/>
          <w:color w:val="auto"/>
        </w:rPr>
      </w:pPr>
      <w:r>
        <w:rPr>
          <w:rFonts w:hint="eastAsia"/>
          <w:color w:val="auto"/>
        </w:rPr>
        <w:br w:type="page"/>
      </w:r>
    </w:p>
    <w:p w14:paraId="4C953D12">
      <w:pPr>
        <w:pStyle w:val="6"/>
        <w:numPr>
          <w:ilvl w:val="0"/>
          <w:numId w:val="0"/>
        </w:numPr>
        <w:ind w:leftChars="0"/>
        <w:rPr>
          <w:rFonts w:hint="eastAsia"/>
          <w:color w:val="auto"/>
          <w:szCs w:val="22"/>
          <w:lang w:eastAsia="zh-CN"/>
        </w:rPr>
      </w:pPr>
      <w:bookmarkStart w:id="967" w:name="_Toc3370"/>
      <w:bookmarkStart w:id="968" w:name="_Toc6748"/>
      <w:bookmarkStart w:id="969" w:name="_Toc22453"/>
      <w:r>
        <w:rPr>
          <w:rFonts w:hint="eastAsia"/>
          <w:color w:val="auto"/>
          <w:szCs w:val="22"/>
          <w:lang w:eastAsia="zh-CN"/>
        </w:rPr>
        <w:t>（</w:t>
      </w:r>
      <w:r>
        <w:rPr>
          <w:rFonts w:hint="eastAsia"/>
          <w:color w:val="auto"/>
          <w:szCs w:val="22"/>
          <w:lang w:val="en-US" w:eastAsia="zh-CN"/>
        </w:rPr>
        <w:t>15）</w:t>
      </w:r>
      <w:r>
        <w:rPr>
          <w:rFonts w:hint="eastAsia"/>
          <w:color w:val="auto"/>
          <w:szCs w:val="22"/>
          <w:lang w:eastAsia="zh-CN"/>
        </w:rPr>
        <w:t>信息化服务方案</w:t>
      </w:r>
      <w:bookmarkEnd w:id="967"/>
      <w:bookmarkEnd w:id="968"/>
      <w:bookmarkEnd w:id="969"/>
    </w:p>
    <w:p w14:paraId="299027E7">
      <w:pPr>
        <w:spacing w:line="420" w:lineRule="exact"/>
        <w:rPr>
          <w:color w:val="auto"/>
          <w:sz w:val="24"/>
        </w:rPr>
      </w:pPr>
      <w:r>
        <w:rPr>
          <w:rFonts w:hint="eastAsia"/>
          <w:color w:val="auto"/>
          <w:sz w:val="24"/>
        </w:rPr>
        <w:t>（根据采购需求及评分标准要求编制，包括</w:t>
      </w:r>
      <w:r>
        <w:rPr>
          <w:rFonts w:hint="eastAsia" w:ascii="宋体" w:hAnsi="宋体" w:cs="宋体"/>
          <w:color w:val="auto"/>
          <w:sz w:val="24"/>
          <w:szCs w:val="24"/>
        </w:rPr>
        <w:t>电子商务网站</w:t>
      </w:r>
      <w:r>
        <w:rPr>
          <w:rFonts w:hint="eastAsia"/>
          <w:color w:val="auto"/>
          <w:sz w:val="24"/>
        </w:rPr>
        <w:t>）</w:t>
      </w:r>
    </w:p>
    <w:p w14:paraId="1DBDEFBD">
      <w:pPr>
        <w:pStyle w:val="29"/>
        <w:snapToGrid w:val="0"/>
        <w:spacing w:line="440" w:lineRule="exact"/>
        <w:ind w:right="-252"/>
        <w:rPr>
          <w:rFonts w:asciiTheme="majorEastAsia" w:hAnsiTheme="majorEastAsia" w:eastAsiaTheme="majorEastAsia" w:cstheme="majorEastAsia"/>
          <w:color w:val="auto"/>
          <w:sz w:val="24"/>
          <w:szCs w:val="24"/>
        </w:rPr>
      </w:pPr>
    </w:p>
    <w:p w14:paraId="0E8CF1D1">
      <w:pPr>
        <w:pStyle w:val="29"/>
        <w:spacing w:line="360" w:lineRule="auto"/>
        <w:ind w:right="-252"/>
        <w:rPr>
          <w:rFonts w:hAnsi="宋体" w:cs="宋体"/>
          <w:b/>
          <w:bCs/>
          <w:color w:val="auto"/>
          <w:sz w:val="24"/>
        </w:rPr>
      </w:pPr>
      <w:r>
        <w:rPr>
          <w:rFonts w:hint="eastAsia" w:hAnsi="宋体" w:cs="宋体"/>
          <w:b/>
          <w:bCs/>
          <w:color w:val="auto"/>
          <w:sz w:val="24"/>
        </w:rPr>
        <w:t xml:space="preserve">响应方（盖章）：            </w:t>
      </w:r>
    </w:p>
    <w:p w14:paraId="6B4D360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BF90B9C">
      <w:pPr>
        <w:spacing w:before="240" w:beforeLines="100" w:after="240" w:afterLines="100"/>
        <w:jc w:val="left"/>
        <w:rPr>
          <w:color w:val="auto"/>
          <w:sz w:val="24"/>
          <w:szCs w:val="24"/>
        </w:rPr>
      </w:pPr>
      <w:r>
        <w:rPr>
          <w:rFonts w:hint="eastAsia" w:ascii="宋体" w:hAnsi="宋体" w:cs="宋体"/>
          <w:color w:val="auto"/>
          <w:sz w:val="24"/>
        </w:rPr>
        <w:t>日期：      年   月   日</w:t>
      </w:r>
    </w:p>
    <w:p w14:paraId="7481E659">
      <w:pPr>
        <w:rPr>
          <w:color w:val="auto"/>
        </w:rPr>
      </w:pPr>
    </w:p>
    <w:p w14:paraId="715525DA">
      <w:pPr>
        <w:pStyle w:val="2"/>
        <w:rPr>
          <w:color w:val="auto"/>
        </w:rPr>
      </w:pPr>
    </w:p>
    <w:p w14:paraId="35230623">
      <w:pPr>
        <w:pStyle w:val="3"/>
        <w:rPr>
          <w:color w:val="auto"/>
        </w:rPr>
      </w:pPr>
    </w:p>
    <w:p w14:paraId="4345E587">
      <w:pPr>
        <w:pStyle w:val="6"/>
        <w:ind w:left="0" w:firstLine="0"/>
        <w:rPr>
          <w:color w:val="auto"/>
        </w:rPr>
      </w:pPr>
      <w:bookmarkStart w:id="970" w:name="_Toc23685"/>
      <w:bookmarkStart w:id="971" w:name="_Toc21572"/>
      <w:bookmarkStart w:id="972" w:name="_Toc10148"/>
      <w:bookmarkStart w:id="973" w:name="_Toc22881"/>
      <w:bookmarkStart w:id="974" w:name="_Toc281"/>
      <w:bookmarkStart w:id="975" w:name="_Toc14897"/>
      <w:bookmarkStart w:id="976" w:name="_Toc13211"/>
      <w:bookmarkStart w:id="977" w:name="_Toc19068"/>
      <w:bookmarkStart w:id="978" w:name="_Toc21017"/>
      <w:bookmarkStart w:id="979" w:name="_Toc28884"/>
      <w:bookmarkStart w:id="980" w:name="_Toc3089"/>
      <w:bookmarkStart w:id="981" w:name="_Toc1664"/>
      <w:bookmarkStart w:id="982" w:name="_Toc1378"/>
      <w:r>
        <w:rPr>
          <w:rFonts w:hint="eastAsia"/>
          <w:color w:val="auto"/>
        </w:rPr>
        <w:t>（</w:t>
      </w:r>
      <w:r>
        <w:rPr>
          <w:rFonts w:hint="eastAsia"/>
          <w:color w:val="auto"/>
          <w:lang w:val="en-US" w:eastAsia="zh-CN"/>
        </w:rPr>
        <w:t>16</w:t>
      </w:r>
      <w:r>
        <w:rPr>
          <w:rFonts w:hint="eastAsia"/>
          <w:color w:val="auto"/>
        </w:rPr>
        <w:t>）</w:t>
      </w:r>
      <w:bookmarkEnd w:id="970"/>
      <w:r>
        <w:rPr>
          <w:rFonts w:hint="eastAsia"/>
          <w:color w:val="auto"/>
        </w:rPr>
        <w:t>项目组成员一览表</w:t>
      </w:r>
      <w:bookmarkEnd w:id="971"/>
      <w:bookmarkEnd w:id="972"/>
      <w:bookmarkEnd w:id="973"/>
      <w:bookmarkEnd w:id="974"/>
      <w:bookmarkEnd w:id="975"/>
      <w:bookmarkEnd w:id="976"/>
      <w:bookmarkEnd w:id="977"/>
      <w:bookmarkEnd w:id="978"/>
      <w:bookmarkEnd w:id="979"/>
      <w:bookmarkEnd w:id="980"/>
    </w:p>
    <w:bookmarkEnd w:id="981"/>
    <w:bookmarkEnd w:id="982"/>
    <w:tbl>
      <w:tblPr>
        <w:tblStyle w:val="47"/>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39149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D0E1B46">
            <w:pPr>
              <w:pStyle w:val="29"/>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552C5D7E">
            <w:pPr>
              <w:pStyle w:val="29"/>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37EF891B">
            <w:pPr>
              <w:pStyle w:val="29"/>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55365EAA">
            <w:pPr>
              <w:pStyle w:val="29"/>
              <w:snapToGrid w:val="0"/>
              <w:spacing w:line="440" w:lineRule="exact"/>
              <w:jc w:val="both"/>
              <w:rPr>
                <w:color w:val="auto"/>
                <w:sz w:val="21"/>
                <w:szCs w:val="21"/>
              </w:rPr>
            </w:pPr>
            <w:r>
              <w:rPr>
                <w:rFonts w:hint="eastAsia"/>
                <w:color w:val="auto"/>
                <w:sz w:val="21"/>
                <w:szCs w:val="21"/>
              </w:rPr>
              <w:t>证书编号</w:t>
            </w:r>
          </w:p>
        </w:tc>
        <w:tc>
          <w:tcPr>
            <w:tcW w:w="1327" w:type="dxa"/>
          </w:tcPr>
          <w:p w14:paraId="24B9F329">
            <w:pPr>
              <w:pStyle w:val="29"/>
              <w:snapToGrid w:val="0"/>
              <w:spacing w:line="440" w:lineRule="exact"/>
              <w:jc w:val="both"/>
              <w:rPr>
                <w:color w:val="auto"/>
                <w:sz w:val="21"/>
                <w:szCs w:val="21"/>
              </w:rPr>
            </w:pPr>
            <w:r>
              <w:rPr>
                <w:rFonts w:hint="eastAsia"/>
                <w:color w:val="auto"/>
                <w:sz w:val="21"/>
                <w:szCs w:val="21"/>
              </w:rPr>
              <w:t>发证部门</w:t>
            </w:r>
          </w:p>
        </w:tc>
        <w:tc>
          <w:tcPr>
            <w:tcW w:w="1648" w:type="dxa"/>
          </w:tcPr>
          <w:p w14:paraId="05149BC2">
            <w:pPr>
              <w:pStyle w:val="29"/>
              <w:snapToGrid w:val="0"/>
              <w:spacing w:line="440" w:lineRule="exact"/>
              <w:ind w:left="-27" w:firstLine="370"/>
              <w:jc w:val="center"/>
              <w:rPr>
                <w:color w:val="auto"/>
                <w:sz w:val="21"/>
                <w:szCs w:val="21"/>
              </w:rPr>
            </w:pPr>
            <w:r>
              <w:rPr>
                <w:rFonts w:hint="eastAsia"/>
                <w:color w:val="auto"/>
                <w:sz w:val="21"/>
                <w:szCs w:val="21"/>
              </w:rPr>
              <w:t>持证有效期</w:t>
            </w:r>
          </w:p>
        </w:tc>
      </w:tr>
      <w:tr w14:paraId="1473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B1EFF05">
            <w:pPr>
              <w:pStyle w:val="29"/>
              <w:snapToGrid w:val="0"/>
              <w:spacing w:line="440" w:lineRule="exact"/>
              <w:ind w:left="-27" w:firstLine="370"/>
              <w:rPr>
                <w:color w:val="auto"/>
                <w:sz w:val="21"/>
                <w:szCs w:val="21"/>
              </w:rPr>
            </w:pPr>
          </w:p>
        </w:tc>
        <w:tc>
          <w:tcPr>
            <w:tcW w:w="1326" w:type="dxa"/>
          </w:tcPr>
          <w:p w14:paraId="155BB7A4">
            <w:pPr>
              <w:pStyle w:val="29"/>
              <w:snapToGrid w:val="0"/>
              <w:spacing w:line="440" w:lineRule="exact"/>
              <w:ind w:left="-27" w:firstLine="370"/>
              <w:rPr>
                <w:color w:val="auto"/>
                <w:sz w:val="21"/>
                <w:szCs w:val="21"/>
              </w:rPr>
            </w:pPr>
          </w:p>
        </w:tc>
        <w:tc>
          <w:tcPr>
            <w:tcW w:w="1327" w:type="dxa"/>
          </w:tcPr>
          <w:p w14:paraId="56F7533C">
            <w:pPr>
              <w:pStyle w:val="29"/>
              <w:snapToGrid w:val="0"/>
              <w:spacing w:line="440" w:lineRule="exact"/>
              <w:ind w:left="-27" w:firstLine="370"/>
              <w:rPr>
                <w:color w:val="auto"/>
                <w:sz w:val="21"/>
                <w:szCs w:val="21"/>
              </w:rPr>
            </w:pPr>
          </w:p>
        </w:tc>
        <w:tc>
          <w:tcPr>
            <w:tcW w:w="1327" w:type="dxa"/>
          </w:tcPr>
          <w:p w14:paraId="2523DBA0">
            <w:pPr>
              <w:pStyle w:val="29"/>
              <w:snapToGrid w:val="0"/>
              <w:spacing w:line="440" w:lineRule="exact"/>
              <w:ind w:left="-27" w:firstLine="370"/>
              <w:rPr>
                <w:color w:val="auto"/>
                <w:sz w:val="21"/>
                <w:szCs w:val="21"/>
              </w:rPr>
            </w:pPr>
          </w:p>
        </w:tc>
        <w:tc>
          <w:tcPr>
            <w:tcW w:w="1327" w:type="dxa"/>
          </w:tcPr>
          <w:p w14:paraId="501D2D56">
            <w:pPr>
              <w:pStyle w:val="29"/>
              <w:snapToGrid w:val="0"/>
              <w:spacing w:line="440" w:lineRule="exact"/>
              <w:ind w:left="-27" w:firstLine="370"/>
              <w:rPr>
                <w:color w:val="auto"/>
                <w:sz w:val="21"/>
                <w:szCs w:val="21"/>
              </w:rPr>
            </w:pPr>
          </w:p>
        </w:tc>
        <w:tc>
          <w:tcPr>
            <w:tcW w:w="1648" w:type="dxa"/>
          </w:tcPr>
          <w:p w14:paraId="1641EDC5">
            <w:pPr>
              <w:pStyle w:val="29"/>
              <w:snapToGrid w:val="0"/>
              <w:spacing w:line="440" w:lineRule="exact"/>
              <w:ind w:left="-27" w:firstLine="370"/>
              <w:rPr>
                <w:color w:val="auto"/>
                <w:sz w:val="21"/>
                <w:szCs w:val="21"/>
              </w:rPr>
            </w:pPr>
          </w:p>
        </w:tc>
      </w:tr>
      <w:tr w14:paraId="12FA5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92A5EA7">
            <w:pPr>
              <w:pStyle w:val="29"/>
              <w:snapToGrid w:val="0"/>
              <w:spacing w:line="440" w:lineRule="exact"/>
              <w:ind w:left="-27" w:firstLine="370"/>
              <w:rPr>
                <w:color w:val="auto"/>
                <w:sz w:val="21"/>
                <w:szCs w:val="21"/>
              </w:rPr>
            </w:pPr>
          </w:p>
        </w:tc>
        <w:tc>
          <w:tcPr>
            <w:tcW w:w="1326" w:type="dxa"/>
          </w:tcPr>
          <w:p w14:paraId="1C34ECE9">
            <w:pPr>
              <w:pStyle w:val="29"/>
              <w:snapToGrid w:val="0"/>
              <w:spacing w:line="440" w:lineRule="exact"/>
              <w:ind w:left="-27" w:firstLine="370"/>
              <w:rPr>
                <w:color w:val="auto"/>
                <w:sz w:val="21"/>
                <w:szCs w:val="21"/>
              </w:rPr>
            </w:pPr>
          </w:p>
        </w:tc>
        <w:tc>
          <w:tcPr>
            <w:tcW w:w="1327" w:type="dxa"/>
          </w:tcPr>
          <w:p w14:paraId="0113CA29">
            <w:pPr>
              <w:pStyle w:val="29"/>
              <w:snapToGrid w:val="0"/>
              <w:spacing w:line="440" w:lineRule="exact"/>
              <w:ind w:left="-27" w:firstLine="370"/>
              <w:rPr>
                <w:color w:val="auto"/>
                <w:sz w:val="21"/>
                <w:szCs w:val="21"/>
              </w:rPr>
            </w:pPr>
          </w:p>
        </w:tc>
        <w:tc>
          <w:tcPr>
            <w:tcW w:w="1327" w:type="dxa"/>
          </w:tcPr>
          <w:p w14:paraId="7AB0DD1C">
            <w:pPr>
              <w:pStyle w:val="29"/>
              <w:snapToGrid w:val="0"/>
              <w:spacing w:line="440" w:lineRule="exact"/>
              <w:ind w:left="-27" w:firstLine="370"/>
              <w:rPr>
                <w:color w:val="auto"/>
                <w:sz w:val="21"/>
                <w:szCs w:val="21"/>
              </w:rPr>
            </w:pPr>
          </w:p>
        </w:tc>
        <w:tc>
          <w:tcPr>
            <w:tcW w:w="1327" w:type="dxa"/>
          </w:tcPr>
          <w:p w14:paraId="26EA4784">
            <w:pPr>
              <w:pStyle w:val="29"/>
              <w:snapToGrid w:val="0"/>
              <w:spacing w:line="440" w:lineRule="exact"/>
              <w:ind w:left="-27" w:firstLine="370"/>
              <w:rPr>
                <w:color w:val="auto"/>
                <w:sz w:val="21"/>
                <w:szCs w:val="21"/>
              </w:rPr>
            </w:pPr>
          </w:p>
        </w:tc>
        <w:tc>
          <w:tcPr>
            <w:tcW w:w="1648" w:type="dxa"/>
          </w:tcPr>
          <w:p w14:paraId="4D6FFF34">
            <w:pPr>
              <w:pStyle w:val="29"/>
              <w:snapToGrid w:val="0"/>
              <w:spacing w:line="440" w:lineRule="exact"/>
              <w:ind w:left="-27" w:firstLine="370"/>
              <w:rPr>
                <w:color w:val="auto"/>
                <w:sz w:val="21"/>
                <w:szCs w:val="21"/>
              </w:rPr>
            </w:pPr>
          </w:p>
        </w:tc>
      </w:tr>
      <w:tr w14:paraId="671F0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2D8A8642">
            <w:pPr>
              <w:pStyle w:val="29"/>
              <w:snapToGrid w:val="0"/>
              <w:spacing w:line="440" w:lineRule="exact"/>
              <w:ind w:left="-27" w:firstLine="370"/>
              <w:rPr>
                <w:color w:val="auto"/>
                <w:sz w:val="21"/>
                <w:szCs w:val="21"/>
              </w:rPr>
            </w:pPr>
          </w:p>
        </w:tc>
        <w:tc>
          <w:tcPr>
            <w:tcW w:w="1326" w:type="dxa"/>
          </w:tcPr>
          <w:p w14:paraId="65F94F6C">
            <w:pPr>
              <w:pStyle w:val="29"/>
              <w:snapToGrid w:val="0"/>
              <w:spacing w:line="440" w:lineRule="exact"/>
              <w:ind w:left="-27" w:firstLine="370"/>
              <w:rPr>
                <w:color w:val="auto"/>
                <w:sz w:val="21"/>
                <w:szCs w:val="21"/>
              </w:rPr>
            </w:pPr>
          </w:p>
        </w:tc>
        <w:tc>
          <w:tcPr>
            <w:tcW w:w="1327" w:type="dxa"/>
          </w:tcPr>
          <w:p w14:paraId="0D48BDB8">
            <w:pPr>
              <w:pStyle w:val="29"/>
              <w:snapToGrid w:val="0"/>
              <w:spacing w:line="440" w:lineRule="exact"/>
              <w:ind w:left="-27" w:firstLine="370"/>
              <w:rPr>
                <w:color w:val="auto"/>
                <w:sz w:val="21"/>
                <w:szCs w:val="21"/>
              </w:rPr>
            </w:pPr>
          </w:p>
        </w:tc>
        <w:tc>
          <w:tcPr>
            <w:tcW w:w="1327" w:type="dxa"/>
          </w:tcPr>
          <w:p w14:paraId="0886BE1F">
            <w:pPr>
              <w:pStyle w:val="29"/>
              <w:snapToGrid w:val="0"/>
              <w:spacing w:line="440" w:lineRule="exact"/>
              <w:ind w:left="-27" w:firstLine="370"/>
              <w:rPr>
                <w:color w:val="auto"/>
                <w:sz w:val="21"/>
                <w:szCs w:val="21"/>
              </w:rPr>
            </w:pPr>
          </w:p>
        </w:tc>
        <w:tc>
          <w:tcPr>
            <w:tcW w:w="1327" w:type="dxa"/>
          </w:tcPr>
          <w:p w14:paraId="63F8687D">
            <w:pPr>
              <w:pStyle w:val="29"/>
              <w:snapToGrid w:val="0"/>
              <w:spacing w:line="440" w:lineRule="exact"/>
              <w:ind w:left="-27" w:firstLine="370"/>
              <w:rPr>
                <w:color w:val="auto"/>
                <w:sz w:val="21"/>
                <w:szCs w:val="21"/>
              </w:rPr>
            </w:pPr>
          </w:p>
        </w:tc>
        <w:tc>
          <w:tcPr>
            <w:tcW w:w="1648" w:type="dxa"/>
          </w:tcPr>
          <w:p w14:paraId="12C881B2">
            <w:pPr>
              <w:pStyle w:val="29"/>
              <w:snapToGrid w:val="0"/>
              <w:spacing w:line="440" w:lineRule="exact"/>
              <w:ind w:left="-27" w:firstLine="370"/>
              <w:rPr>
                <w:color w:val="auto"/>
                <w:sz w:val="21"/>
                <w:szCs w:val="21"/>
              </w:rPr>
            </w:pPr>
          </w:p>
        </w:tc>
      </w:tr>
      <w:tr w14:paraId="4F32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B0F4308">
            <w:pPr>
              <w:pStyle w:val="29"/>
              <w:snapToGrid w:val="0"/>
              <w:spacing w:line="440" w:lineRule="exact"/>
              <w:ind w:left="-27" w:firstLine="370"/>
              <w:rPr>
                <w:color w:val="auto"/>
                <w:sz w:val="21"/>
                <w:szCs w:val="21"/>
              </w:rPr>
            </w:pPr>
          </w:p>
        </w:tc>
        <w:tc>
          <w:tcPr>
            <w:tcW w:w="1326" w:type="dxa"/>
          </w:tcPr>
          <w:p w14:paraId="6C72E982">
            <w:pPr>
              <w:pStyle w:val="29"/>
              <w:snapToGrid w:val="0"/>
              <w:spacing w:line="440" w:lineRule="exact"/>
              <w:ind w:left="-27" w:firstLine="370"/>
              <w:rPr>
                <w:color w:val="auto"/>
                <w:sz w:val="21"/>
                <w:szCs w:val="21"/>
              </w:rPr>
            </w:pPr>
          </w:p>
        </w:tc>
        <w:tc>
          <w:tcPr>
            <w:tcW w:w="1327" w:type="dxa"/>
          </w:tcPr>
          <w:p w14:paraId="7D6145EE">
            <w:pPr>
              <w:pStyle w:val="29"/>
              <w:snapToGrid w:val="0"/>
              <w:spacing w:line="440" w:lineRule="exact"/>
              <w:ind w:left="-27" w:firstLine="370"/>
              <w:rPr>
                <w:color w:val="auto"/>
                <w:sz w:val="21"/>
                <w:szCs w:val="21"/>
              </w:rPr>
            </w:pPr>
          </w:p>
        </w:tc>
        <w:tc>
          <w:tcPr>
            <w:tcW w:w="1327" w:type="dxa"/>
          </w:tcPr>
          <w:p w14:paraId="46CF83CA">
            <w:pPr>
              <w:pStyle w:val="29"/>
              <w:snapToGrid w:val="0"/>
              <w:spacing w:line="440" w:lineRule="exact"/>
              <w:ind w:left="-27" w:firstLine="370"/>
              <w:rPr>
                <w:color w:val="auto"/>
                <w:sz w:val="21"/>
                <w:szCs w:val="21"/>
              </w:rPr>
            </w:pPr>
          </w:p>
        </w:tc>
        <w:tc>
          <w:tcPr>
            <w:tcW w:w="1327" w:type="dxa"/>
          </w:tcPr>
          <w:p w14:paraId="5B180DA6">
            <w:pPr>
              <w:pStyle w:val="29"/>
              <w:snapToGrid w:val="0"/>
              <w:spacing w:line="440" w:lineRule="exact"/>
              <w:ind w:left="-27" w:firstLine="370"/>
              <w:rPr>
                <w:color w:val="auto"/>
                <w:sz w:val="21"/>
                <w:szCs w:val="21"/>
              </w:rPr>
            </w:pPr>
          </w:p>
        </w:tc>
        <w:tc>
          <w:tcPr>
            <w:tcW w:w="1648" w:type="dxa"/>
          </w:tcPr>
          <w:p w14:paraId="09089C38">
            <w:pPr>
              <w:pStyle w:val="29"/>
              <w:snapToGrid w:val="0"/>
              <w:spacing w:line="440" w:lineRule="exact"/>
              <w:ind w:left="-27" w:firstLine="370"/>
              <w:rPr>
                <w:color w:val="auto"/>
                <w:sz w:val="21"/>
                <w:szCs w:val="21"/>
              </w:rPr>
            </w:pPr>
          </w:p>
        </w:tc>
      </w:tr>
    </w:tbl>
    <w:p w14:paraId="18142422">
      <w:pPr>
        <w:pStyle w:val="29"/>
        <w:snapToGrid w:val="0"/>
        <w:spacing w:line="440" w:lineRule="exact"/>
        <w:ind w:left="-25" w:leftChars="-12" w:firstLine="26" w:firstLineChars="11"/>
        <w:rPr>
          <w:color w:val="auto"/>
          <w:sz w:val="24"/>
          <w:szCs w:val="24"/>
        </w:rPr>
      </w:pPr>
      <w:r>
        <w:rPr>
          <w:rFonts w:hint="eastAsia"/>
          <w:color w:val="auto"/>
          <w:sz w:val="24"/>
          <w:szCs w:val="24"/>
        </w:rPr>
        <w:t>注：</w:t>
      </w: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rPr>
        <w:t>附学历职称证书复印件、与用人单位签订的劳动合同复印件（含个人基本资料、批准项目内容）</w:t>
      </w:r>
      <w:r>
        <w:rPr>
          <w:rFonts w:hint="eastAsia"/>
          <w:color w:val="auto"/>
          <w:sz w:val="24"/>
          <w:szCs w:val="24"/>
          <w:lang w:val="en-US" w:eastAsia="zh-CN"/>
        </w:rPr>
        <w:t>或社保证明</w:t>
      </w:r>
      <w:r>
        <w:rPr>
          <w:rFonts w:hint="eastAsia"/>
          <w:color w:val="auto"/>
          <w:sz w:val="24"/>
          <w:szCs w:val="24"/>
        </w:rPr>
        <w:t>。</w:t>
      </w:r>
    </w:p>
    <w:p w14:paraId="27F88217">
      <w:pPr>
        <w:pStyle w:val="29"/>
        <w:numPr>
          <w:ilvl w:val="0"/>
          <w:numId w:val="0"/>
        </w:numPr>
        <w:spacing w:line="360" w:lineRule="auto"/>
        <w:ind w:left="-25" w:leftChars="-12" w:right="-252" w:rightChars="0" w:firstLine="27" w:firstLineChars="11"/>
        <w:rPr>
          <w:b/>
          <w:bCs/>
          <w:color w:val="auto"/>
          <w:sz w:val="24"/>
          <w:szCs w:val="24"/>
        </w:rPr>
      </w:pPr>
      <w:r>
        <w:rPr>
          <w:rFonts w:hint="eastAsia"/>
          <w:b/>
          <w:bCs/>
          <w:color w:val="auto"/>
          <w:sz w:val="24"/>
          <w:szCs w:val="24"/>
          <w:lang w:eastAsia="zh-CN"/>
        </w:rPr>
        <w:t>（</w:t>
      </w:r>
      <w:r>
        <w:rPr>
          <w:rFonts w:hint="eastAsia"/>
          <w:b/>
          <w:bCs/>
          <w:color w:val="auto"/>
          <w:sz w:val="24"/>
          <w:szCs w:val="24"/>
          <w:lang w:val="en-US" w:eastAsia="zh-CN"/>
        </w:rPr>
        <w:t>2）</w:t>
      </w:r>
      <w:r>
        <w:rPr>
          <w:rFonts w:hint="eastAsia"/>
          <w:b/>
          <w:bCs/>
          <w:color w:val="auto"/>
          <w:sz w:val="24"/>
          <w:szCs w:val="24"/>
        </w:rPr>
        <w:t>附团队负责人负责同类型项目工作经验2 年及以上的业主方盖章证明材料（如有）。</w:t>
      </w:r>
    </w:p>
    <w:p w14:paraId="3ABB0EB3">
      <w:pPr>
        <w:pStyle w:val="29"/>
        <w:spacing w:line="360" w:lineRule="auto"/>
        <w:ind w:left="-27" w:firstLine="422"/>
        <w:rPr>
          <w:rFonts w:ascii="Times New Roman" w:hAnsi="Times New Roman"/>
          <w:color w:val="auto"/>
          <w:sz w:val="24"/>
          <w:szCs w:val="24"/>
        </w:rPr>
      </w:pPr>
    </w:p>
    <w:p w14:paraId="1BC270C4">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0E3933A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ACD5216">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187382B5">
      <w:pPr>
        <w:rPr>
          <w:rFonts w:hint="eastAsia"/>
          <w:color w:val="auto"/>
          <w:sz w:val="24"/>
          <w:szCs w:val="24"/>
          <w:lang w:eastAsia="zh-CN"/>
        </w:rPr>
      </w:pPr>
      <w:r>
        <w:rPr>
          <w:rFonts w:hint="eastAsia"/>
          <w:color w:val="auto"/>
          <w:sz w:val="24"/>
          <w:szCs w:val="24"/>
          <w:lang w:eastAsia="zh-CN"/>
        </w:rPr>
        <w:br w:type="page"/>
      </w:r>
    </w:p>
    <w:p w14:paraId="3AD27761">
      <w:pPr>
        <w:pStyle w:val="6"/>
        <w:ind w:left="0" w:firstLine="0"/>
        <w:rPr>
          <w:rFonts w:hint="eastAsia"/>
          <w:color w:val="auto"/>
          <w:szCs w:val="22"/>
        </w:rPr>
      </w:pPr>
      <w:bookmarkStart w:id="983" w:name="_Toc28962"/>
      <w:bookmarkStart w:id="984" w:name="_Toc2506"/>
      <w:bookmarkStart w:id="985" w:name="_Toc5205"/>
      <w:r>
        <w:rPr>
          <w:rFonts w:hint="eastAsia"/>
          <w:color w:val="auto"/>
          <w:szCs w:val="22"/>
          <w:lang w:eastAsia="zh-CN"/>
        </w:rPr>
        <w:t>（</w:t>
      </w:r>
      <w:r>
        <w:rPr>
          <w:rFonts w:hint="eastAsia"/>
          <w:color w:val="auto"/>
          <w:szCs w:val="22"/>
          <w:lang w:val="en-US" w:eastAsia="zh-CN"/>
        </w:rPr>
        <w:t>17）</w:t>
      </w:r>
      <w:r>
        <w:rPr>
          <w:rFonts w:hint="eastAsia"/>
          <w:color w:val="auto"/>
          <w:szCs w:val="22"/>
        </w:rPr>
        <w:t>特色服务</w:t>
      </w:r>
      <w:r>
        <w:rPr>
          <w:rFonts w:hint="eastAsia"/>
          <w:color w:val="auto"/>
          <w:szCs w:val="22"/>
          <w:lang w:val="en-US" w:eastAsia="zh-CN"/>
        </w:rPr>
        <w:t>方案</w:t>
      </w:r>
      <w:bookmarkEnd w:id="983"/>
      <w:bookmarkEnd w:id="984"/>
      <w:bookmarkEnd w:id="985"/>
    </w:p>
    <w:p w14:paraId="0BDE8B5E">
      <w:pPr>
        <w:spacing w:before="240" w:beforeLines="100" w:after="240" w:afterLines="100"/>
        <w:jc w:val="left"/>
        <w:rPr>
          <w:color w:val="auto"/>
          <w:sz w:val="24"/>
          <w:szCs w:val="24"/>
        </w:rPr>
      </w:pPr>
      <w:r>
        <w:rPr>
          <w:rFonts w:hint="eastAsia"/>
          <w:color w:val="auto"/>
          <w:sz w:val="24"/>
          <w:szCs w:val="24"/>
        </w:rPr>
        <w:t>（含</w:t>
      </w:r>
      <w:r>
        <w:rPr>
          <w:color w:val="auto"/>
          <w:sz w:val="24"/>
          <w:szCs w:val="24"/>
        </w:rPr>
        <w:t>支</w:t>
      </w:r>
      <w:r>
        <w:rPr>
          <w:rFonts w:hint="eastAsia"/>
          <w:color w:val="auto"/>
          <w:sz w:val="24"/>
          <w:szCs w:val="24"/>
        </w:rPr>
        <w:t>持</w:t>
      </w:r>
      <w:r>
        <w:rPr>
          <w:color w:val="auto"/>
          <w:sz w:val="24"/>
          <w:szCs w:val="24"/>
        </w:rPr>
        <w:t>图书馆建设及阅读推广活动方案</w:t>
      </w:r>
      <w:r>
        <w:rPr>
          <w:rFonts w:hint="eastAsia"/>
          <w:color w:val="auto"/>
          <w:sz w:val="24"/>
          <w:szCs w:val="24"/>
        </w:rPr>
        <w:t>）</w:t>
      </w:r>
    </w:p>
    <w:p w14:paraId="0817FE37">
      <w:pPr>
        <w:pStyle w:val="29"/>
        <w:spacing w:line="360" w:lineRule="auto"/>
        <w:ind w:right="-252"/>
        <w:rPr>
          <w:rFonts w:hAnsi="宋体" w:cs="宋体"/>
          <w:b/>
          <w:bCs/>
          <w:color w:val="auto"/>
          <w:sz w:val="24"/>
        </w:rPr>
      </w:pPr>
      <w:r>
        <w:rPr>
          <w:rFonts w:hint="eastAsia" w:hAnsi="宋体" w:cs="宋体"/>
          <w:b/>
          <w:bCs/>
          <w:color w:val="auto"/>
          <w:sz w:val="24"/>
        </w:rPr>
        <w:t xml:space="preserve">响应方（盖章）：            </w:t>
      </w:r>
    </w:p>
    <w:p w14:paraId="573DF16A">
      <w:pPr>
        <w:pStyle w:val="29"/>
        <w:spacing w:line="360" w:lineRule="auto"/>
        <w:ind w:right="-252"/>
        <w:rPr>
          <w:rFonts w:hint="eastAsia" w:hAnsi="宋体" w:cs="宋体"/>
          <w:b/>
          <w:bCs/>
          <w:color w:val="auto"/>
          <w:sz w:val="24"/>
          <w:szCs w:val="22"/>
        </w:rPr>
      </w:pPr>
      <w:bookmarkStart w:id="986" w:name="_Toc14113"/>
      <w:r>
        <w:rPr>
          <w:rFonts w:hint="eastAsia" w:hAnsi="宋体" w:cs="宋体"/>
          <w:b/>
          <w:bCs/>
          <w:color w:val="auto"/>
          <w:sz w:val="24"/>
          <w:szCs w:val="22"/>
        </w:rPr>
        <w:t>授权代表（签字）：</w:t>
      </w:r>
      <w:bookmarkEnd w:id="986"/>
      <w:r>
        <w:rPr>
          <w:rFonts w:hint="eastAsia" w:hAnsi="宋体" w:cs="宋体"/>
          <w:b/>
          <w:bCs/>
          <w:color w:val="auto"/>
          <w:sz w:val="24"/>
          <w:szCs w:val="22"/>
        </w:rPr>
        <w:t xml:space="preserve">                 </w:t>
      </w:r>
    </w:p>
    <w:p w14:paraId="3C54DB58">
      <w:pPr>
        <w:rPr>
          <w:rFonts w:hint="eastAsia" w:ascii="宋体" w:hAnsi="宋体" w:cs="宋体"/>
          <w:b/>
          <w:bCs/>
          <w:color w:val="auto"/>
          <w:sz w:val="24"/>
          <w:u w:val="single"/>
        </w:rPr>
      </w:pPr>
    </w:p>
    <w:p w14:paraId="59D11042">
      <w:pPr>
        <w:pStyle w:val="2"/>
        <w:rPr>
          <w:rFonts w:hint="eastAsia" w:ascii="宋体" w:hAnsi="宋体" w:cs="宋体"/>
          <w:b/>
          <w:bCs/>
          <w:color w:val="auto"/>
          <w:sz w:val="24"/>
          <w:u w:val="single"/>
        </w:rPr>
      </w:pPr>
    </w:p>
    <w:p w14:paraId="282E878F">
      <w:pPr>
        <w:pStyle w:val="3"/>
        <w:rPr>
          <w:rFonts w:hint="eastAsia" w:ascii="宋体" w:hAnsi="宋体" w:cs="宋体"/>
          <w:b/>
          <w:bCs/>
          <w:color w:val="auto"/>
          <w:sz w:val="24"/>
          <w:u w:val="single"/>
        </w:rPr>
      </w:pPr>
    </w:p>
    <w:p w14:paraId="1B5005C5">
      <w:pPr>
        <w:rPr>
          <w:rFonts w:hint="eastAsia" w:ascii="宋体" w:hAnsi="宋体" w:cs="宋体"/>
          <w:b/>
          <w:bCs/>
          <w:color w:val="auto"/>
          <w:sz w:val="24"/>
          <w:u w:val="single"/>
        </w:rPr>
      </w:pPr>
    </w:p>
    <w:p w14:paraId="271B9F9D">
      <w:pPr>
        <w:pStyle w:val="2"/>
        <w:rPr>
          <w:color w:val="auto"/>
        </w:rPr>
      </w:pPr>
    </w:p>
    <w:p w14:paraId="063DF52B">
      <w:pPr>
        <w:pStyle w:val="3"/>
        <w:rPr>
          <w:color w:val="auto"/>
        </w:rPr>
      </w:pPr>
    </w:p>
    <w:p w14:paraId="3DF77BF5">
      <w:pPr>
        <w:rPr>
          <w:color w:val="auto"/>
        </w:rPr>
      </w:pPr>
    </w:p>
    <w:p w14:paraId="2253A33D">
      <w:pPr>
        <w:pStyle w:val="6"/>
        <w:ind w:left="0" w:firstLine="0"/>
        <w:rPr>
          <w:color w:val="auto"/>
        </w:rPr>
      </w:pPr>
      <w:bookmarkStart w:id="987" w:name="_Toc28815"/>
      <w:bookmarkStart w:id="988" w:name="_Toc13735"/>
      <w:bookmarkStart w:id="989" w:name="_Toc14194"/>
      <w:bookmarkStart w:id="990" w:name="_Toc3296"/>
      <w:bookmarkStart w:id="991" w:name="_Toc2271"/>
      <w:bookmarkStart w:id="992" w:name="_Toc31661"/>
      <w:bookmarkStart w:id="993" w:name="_Toc20288"/>
      <w:bookmarkStart w:id="994" w:name="_Toc29121"/>
      <w:bookmarkStart w:id="995" w:name="_Toc23116"/>
      <w:bookmarkStart w:id="996" w:name="_Toc10021"/>
      <w:bookmarkStart w:id="997" w:name="_Toc30223"/>
      <w:bookmarkStart w:id="998" w:name="_Toc15835"/>
      <w:bookmarkStart w:id="999" w:name="_Toc25988"/>
      <w:r>
        <w:rPr>
          <w:rFonts w:hint="eastAsia"/>
          <w:color w:val="auto"/>
        </w:rPr>
        <w:t>（</w:t>
      </w:r>
      <w:r>
        <w:rPr>
          <w:rFonts w:hint="eastAsia"/>
          <w:color w:val="auto"/>
          <w:lang w:val="en-US" w:eastAsia="zh-CN"/>
        </w:rPr>
        <w:t>18</w:t>
      </w:r>
      <w:r>
        <w:rPr>
          <w:rFonts w:hint="eastAsia"/>
          <w:color w:val="auto"/>
        </w:rPr>
        <w:t>）关于对磋商文件中有关条款的拒绝声明</w:t>
      </w:r>
      <w:bookmarkEnd w:id="927"/>
      <w:r>
        <w:rPr>
          <w:rFonts w:hint="eastAsia"/>
          <w:color w:val="auto"/>
        </w:rPr>
        <w:t>(如有)</w:t>
      </w:r>
      <w:bookmarkEnd w:id="987"/>
      <w:bookmarkEnd w:id="988"/>
      <w:bookmarkEnd w:id="989"/>
      <w:bookmarkEnd w:id="990"/>
      <w:bookmarkEnd w:id="991"/>
      <w:bookmarkEnd w:id="992"/>
      <w:bookmarkEnd w:id="993"/>
      <w:bookmarkEnd w:id="994"/>
      <w:bookmarkEnd w:id="995"/>
      <w:bookmarkEnd w:id="996"/>
      <w:bookmarkEnd w:id="997"/>
      <w:bookmarkEnd w:id="998"/>
      <w:bookmarkEnd w:id="999"/>
      <w:r>
        <w:rPr>
          <w:rFonts w:hint="eastAsia"/>
          <w:color w:val="auto"/>
        </w:rPr>
        <w:t xml:space="preserve"> </w:t>
      </w:r>
    </w:p>
    <w:p w14:paraId="50D9F512">
      <w:pPr>
        <w:pStyle w:val="29"/>
        <w:spacing w:line="360" w:lineRule="auto"/>
        <w:rPr>
          <w:rFonts w:hint="eastAsia" w:hAnsi="宋体" w:cs="宋体"/>
          <w:b/>
          <w:bCs/>
          <w:color w:val="auto"/>
          <w:sz w:val="24"/>
        </w:rPr>
      </w:pPr>
    </w:p>
    <w:p w14:paraId="4BA7092D">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1B80379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DF57758">
      <w:pPr>
        <w:spacing w:before="312" w:beforeLines="100" w:after="312" w:afterLines="100"/>
        <w:jc w:val="left"/>
        <w:rPr>
          <w:color w:val="auto"/>
          <w:sz w:val="24"/>
        </w:rPr>
      </w:pPr>
      <w:r>
        <w:rPr>
          <w:rFonts w:hint="eastAsia" w:ascii="宋体" w:hAnsi="宋体" w:cs="宋体"/>
          <w:color w:val="auto"/>
          <w:sz w:val="24"/>
        </w:rPr>
        <w:t>日期：      年   月   日</w:t>
      </w:r>
    </w:p>
    <w:p w14:paraId="539682A0">
      <w:pPr>
        <w:rPr>
          <w:rFonts w:hint="eastAsia"/>
          <w:color w:val="auto"/>
        </w:rPr>
      </w:pPr>
      <w:r>
        <w:rPr>
          <w:rFonts w:hint="eastAsia"/>
          <w:color w:val="auto"/>
        </w:rPr>
        <w:br w:type="page"/>
      </w:r>
    </w:p>
    <w:p w14:paraId="30498FFA">
      <w:pPr>
        <w:pStyle w:val="6"/>
        <w:ind w:left="0" w:firstLine="0"/>
        <w:jc w:val="left"/>
        <w:outlineLvl w:val="0"/>
        <w:rPr>
          <w:color w:val="auto"/>
        </w:rPr>
      </w:pPr>
      <w:bookmarkStart w:id="1000" w:name="_Toc25478_WPSOffice_Level1"/>
      <w:bookmarkStart w:id="1001" w:name="_Toc2390"/>
      <w:bookmarkStart w:id="1002" w:name="_Toc8004_WPSOffice_Level1"/>
      <w:bookmarkStart w:id="1003" w:name="_Toc12934_WPSOffice_Level1"/>
      <w:r>
        <w:rPr>
          <w:rFonts w:hint="eastAsia"/>
          <w:color w:val="auto"/>
        </w:rPr>
        <w:t>评分标准索引表</w:t>
      </w:r>
      <w:bookmarkEnd w:id="1000"/>
      <w:bookmarkEnd w:id="1001"/>
      <w:bookmarkEnd w:id="1002"/>
      <w:bookmarkEnd w:id="1003"/>
    </w:p>
    <w:p w14:paraId="6611578F">
      <w:pPr>
        <w:jc w:val="center"/>
        <w:outlineLvl w:val="0"/>
        <w:rPr>
          <w:color w:val="auto"/>
          <w:sz w:val="36"/>
          <w:szCs w:val="36"/>
        </w:rPr>
      </w:pPr>
      <w:bookmarkStart w:id="1004" w:name="_Toc14448"/>
      <w:bookmarkStart w:id="1005" w:name="_Toc883_WPSOffice_Level1"/>
      <w:r>
        <w:rPr>
          <w:rFonts w:hint="eastAsia"/>
          <w:color w:val="auto"/>
          <w:sz w:val="36"/>
          <w:szCs w:val="36"/>
        </w:rPr>
        <w:t>评分标准索引表</w:t>
      </w:r>
      <w:bookmarkEnd w:id="1004"/>
      <w:bookmarkEnd w:id="1005"/>
    </w:p>
    <w:tbl>
      <w:tblPr>
        <w:tblStyle w:val="47"/>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341BAB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1784EAC0">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0BDCF37B">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0597B128">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35FF71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70775FA8">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0D18F6B6">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39AD972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784E73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0FC9D54">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5F820B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585552E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EC7802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4C2B74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432FAC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579DA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39CCB9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1DFC437">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2C169C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5F9874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08BBD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B04CFEA">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D01BF3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8E2B35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A69C76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587BD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F7F7A4A">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339F9B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7A7C80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9BF8C6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4157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02631A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DCF58C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1DC1BD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51D5FF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AD8AF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61DF681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647CC6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00FEEB3">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1B259C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BD525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7A21C4A8">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093787B3">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89B563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EF7A170">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77460F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1F06D39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0F9A47B">
            <w:pPr>
              <w:rPr>
                <w:color w:val="auto"/>
                <w:sz w:val="24"/>
                <w:szCs w:val="24"/>
              </w:rPr>
            </w:pPr>
          </w:p>
          <w:p w14:paraId="6581934F">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7EBC09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57B8245">
            <w:pPr>
              <w:jc w:val="left"/>
              <w:rPr>
                <w:rFonts w:ascii="楷体_GB2312" w:eastAsia="楷体_GB2312"/>
                <w:color w:val="auto"/>
                <w:sz w:val="24"/>
                <w:szCs w:val="24"/>
              </w:rPr>
            </w:pPr>
            <w:r>
              <w:rPr>
                <w:rFonts w:hint="eastAsia" w:ascii="仿宋_GB2312" w:eastAsia="仿宋_GB2312"/>
                <w:color w:val="auto"/>
                <w:sz w:val="24"/>
                <w:szCs w:val="24"/>
              </w:rPr>
              <w:t>……</w:t>
            </w:r>
          </w:p>
        </w:tc>
      </w:tr>
      <w:tr w14:paraId="19BF28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3F00FA6">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B0633A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316D7D2">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FD5B038">
            <w:pPr>
              <w:jc w:val="left"/>
              <w:rPr>
                <w:rFonts w:ascii="楷体_GB2312" w:eastAsia="楷体_GB2312"/>
                <w:color w:val="auto"/>
                <w:sz w:val="24"/>
                <w:szCs w:val="24"/>
              </w:rPr>
            </w:pPr>
          </w:p>
        </w:tc>
      </w:tr>
      <w:tr w14:paraId="2DD847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541B796">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BBC06A3">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D7C038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C0F2969">
            <w:pPr>
              <w:jc w:val="left"/>
              <w:rPr>
                <w:rFonts w:ascii="楷体_GB2312" w:eastAsia="楷体_GB2312"/>
                <w:color w:val="auto"/>
                <w:sz w:val="24"/>
                <w:szCs w:val="24"/>
              </w:rPr>
            </w:pPr>
          </w:p>
        </w:tc>
      </w:tr>
      <w:tr w14:paraId="79ED4F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5AC74A7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E91A77C">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D8E272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F5442BE">
            <w:pPr>
              <w:jc w:val="left"/>
              <w:rPr>
                <w:rFonts w:ascii="楷体_GB2312" w:eastAsia="楷体_GB2312"/>
                <w:color w:val="auto"/>
                <w:sz w:val="24"/>
                <w:szCs w:val="24"/>
              </w:rPr>
            </w:pPr>
          </w:p>
        </w:tc>
      </w:tr>
      <w:tr w14:paraId="65F47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B2397F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F1463B3">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C98BBCC">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3428871">
            <w:pPr>
              <w:jc w:val="left"/>
              <w:rPr>
                <w:rFonts w:ascii="楷体_GB2312" w:eastAsia="楷体_GB2312"/>
                <w:color w:val="auto"/>
                <w:sz w:val="24"/>
                <w:szCs w:val="24"/>
              </w:rPr>
            </w:pPr>
          </w:p>
        </w:tc>
      </w:tr>
      <w:tr w14:paraId="7DE0C5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2CD63B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FD9162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A51BFE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6E214F1">
            <w:pPr>
              <w:jc w:val="left"/>
              <w:rPr>
                <w:rFonts w:ascii="楷体_GB2312" w:eastAsia="楷体_GB2312"/>
                <w:color w:val="auto"/>
                <w:sz w:val="24"/>
                <w:szCs w:val="24"/>
              </w:rPr>
            </w:pPr>
          </w:p>
        </w:tc>
      </w:tr>
    </w:tbl>
    <w:p w14:paraId="219D9F74">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BAAFE">
    <w:pPr>
      <w:pStyle w:val="34"/>
      <w:framePr w:wrap="around" w:vAnchor="text" w:hAnchor="margin" w:xAlign="center" w:y="1"/>
      <w:rPr>
        <w:rStyle w:val="51"/>
      </w:rPr>
    </w:pPr>
    <w:r>
      <w:rPr>
        <w:rStyle w:val="51"/>
      </w:rPr>
      <w:fldChar w:fldCharType="begin"/>
    </w:r>
    <w:r>
      <w:rPr>
        <w:rStyle w:val="51"/>
      </w:rPr>
      <w:instrText xml:space="preserve">PAGE  </w:instrText>
    </w:r>
    <w:r>
      <w:rPr>
        <w:rStyle w:val="51"/>
      </w:rPr>
      <w:fldChar w:fldCharType="end"/>
    </w:r>
  </w:p>
  <w:p w14:paraId="222878B1">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64235773">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63634BB6">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2788457C">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10E7B238">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1E575DBC">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764F5070">
    <w:pPr>
      <w:pStyle w:val="34"/>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58794">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8E94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abstractNum w:abstractNumId="4">
    <w:nsid w:val="7C384741"/>
    <w:multiLevelType w:val="multilevel"/>
    <w:tmpl w:val="7C384741"/>
    <w:lvl w:ilvl="0" w:tentative="0">
      <w:start w:val="1"/>
      <w:numFmt w:val="decimal"/>
      <w:lvlText w:val="%1."/>
      <w:lvlJc w:val="left"/>
      <w:pPr>
        <w:ind w:left="360" w:hanging="360"/>
      </w:pPr>
      <w:rPr>
        <w:rFonts w:hint="default" w:ascii="Calibri" w:hAnsi="Calibri"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3B704A"/>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2EC2BF0"/>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5A547F"/>
    <w:rsid w:val="267E6FB9"/>
    <w:rsid w:val="26804E34"/>
    <w:rsid w:val="26AA5D19"/>
    <w:rsid w:val="26BA509C"/>
    <w:rsid w:val="26CA1627"/>
    <w:rsid w:val="27056576"/>
    <w:rsid w:val="2707024E"/>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2FB63DA8"/>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13B46E"/>
    <w:rsid w:val="4E2C4362"/>
    <w:rsid w:val="4E660E4C"/>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ED6E80"/>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674E18"/>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1E6FC1"/>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AFE1E5F"/>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9D7B884E"/>
    <w:rsid w:val="EFDF4FA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next w:val="22"/>
    <w:link w:val="67"/>
    <w:qFormat/>
    <w:uiPriority w:val="99"/>
    <w:pPr>
      <w:ind w:firstLine="420" w:firstLineChars="100"/>
    </w:pPr>
  </w:style>
  <w:style w:type="paragraph" w:styleId="22">
    <w:name w:val="toc 6"/>
    <w:basedOn w:val="1"/>
    <w:next w:val="1"/>
    <w:qFormat/>
    <w:uiPriority w:val="99"/>
    <w:pPr>
      <w:ind w:left="1050"/>
      <w:jc w:val="left"/>
    </w:pPr>
    <w:rPr>
      <w:rFonts w:ascii="Arial" w:hAnsi="Arial" w:cs="Arial"/>
      <w:kern w:val="2"/>
      <w:sz w:val="18"/>
      <w:szCs w:val="18"/>
    </w:rPr>
  </w:style>
  <w:style w:type="paragraph" w:styleId="23">
    <w:name w:val="Body Text Indent"/>
    <w:basedOn w:val="1"/>
    <w:next w:val="24"/>
    <w:link w:val="70"/>
    <w:qFormat/>
    <w:uiPriority w:val="99"/>
    <w:pPr>
      <w:adjustRightInd w:val="0"/>
      <w:spacing w:line="360" w:lineRule="auto"/>
      <w:ind w:firstLine="490"/>
      <w:jc w:val="left"/>
    </w:pPr>
    <w:rPr>
      <w:rFonts w:ascii="宋体" w:hAnsi="宋体"/>
      <w:sz w:val="24"/>
    </w:rPr>
  </w:style>
  <w:style w:type="paragraph" w:styleId="24">
    <w:name w:val="Body Text First Indent 2"/>
    <w:basedOn w:val="2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5">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6">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7">
    <w:name w:val="toc 5"/>
    <w:basedOn w:val="1"/>
    <w:next w:val="1"/>
    <w:qFormat/>
    <w:uiPriority w:val="99"/>
    <w:pPr>
      <w:ind w:left="840"/>
      <w:jc w:val="left"/>
    </w:pPr>
    <w:rPr>
      <w:rFonts w:ascii="Arial" w:hAnsi="Arial" w:cs="Arial"/>
      <w:kern w:val="2"/>
      <w:sz w:val="18"/>
      <w:szCs w:val="18"/>
    </w:rPr>
  </w:style>
  <w:style w:type="paragraph" w:styleId="28">
    <w:name w:val="toc 3"/>
    <w:basedOn w:val="1"/>
    <w:next w:val="1"/>
    <w:semiHidden/>
    <w:qFormat/>
    <w:uiPriority w:val="99"/>
    <w:pPr>
      <w:ind w:left="840" w:leftChars="400"/>
    </w:pPr>
  </w:style>
  <w:style w:type="paragraph" w:styleId="29">
    <w:name w:val="Plain Text"/>
    <w:basedOn w:val="1"/>
    <w:next w:val="30"/>
    <w:link w:val="71"/>
    <w:qFormat/>
    <w:uiPriority w:val="99"/>
    <w:rPr>
      <w:rFonts w:ascii="宋体" w:hAnsi="Courier New"/>
      <w:sz w:val="18"/>
    </w:rPr>
  </w:style>
  <w:style w:type="paragraph" w:styleId="30">
    <w:name w:val="Date"/>
    <w:basedOn w:val="1"/>
    <w:next w:val="1"/>
    <w:link w:val="72"/>
    <w:qFormat/>
    <w:uiPriority w:val="99"/>
    <w:pPr>
      <w:ind w:left="2500" w:leftChars="2500"/>
    </w:pPr>
    <w:rPr>
      <w:rFonts w:ascii="宋体" w:hAnsi="宋体"/>
      <w:kern w:val="2"/>
      <w:sz w:val="24"/>
    </w:rPr>
  </w:style>
  <w:style w:type="paragraph" w:styleId="31">
    <w:name w:val="toc 8"/>
    <w:basedOn w:val="1"/>
    <w:next w:val="1"/>
    <w:qFormat/>
    <w:uiPriority w:val="99"/>
    <w:pPr>
      <w:ind w:left="1470"/>
      <w:jc w:val="left"/>
    </w:pPr>
    <w:rPr>
      <w:rFonts w:ascii="Arial" w:hAnsi="Arial" w:cs="Arial"/>
      <w:kern w:val="2"/>
      <w:sz w:val="18"/>
      <w:szCs w:val="18"/>
    </w:rPr>
  </w:style>
  <w:style w:type="paragraph" w:styleId="32">
    <w:name w:val="Body Text Indent 2"/>
    <w:basedOn w:val="1"/>
    <w:link w:val="73"/>
    <w:qFormat/>
    <w:uiPriority w:val="99"/>
    <w:pPr>
      <w:spacing w:after="120" w:line="480" w:lineRule="auto"/>
      <w:ind w:left="420" w:leftChars="200"/>
    </w:pPr>
    <w:rPr>
      <w:kern w:val="2"/>
    </w:rPr>
  </w:style>
  <w:style w:type="paragraph" w:styleId="33">
    <w:name w:val="Balloon Text"/>
    <w:basedOn w:val="1"/>
    <w:link w:val="74"/>
    <w:qFormat/>
    <w:uiPriority w:val="99"/>
    <w:rPr>
      <w:sz w:val="18"/>
    </w:rPr>
  </w:style>
  <w:style w:type="paragraph" w:styleId="34">
    <w:name w:val="footer"/>
    <w:basedOn w:val="1"/>
    <w:link w:val="75"/>
    <w:qFormat/>
    <w:uiPriority w:val="99"/>
    <w:pPr>
      <w:tabs>
        <w:tab w:val="center" w:pos="4153"/>
        <w:tab w:val="right" w:pos="8306"/>
      </w:tabs>
      <w:snapToGrid w:val="0"/>
      <w:jc w:val="left"/>
    </w:pPr>
    <w:rPr>
      <w:sz w:val="18"/>
    </w:rPr>
  </w:style>
  <w:style w:type="paragraph" w:styleId="35">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6">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7">
    <w:name w:val="toc 4"/>
    <w:basedOn w:val="1"/>
    <w:next w:val="1"/>
    <w:qFormat/>
    <w:uiPriority w:val="99"/>
    <w:pPr>
      <w:ind w:left="630"/>
      <w:jc w:val="left"/>
    </w:pPr>
    <w:rPr>
      <w:rFonts w:ascii="Arial" w:hAnsi="Arial" w:cs="Arial"/>
      <w:kern w:val="2"/>
      <w:sz w:val="18"/>
      <w:szCs w:val="18"/>
    </w:rPr>
  </w:style>
  <w:style w:type="paragraph" w:styleId="38">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9">
    <w:name w:val="List 5"/>
    <w:basedOn w:val="1"/>
    <w:qFormat/>
    <w:uiPriority w:val="99"/>
    <w:pPr>
      <w:ind w:left="100" w:leftChars="800" w:hanging="200" w:hangingChars="200"/>
    </w:pPr>
    <w:rPr>
      <w:rFonts w:ascii="Arial" w:hAnsi="Arial" w:cs="Arial"/>
      <w:kern w:val="2"/>
    </w:rPr>
  </w:style>
  <w:style w:type="paragraph" w:styleId="40">
    <w:name w:val="Body Text Indent 3"/>
    <w:basedOn w:val="1"/>
    <w:link w:val="79"/>
    <w:qFormat/>
    <w:uiPriority w:val="99"/>
    <w:pPr>
      <w:spacing w:after="120"/>
      <w:ind w:left="420" w:leftChars="200"/>
    </w:pPr>
    <w:rPr>
      <w:sz w:val="16"/>
    </w:rPr>
  </w:style>
  <w:style w:type="paragraph" w:styleId="41">
    <w:name w:val="toc 2"/>
    <w:basedOn w:val="1"/>
    <w:next w:val="1"/>
    <w:qFormat/>
    <w:uiPriority w:val="99"/>
    <w:pPr>
      <w:ind w:left="420" w:leftChars="200"/>
    </w:pPr>
  </w:style>
  <w:style w:type="paragraph" w:styleId="42">
    <w:name w:val="toc 9"/>
    <w:basedOn w:val="1"/>
    <w:next w:val="1"/>
    <w:qFormat/>
    <w:uiPriority w:val="99"/>
    <w:pPr>
      <w:ind w:left="1680"/>
      <w:jc w:val="left"/>
    </w:pPr>
    <w:rPr>
      <w:rFonts w:ascii="Arial" w:hAnsi="Arial" w:cs="Arial"/>
      <w:kern w:val="2"/>
      <w:sz w:val="18"/>
      <w:szCs w:val="18"/>
    </w:rPr>
  </w:style>
  <w:style w:type="paragraph" w:styleId="43">
    <w:name w:val="Body Text 2"/>
    <w:basedOn w:val="1"/>
    <w:link w:val="80"/>
    <w:qFormat/>
    <w:uiPriority w:val="99"/>
    <w:pPr>
      <w:spacing w:line="120" w:lineRule="atLeast"/>
    </w:pPr>
    <w:rPr>
      <w:kern w:val="2"/>
      <w:sz w:val="24"/>
    </w:rPr>
  </w:style>
  <w:style w:type="paragraph" w:styleId="44">
    <w:name w:val="Normal (Web)"/>
    <w:basedOn w:val="1"/>
    <w:qFormat/>
    <w:uiPriority w:val="99"/>
    <w:pPr>
      <w:widowControl/>
      <w:spacing w:before="100" w:beforeAutospacing="1" w:after="100" w:afterAutospacing="1"/>
      <w:jc w:val="left"/>
    </w:pPr>
    <w:rPr>
      <w:rFonts w:ascii="宋体" w:hAnsi="宋体"/>
      <w:sz w:val="24"/>
    </w:rPr>
  </w:style>
  <w:style w:type="paragraph" w:styleId="45">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6">
    <w:name w:val="annotation subject"/>
    <w:basedOn w:val="18"/>
    <w:next w:val="18"/>
    <w:link w:val="65"/>
    <w:qFormat/>
    <w:uiPriority w:val="99"/>
    <w:rPr>
      <w:b/>
      <w:bCs/>
    </w:r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99"/>
    <w:rPr>
      <w:rFonts w:cs="Times New Roman"/>
      <w:b/>
    </w:rPr>
  </w:style>
  <w:style w:type="character" w:styleId="51">
    <w:name w:val="page number"/>
    <w:basedOn w:val="49"/>
    <w:qFormat/>
    <w:uiPriority w:val="99"/>
    <w:rPr>
      <w:rFonts w:cs="Times New Roman"/>
    </w:rPr>
  </w:style>
  <w:style w:type="character" w:styleId="52">
    <w:name w:val="FollowedHyperlink"/>
    <w:basedOn w:val="49"/>
    <w:qFormat/>
    <w:uiPriority w:val="99"/>
    <w:rPr>
      <w:rFonts w:eastAsia="仿宋_GB2312" w:cs="Times New Roman"/>
      <w:color w:val="800080"/>
      <w:sz w:val="28"/>
      <w:u w:val="single"/>
    </w:rPr>
  </w:style>
  <w:style w:type="character" w:styleId="53">
    <w:name w:val="Hyperlink"/>
    <w:basedOn w:val="49"/>
    <w:qFormat/>
    <w:uiPriority w:val="99"/>
    <w:rPr>
      <w:rFonts w:cs="Times New Roman"/>
      <w:color w:val="0000FF"/>
      <w:u w:val="single"/>
    </w:rPr>
  </w:style>
  <w:style w:type="character" w:styleId="54">
    <w:name w:val="annotation reference"/>
    <w:basedOn w:val="49"/>
    <w:qFormat/>
    <w:uiPriority w:val="99"/>
    <w:rPr>
      <w:rFonts w:cs="Times New Roman"/>
      <w:sz w:val="21"/>
    </w:rPr>
  </w:style>
  <w:style w:type="character" w:customStyle="1" w:styleId="55">
    <w:name w:val="标题 1 字符"/>
    <w:basedOn w:val="49"/>
    <w:link w:val="4"/>
    <w:qFormat/>
    <w:locked/>
    <w:uiPriority w:val="99"/>
    <w:rPr>
      <w:rFonts w:eastAsia="黑体" w:cs="Times New Roman"/>
      <w:b/>
      <w:kern w:val="44"/>
      <w:sz w:val="36"/>
    </w:rPr>
  </w:style>
  <w:style w:type="character" w:customStyle="1" w:styleId="56">
    <w:name w:val="标题 2 字符"/>
    <w:basedOn w:val="49"/>
    <w:link w:val="5"/>
    <w:qFormat/>
    <w:locked/>
    <w:uiPriority w:val="99"/>
    <w:rPr>
      <w:rFonts w:ascii="Arial" w:hAnsi="Arial" w:eastAsia="黑体" w:cs="Times New Roman"/>
      <w:b/>
      <w:snapToGrid w:val="0"/>
      <w:kern w:val="44"/>
      <w:sz w:val="28"/>
    </w:rPr>
  </w:style>
  <w:style w:type="character" w:customStyle="1" w:styleId="57">
    <w:name w:val="标题 3 字符"/>
    <w:basedOn w:val="49"/>
    <w:link w:val="6"/>
    <w:qFormat/>
    <w:locked/>
    <w:uiPriority w:val="99"/>
    <w:rPr>
      <w:rFonts w:ascii="宋体" w:cs="Times New Roman"/>
      <w:b/>
      <w:kern w:val="2"/>
      <w:sz w:val="28"/>
    </w:rPr>
  </w:style>
  <w:style w:type="character" w:customStyle="1" w:styleId="58">
    <w:name w:val="标题 4 字符"/>
    <w:basedOn w:val="49"/>
    <w:link w:val="7"/>
    <w:qFormat/>
    <w:locked/>
    <w:uiPriority w:val="99"/>
    <w:rPr>
      <w:rFonts w:ascii="黑体" w:eastAsia="黑体" w:cs="Times New Roman"/>
      <w:b/>
      <w:kern w:val="2"/>
      <w:sz w:val="24"/>
    </w:rPr>
  </w:style>
  <w:style w:type="character" w:customStyle="1" w:styleId="59">
    <w:name w:val="标题 5 字符"/>
    <w:basedOn w:val="49"/>
    <w:link w:val="9"/>
    <w:qFormat/>
    <w:locked/>
    <w:uiPriority w:val="99"/>
    <w:rPr>
      <w:rFonts w:cs="Times New Roman"/>
      <w:b/>
      <w:snapToGrid w:val="0"/>
      <w:sz w:val="28"/>
    </w:rPr>
  </w:style>
  <w:style w:type="character" w:customStyle="1" w:styleId="60">
    <w:name w:val="标题 6 字符"/>
    <w:basedOn w:val="49"/>
    <w:link w:val="10"/>
    <w:qFormat/>
    <w:locked/>
    <w:uiPriority w:val="99"/>
    <w:rPr>
      <w:rFonts w:ascii="黑体" w:hAnsi="黑体" w:eastAsia="楷体" w:cs="Times New Roman"/>
      <w:b/>
      <w:kern w:val="2"/>
      <w:sz w:val="24"/>
    </w:rPr>
  </w:style>
  <w:style w:type="character" w:customStyle="1" w:styleId="61">
    <w:name w:val="标题 7 字符"/>
    <w:basedOn w:val="49"/>
    <w:link w:val="11"/>
    <w:qFormat/>
    <w:locked/>
    <w:uiPriority w:val="99"/>
    <w:rPr>
      <w:rFonts w:ascii="Arial" w:hAnsi="Arial" w:cs="Times New Roman"/>
      <w:b/>
      <w:kern w:val="2"/>
      <w:sz w:val="24"/>
    </w:rPr>
  </w:style>
  <w:style w:type="character" w:customStyle="1" w:styleId="62">
    <w:name w:val="标题 8 字符"/>
    <w:basedOn w:val="49"/>
    <w:link w:val="12"/>
    <w:qFormat/>
    <w:locked/>
    <w:uiPriority w:val="99"/>
    <w:rPr>
      <w:rFonts w:ascii="黑体" w:hAnsi="黑体" w:eastAsia="楷体" w:cs="Times New Roman"/>
      <w:kern w:val="2"/>
      <w:sz w:val="24"/>
    </w:rPr>
  </w:style>
  <w:style w:type="character" w:customStyle="1" w:styleId="63">
    <w:name w:val="标题 9 字符"/>
    <w:basedOn w:val="49"/>
    <w:link w:val="13"/>
    <w:qFormat/>
    <w:locked/>
    <w:uiPriority w:val="99"/>
    <w:rPr>
      <w:rFonts w:ascii="黑体" w:hAnsi="黑体" w:eastAsia="楷体" w:cs="Times New Roman"/>
      <w:kern w:val="2"/>
      <w:sz w:val="21"/>
    </w:rPr>
  </w:style>
  <w:style w:type="character" w:customStyle="1" w:styleId="64">
    <w:name w:val="批注文字 字符"/>
    <w:basedOn w:val="49"/>
    <w:link w:val="18"/>
    <w:qFormat/>
    <w:locked/>
    <w:uiPriority w:val="99"/>
    <w:rPr>
      <w:rFonts w:cs="Times New Roman"/>
      <w:kern w:val="2"/>
      <w:sz w:val="21"/>
    </w:rPr>
  </w:style>
  <w:style w:type="character" w:customStyle="1" w:styleId="65">
    <w:name w:val="批注主题 字符"/>
    <w:basedOn w:val="64"/>
    <w:link w:val="46"/>
    <w:qFormat/>
    <w:locked/>
    <w:uiPriority w:val="99"/>
    <w:rPr>
      <w:rFonts w:cs="Times New Roman"/>
      <w:b/>
      <w:kern w:val="2"/>
      <w:sz w:val="21"/>
    </w:rPr>
  </w:style>
  <w:style w:type="character" w:customStyle="1" w:styleId="66">
    <w:name w:val="正文文本 字符"/>
    <w:basedOn w:val="49"/>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9"/>
    <w:link w:val="17"/>
    <w:qFormat/>
    <w:locked/>
    <w:uiPriority w:val="99"/>
    <w:rPr>
      <w:rFonts w:cs="Times New Roman"/>
      <w:snapToGrid w:val="0"/>
      <w:sz w:val="21"/>
      <w:shd w:val="clear" w:color="auto" w:fill="000080"/>
    </w:rPr>
  </w:style>
  <w:style w:type="character" w:customStyle="1" w:styleId="69">
    <w:name w:val="正文文本 3 字符"/>
    <w:basedOn w:val="49"/>
    <w:link w:val="19"/>
    <w:semiHidden/>
    <w:qFormat/>
    <w:locked/>
    <w:uiPriority w:val="99"/>
    <w:rPr>
      <w:rFonts w:cs="Times New Roman"/>
      <w:kern w:val="0"/>
      <w:sz w:val="16"/>
      <w:szCs w:val="16"/>
    </w:rPr>
  </w:style>
  <w:style w:type="character" w:customStyle="1" w:styleId="70">
    <w:name w:val="正文文本缩进 字符"/>
    <w:basedOn w:val="49"/>
    <w:link w:val="23"/>
    <w:qFormat/>
    <w:locked/>
    <w:uiPriority w:val="99"/>
    <w:rPr>
      <w:rFonts w:ascii="宋体" w:eastAsia="宋体" w:cs="Times New Roman"/>
      <w:snapToGrid w:val="0"/>
      <w:sz w:val="24"/>
    </w:rPr>
  </w:style>
  <w:style w:type="character" w:customStyle="1" w:styleId="71">
    <w:name w:val="纯文本 字符"/>
    <w:basedOn w:val="49"/>
    <w:link w:val="29"/>
    <w:qFormat/>
    <w:locked/>
    <w:uiPriority w:val="99"/>
    <w:rPr>
      <w:rFonts w:ascii="宋体" w:hAnsi="Courier New" w:cs="Times New Roman"/>
      <w:sz w:val="18"/>
    </w:rPr>
  </w:style>
  <w:style w:type="character" w:customStyle="1" w:styleId="72">
    <w:name w:val="日期 字符"/>
    <w:basedOn w:val="49"/>
    <w:link w:val="30"/>
    <w:qFormat/>
    <w:locked/>
    <w:uiPriority w:val="99"/>
    <w:rPr>
      <w:rFonts w:ascii="宋体" w:eastAsia="宋体" w:cs="Times New Roman"/>
      <w:kern w:val="2"/>
      <w:sz w:val="24"/>
    </w:rPr>
  </w:style>
  <w:style w:type="character" w:customStyle="1" w:styleId="73">
    <w:name w:val="正文文本缩进 2 字符"/>
    <w:basedOn w:val="49"/>
    <w:link w:val="32"/>
    <w:qFormat/>
    <w:locked/>
    <w:uiPriority w:val="99"/>
    <w:rPr>
      <w:rFonts w:cs="Times New Roman"/>
      <w:kern w:val="2"/>
      <w:sz w:val="21"/>
    </w:rPr>
  </w:style>
  <w:style w:type="character" w:customStyle="1" w:styleId="74">
    <w:name w:val="批注框文本 字符"/>
    <w:basedOn w:val="49"/>
    <w:link w:val="33"/>
    <w:qFormat/>
    <w:locked/>
    <w:uiPriority w:val="99"/>
    <w:rPr>
      <w:rFonts w:cs="Times New Roman"/>
      <w:snapToGrid w:val="0"/>
      <w:sz w:val="18"/>
    </w:rPr>
  </w:style>
  <w:style w:type="character" w:customStyle="1" w:styleId="75">
    <w:name w:val="页脚 字符"/>
    <w:basedOn w:val="49"/>
    <w:link w:val="34"/>
    <w:qFormat/>
    <w:locked/>
    <w:uiPriority w:val="99"/>
    <w:rPr>
      <w:rFonts w:eastAsia="宋体" w:cs="Times New Roman"/>
      <w:snapToGrid w:val="0"/>
      <w:sz w:val="18"/>
      <w:lang w:val="en-US" w:eastAsia="zh-CN"/>
    </w:rPr>
  </w:style>
  <w:style w:type="character" w:customStyle="1" w:styleId="76">
    <w:name w:val="正文文本首行缩进 2 字符"/>
    <w:basedOn w:val="70"/>
    <w:link w:val="24"/>
    <w:qFormat/>
    <w:locked/>
    <w:uiPriority w:val="99"/>
    <w:rPr>
      <w:rFonts w:ascii="宋体" w:eastAsia="宋体" w:cs="Times New Roman"/>
      <w:snapToGrid w:val="0"/>
      <w:kern w:val="2"/>
      <w:sz w:val="24"/>
    </w:rPr>
  </w:style>
  <w:style w:type="character" w:customStyle="1" w:styleId="77">
    <w:name w:val="页眉 字符"/>
    <w:basedOn w:val="49"/>
    <w:link w:val="35"/>
    <w:qFormat/>
    <w:locked/>
    <w:uiPriority w:val="99"/>
    <w:rPr>
      <w:rFonts w:eastAsia="宋体" w:cs="Times New Roman"/>
      <w:snapToGrid w:val="0"/>
      <w:sz w:val="18"/>
      <w:lang w:val="en-US" w:eastAsia="zh-CN"/>
    </w:rPr>
  </w:style>
  <w:style w:type="character" w:customStyle="1" w:styleId="78">
    <w:name w:val="副标题 字符"/>
    <w:basedOn w:val="49"/>
    <w:link w:val="38"/>
    <w:qFormat/>
    <w:locked/>
    <w:uiPriority w:val="99"/>
    <w:rPr>
      <w:rFonts w:ascii="Cambria" w:hAnsi="Cambria" w:cs="Times New Roman"/>
      <w:b/>
      <w:snapToGrid w:val="0"/>
      <w:kern w:val="28"/>
      <w:sz w:val="32"/>
    </w:rPr>
  </w:style>
  <w:style w:type="character" w:customStyle="1" w:styleId="79">
    <w:name w:val="正文文本缩进 3 字符"/>
    <w:basedOn w:val="49"/>
    <w:link w:val="40"/>
    <w:qFormat/>
    <w:locked/>
    <w:uiPriority w:val="99"/>
    <w:rPr>
      <w:rFonts w:cs="Times New Roman"/>
      <w:snapToGrid w:val="0"/>
      <w:sz w:val="16"/>
    </w:rPr>
  </w:style>
  <w:style w:type="character" w:customStyle="1" w:styleId="80">
    <w:name w:val="正文文本 2 字符"/>
    <w:basedOn w:val="49"/>
    <w:link w:val="43"/>
    <w:qFormat/>
    <w:locked/>
    <w:uiPriority w:val="99"/>
    <w:rPr>
      <w:rFonts w:eastAsia="宋体" w:cs="Times New Roman"/>
      <w:kern w:val="2"/>
      <w:sz w:val="24"/>
      <w:lang w:val="en-US" w:eastAsia="zh-CN"/>
    </w:rPr>
  </w:style>
  <w:style w:type="character" w:customStyle="1" w:styleId="81">
    <w:name w:val="标题 字符"/>
    <w:basedOn w:val="49"/>
    <w:link w:val="45"/>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9"/>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9"/>
    <w:qFormat/>
    <w:uiPriority w:val="99"/>
    <w:rPr>
      <w:rFonts w:ascii="Calibri" w:hAnsi="Calibri"/>
      <w:b/>
      <w:color w:val="000000"/>
      <w:sz w:val="24"/>
      <w:u w:val="none"/>
    </w:rPr>
  </w:style>
  <w:style w:type="character" w:customStyle="1" w:styleId="87">
    <w:name w:val="font31"/>
    <w:basedOn w:val="49"/>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9"/>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9"/>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9"/>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Times New Roman" w:hAnsi="Times New Roman" w:eastAsia="宋体" w:cs="Times New Roman"/>
      <w:sz w:val="20"/>
      <w:szCs w:val="20"/>
    </w:rPr>
  </w:style>
  <w:style w:type="paragraph" w:customStyle="1" w:styleId="196">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43</Pages>
  <Words>24745</Words>
  <Characters>25731</Characters>
  <Lines>257</Lines>
  <Paragraphs>72</Paragraphs>
  <TotalTime>198</TotalTime>
  <ScaleCrop>false</ScaleCrop>
  <LinksUpToDate>false</LinksUpToDate>
  <CharactersWithSpaces>26756</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2018-07-17T15:39:00Z</dcterms:created>
  <dc:creator>小周</dc:creator>
  <cp:lastModifiedBy>施翔</cp:lastModifiedBy>
  <cp:lastPrinted>2021-06-25T10:10:00Z</cp:lastPrinted>
  <dcterms:modified xsi:type="dcterms:W3CDTF">2026-06-16T14:20:26Z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