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2C6DBBE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02E09196">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w:t>
      </w:r>
    </w:p>
    <w:p w14:paraId="7382CA65">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具身智能实验室设备</w:t>
      </w:r>
    </w:p>
    <w:p w14:paraId="16835C8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0F875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1E5F0BF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9C7E7D2">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招标文件</w:t>
      </w:r>
    </w:p>
    <w:p w14:paraId="2AC3D8C9">
      <w:pPr>
        <w:keepNext w:val="0"/>
        <w:keepLines w:val="0"/>
        <w:widowControl/>
        <w:suppressLineNumbers w:val="0"/>
        <w:spacing w:line="288" w:lineRule="auto"/>
        <w:ind w:left="0" w:right="-2"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（线上电子交易）</w:t>
      </w:r>
    </w:p>
    <w:p w14:paraId="4EA69C8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79AC6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3981F8">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53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具身智能实验室设备</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330000263030150000765-QSZBB260370ZHGK</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r w14:paraId="006B81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3205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采购计划书</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E6A05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[2026]55966号</w:t>
            </w:r>
          </w:p>
        </w:tc>
      </w:tr>
    </w:tbl>
    <w:p w14:paraId="2735CA9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57014C77">
      <w:pPr>
        <w:keepNext w:val="0"/>
        <w:keepLines w:val="0"/>
        <w:widowControl/>
        <w:suppressLineNumbers w:val="0"/>
        <w:spacing w:line="288" w:lineRule="auto"/>
        <w:ind w:left="0" w:firstLine="0"/>
        <w:jc w:val="left"/>
        <w:rPr>
          <w:rFonts w:hint="eastAsia" w:ascii="宋体" w:hAnsi="宋体" w:eastAsia="宋体" w:cs="宋体"/>
          <w:b/>
          <w:bCs/>
          <w:color w:val="auto"/>
          <w:spacing w:val="0"/>
          <w:kern w:val="0"/>
          <w:sz w:val="30"/>
          <w:szCs w:val="30"/>
          <w:highlight w:val="none"/>
          <w:lang w:val="en-US" w:eastAsia="zh-CN" w:bidi="ar"/>
        </w:rPr>
      </w:pPr>
    </w:p>
    <w:p w14:paraId="7494760D">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投标邀请</w:t>
      </w:r>
    </w:p>
    <w:p w14:paraId="04987F77">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0481AA8B">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投标人须知</w:t>
      </w:r>
    </w:p>
    <w:p w14:paraId="038A8E8E">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评标方法和评标标准</w:t>
      </w:r>
    </w:p>
    <w:p w14:paraId="1C6D3191">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22AAD532">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第六章  投标文件格式</w:t>
      </w:r>
    </w:p>
    <w:p w14:paraId="5CB384E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投标邀请</w:t>
      </w:r>
    </w:p>
    <w:p w14:paraId="482F500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color w:val="auto"/>
          <w:sz w:val="28"/>
          <w:highlight w:val="none"/>
        </w:rPr>
        <w:pict>
          <v:rect id="_x0000_s1026" o:spid="_x0000_s1026" o:spt="1" style="position:absolute;left:0pt;margin-left:-3.1pt;margin-top:-3.4pt;height:52.55pt;width:493.85pt;z-index:251660288;mso-width-relative:page;mso-height-relative:page;" filled="f" stroked="t" coordsize="21600,21600">
            <v:path/>
            <v:fill on="f" focussize="0,0"/>
            <v:stroke weight="1pt" color="#000000"/>
            <v:imagedata o:title=""/>
            <o:lock v:ext="edit" aspectratio="f"/>
          </v:rect>
        </w:pict>
      </w:r>
      <w:r>
        <w:rPr>
          <w:rFonts w:hint="eastAsia" w:ascii="宋体" w:hAnsi="宋体" w:eastAsia="宋体" w:cs="宋体"/>
          <w:b/>
          <w:bCs/>
          <w:color w:val="auto"/>
          <w:kern w:val="0"/>
          <w:sz w:val="21"/>
          <w:szCs w:val="21"/>
          <w:highlight w:val="none"/>
          <w:lang w:val="en-US" w:eastAsia="zh-CN" w:bidi="ar"/>
        </w:rPr>
        <w:t>项目概况</w:t>
      </w:r>
    </w:p>
    <w:p w14:paraId="022B9B6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lang w:val="en-US" w:eastAsia="zh-CN" w:bidi="ar"/>
        </w:rPr>
        <w:t>项目的潜在投标人应在政采云平台线上获取（下载）招标文件，并于2026年</w:t>
      </w:r>
      <w:r>
        <w:rPr>
          <w:rFonts w:hint="eastAsia" w:ascii="宋体" w:hAnsi="宋体" w:cs="宋体"/>
          <w:color w:val="auto"/>
          <w:kern w:val="0"/>
          <w:sz w:val="21"/>
          <w:szCs w:val="21"/>
          <w:highlight w:val="none"/>
          <w:lang w:val="en-US" w:eastAsia="zh-CN" w:bidi="ar"/>
        </w:rPr>
        <w:t>9月15日13:30:00</w:t>
      </w:r>
      <w:r>
        <w:rPr>
          <w:rFonts w:hint="eastAsia" w:ascii="宋体" w:hAnsi="宋体" w:eastAsia="宋体" w:cs="宋体"/>
          <w:color w:val="auto"/>
          <w:kern w:val="0"/>
          <w:sz w:val="21"/>
          <w:szCs w:val="21"/>
          <w:highlight w:val="none"/>
          <w:lang w:val="en-US" w:eastAsia="zh-CN" w:bidi="ar"/>
        </w:rPr>
        <w:t>（北京时间）前递交（上传）投标文件。</w:t>
      </w:r>
    </w:p>
    <w:p w14:paraId="7625897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57B96D6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项目编号：</w:t>
      </w:r>
      <w:r>
        <w:rPr>
          <w:rFonts w:hint="eastAsia" w:ascii="宋体" w:hAnsi="宋体" w:cs="宋体"/>
          <w:i w:val="0"/>
          <w:iCs w:val="0"/>
          <w:color w:val="auto"/>
          <w:kern w:val="0"/>
          <w:sz w:val="21"/>
          <w:szCs w:val="21"/>
          <w:highlight w:val="none"/>
          <w:lang w:val="en-US" w:eastAsia="zh-CN" w:bidi="ar"/>
        </w:rPr>
        <w:t>330000263030150000765-QSZBB260370ZHGK</w:t>
      </w:r>
    </w:p>
    <w:p w14:paraId="4ACE30B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项目名称：</w:t>
      </w:r>
      <w:r>
        <w:rPr>
          <w:rFonts w:hint="eastAsia" w:ascii="宋体" w:hAnsi="宋体" w:cs="宋体"/>
          <w:i w:val="0"/>
          <w:iCs w:val="0"/>
          <w:color w:val="auto"/>
          <w:kern w:val="0"/>
          <w:sz w:val="21"/>
          <w:szCs w:val="21"/>
          <w:highlight w:val="none"/>
          <w:lang w:val="en-US" w:eastAsia="zh-CN" w:bidi="ar"/>
        </w:rPr>
        <w:t>具身智能实验室设备</w:t>
      </w:r>
    </w:p>
    <w:p w14:paraId="229A0E2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预算金额（元）：646000</w:t>
      </w:r>
    </w:p>
    <w:p w14:paraId="7E78E5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最高限价（元）：646000</w:t>
      </w:r>
    </w:p>
    <w:p w14:paraId="7F17D1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采购需求：</w:t>
      </w:r>
    </w:p>
    <w:tbl>
      <w:tblPr>
        <w:tblStyle w:val="6"/>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autofit"/>
        <w:tblCellMar>
          <w:top w:w="15" w:type="dxa"/>
          <w:left w:w="15" w:type="dxa"/>
          <w:bottom w:w="15" w:type="dxa"/>
          <w:right w:w="15" w:type="dxa"/>
        </w:tblCellMar>
      </w:tblPr>
      <w:tblGrid>
        <w:gridCol w:w="990"/>
        <w:gridCol w:w="1978"/>
        <w:gridCol w:w="1483"/>
        <w:gridCol w:w="1483"/>
        <w:gridCol w:w="2971"/>
        <w:gridCol w:w="991"/>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具身智能实验室设备</w:t>
            </w:r>
          </w:p>
        </w:tc>
        <w:tc>
          <w:tcPr>
            <w:tcW w:w="749" w:type="pct"/>
            <w:tcBorders>
              <w:tl2br w:val="nil"/>
              <w:tr2bl w:val="nil"/>
            </w:tcBorders>
            <w:shd w:val="clear" w:color="auto" w:fill="auto"/>
            <w:tcMar>
              <w:top w:w="0" w:type="dxa"/>
              <w:left w:w="75" w:type="dxa"/>
              <w:bottom w:w="0" w:type="dxa"/>
              <w:right w:w="75" w:type="dxa"/>
            </w:tcMar>
            <w:vAlign w:val="center"/>
          </w:tcPr>
          <w:p w14:paraId="7256FA0D">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646000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646000</w:t>
            </w:r>
          </w:p>
        </w:tc>
        <w:tc>
          <w:tcPr>
            <w:tcW w:w="1500" w:type="pct"/>
            <w:tcBorders>
              <w:tl2br w:val="nil"/>
              <w:tr2bl w:val="nil"/>
            </w:tcBorders>
            <w:shd w:val="clear" w:color="auto" w:fill="auto"/>
            <w:tcMar>
              <w:top w:w="0" w:type="dxa"/>
              <w:left w:w="75" w:type="dxa"/>
              <w:bottom w:w="0" w:type="dxa"/>
              <w:right w:w="75" w:type="dxa"/>
            </w:tcMar>
            <w:vAlign w:val="center"/>
          </w:tcPr>
          <w:p w14:paraId="098650B6">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详见第二章 采购需求</w:t>
            </w:r>
          </w:p>
        </w:tc>
        <w:tc>
          <w:tcPr>
            <w:tcW w:w="500" w:type="pct"/>
            <w:tcBorders>
              <w:tl2br w:val="nil"/>
              <w:tr2bl w:val="nil"/>
            </w:tcBorders>
            <w:shd w:val="clear" w:color="auto" w:fill="auto"/>
            <w:tcMar>
              <w:top w:w="0" w:type="dxa"/>
              <w:left w:w="75" w:type="dxa"/>
              <w:bottom w:w="0" w:type="dxa"/>
              <w:right w:w="75" w:type="dxa"/>
            </w:tcMar>
            <w:vAlign w:val="center"/>
          </w:tcPr>
          <w:p w14:paraId="538B373A">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p>
        </w:tc>
      </w:tr>
    </w:tbl>
    <w:p w14:paraId="5B5C11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合同履行期限：自合同签订之日起20个工作日内交付。</w:t>
      </w:r>
    </w:p>
    <w:p w14:paraId="288DE58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本项目是否接受联合体投标：是</w:t>
      </w:r>
    </w:p>
    <w:p w14:paraId="402105CB">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4D3519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0AF97B3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2.落实政府采购政策需满足的资格要求：无</w:t>
      </w:r>
      <w:bookmarkStart w:id="14" w:name="_GoBack"/>
      <w:bookmarkEnd w:id="14"/>
    </w:p>
    <w:p w14:paraId="7BC6BB4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3.本项目的特定资格要求：无</w:t>
      </w:r>
    </w:p>
    <w:p w14:paraId="2FF182A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w:t>
      </w:r>
    </w:p>
    <w:p w14:paraId="1C945E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（1）单位负责人为同一人或者存在直接控股、管理关系的不同供应商，不得参加同一合同项下的政府采购活动。</w:t>
      </w:r>
    </w:p>
    <w:p w14:paraId="0903533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6596E37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（3）以联合体形式投标的，投标文件中提供《联合协议》。</w:t>
      </w:r>
    </w:p>
    <w:p w14:paraId="51F86C3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三、获取招标文件：</w:t>
      </w:r>
    </w:p>
    <w:p w14:paraId="7ACE705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25</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auto"/>
          <w:kern w:val="0"/>
          <w:sz w:val="21"/>
          <w:szCs w:val="21"/>
          <w:highlight w:val="none"/>
          <w:lang w:val="en-US" w:eastAsia="zh-CN" w:bidi="ar"/>
        </w:rPr>
        <w:t>9月15日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3429C9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地点（网址）：政采云平台线上获取</w:t>
      </w:r>
    </w:p>
    <w:p w14:paraId="542134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方式：供应商登录政府采购云平台（https://www.zcygov.cn）在线申请获取采购文件（进入“项目采购”应用，在获取采购文件菜单中选择项目，申请获取采购文件）</w:t>
      </w:r>
    </w:p>
    <w:p w14:paraId="51596CF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售价（元）：0</w:t>
      </w:r>
    </w:p>
    <w:p w14:paraId="4F5E9C7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四、提交投标文件截止时间、开标时间和地点：</w:t>
      </w:r>
    </w:p>
    <w:p w14:paraId="1D9742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提交投标文件截止时间：2026年</w:t>
      </w:r>
      <w:r>
        <w:rPr>
          <w:rFonts w:hint="eastAsia" w:ascii="宋体" w:hAnsi="宋体" w:cs="宋体"/>
          <w:color w:val="auto"/>
          <w:kern w:val="0"/>
          <w:sz w:val="21"/>
          <w:szCs w:val="21"/>
          <w:highlight w:val="none"/>
          <w:lang w:val="en-US" w:eastAsia="zh-CN" w:bidi="ar"/>
        </w:rPr>
        <w:t>9月15日13:30:00</w:t>
      </w:r>
      <w:r>
        <w:rPr>
          <w:rFonts w:hint="eastAsia" w:ascii="宋体" w:hAnsi="宋体" w:eastAsia="宋体" w:cs="宋体"/>
          <w:color w:val="auto"/>
          <w:kern w:val="0"/>
          <w:sz w:val="21"/>
          <w:szCs w:val="21"/>
          <w:highlight w:val="none"/>
          <w:lang w:val="en-US" w:eastAsia="zh-CN" w:bidi="ar"/>
        </w:rPr>
        <w:t>（北京时间）</w:t>
      </w:r>
    </w:p>
    <w:p w14:paraId="7127E31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投标地点（网址）：请登录政采云投标客户端投标</w:t>
      </w:r>
    </w:p>
    <w:p w14:paraId="27EBEE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开标时间：2026年</w:t>
      </w:r>
      <w:r>
        <w:rPr>
          <w:rFonts w:hint="eastAsia" w:ascii="宋体" w:hAnsi="宋体" w:cs="宋体"/>
          <w:color w:val="auto"/>
          <w:kern w:val="0"/>
          <w:sz w:val="21"/>
          <w:szCs w:val="21"/>
          <w:highlight w:val="none"/>
          <w:lang w:val="en-US" w:eastAsia="zh-CN" w:bidi="ar"/>
        </w:rPr>
        <w:t>9月15日13:30:00</w:t>
      </w:r>
      <w:r>
        <w:rPr>
          <w:rFonts w:hint="eastAsia" w:ascii="宋体" w:hAnsi="宋体" w:eastAsia="宋体" w:cs="宋体"/>
          <w:color w:val="auto"/>
          <w:kern w:val="0"/>
          <w:sz w:val="21"/>
          <w:szCs w:val="21"/>
          <w:highlight w:val="none"/>
          <w:lang w:val="en-US" w:eastAsia="zh-CN" w:bidi="ar"/>
        </w:rPr>
        <w:t>（北京时间）</w:t>
      </w:r>
    </w:p>
    <w:p w14:paraId="7BDEE1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开标地点（网址）：政府采购云平台（www.zcygov.cn）/杭州市西湖区玉古路173号中田大厦21楼（求是招标会议室</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w:t>
      </w:r>
    </w:p>
    <w:p w14:paraId="1AEAC65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五、公告期限：</w:t>
      </w:r>
    </w:p>
    <w:p w14:paraId="223E04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自本公告发布之日起5个工作日。</w:t>
      </w:r>
    </w:p>
    <w:p w14:paraId="44F117FD">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六、其他补充事宜：</w:t>
      </w:r>
    </w:p>
    <w:p w14:paraId="3F730B8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F3CA9E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根据《浙江省财政厅关于进一步促进政府采购公平竞争打造最优营商环境的通知》（浙财采监（2021）22号）文件关于“健全行政裁决机制”要求，鼓励供应商在线提起询问，路径为：政采云-项目采购-询问质疑投诉-询问列表</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鼓励供应商在线提起质疑，路径为：政采云-项目采购-询问质疑投诉-质疑列表。质疑供应商对在线质疑答复不满意的，可在线提起投诉，路径为：浙江政务服务网-政府采购投诉处理-在线办理。</w:t>
      </w:r>
    </w:p>
    <w:p w14:paraId="57BCC19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9937F3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4.其他事项：需要落实的政府采购政策：包括节约资源、保护环境、支持科技创新、促进中小企业发展等。详见招标文件的第三章-采购项目需要落实的政府采购政策。</w:t>
      </w:r>
    </w:p>
    <w:p w14:paraId="68D6715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七、对本次采购提出询问、质疑、投诉，请按以下方式联系：</w:t>
      </w:r>
    </w:p>
    <w:p w14:paraId="6F2516B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373645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w:t>
      </w:r>
    </w:p>
    <w:p w14:paraId="3826FB1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058C17D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519248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项目联系人（询问）：李老师</w:t>
      </w:r>
    </w:p>
    <w:p w14:paraId="70F1CB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项目联系方式（询问）：18100170612</w:t>
      </w:r>
    </w:p>
    <w:p w14:paraId="6ECABF4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C60FEE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2A5DFB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171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5AE78C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6C51150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44B9B0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俞炳、朱建飞</w:t>
      </w:r>
    </w:p>
    <w:p w14:paraId="4EB43BF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3116FBE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464EDF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4B74889F">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3A33D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DF4A206">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3.同级政府采购监督管理部门</w:t>
      </w:r>
    </w:p>
    <w:p w14:paraId="5E9F3D44">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名称：杭州电子科技大学国有资产与实验室管理处</w:t>
      </w:r>
    </w:p>
    <w:p w14:paraId="4184223A">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20A0AA51">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28F646CB">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联系人：亓老师</w:t>
      </w:r>
    </w:p>
    <w:p w14:paraId="1D523778">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监督投诉电话：0571-87713574</w:t>
      </w:r>
    </w:p>
    <w:p w14:paraId="22DC2763">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sz w:val="21"/>
          <w:szCs w:val="21"/>
          <w:highlight w:val="none"/>
        </w:rPr>
      </w:pPr>
    </w:p>
    <w:p w14:paraId="3E1A421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政策咨询：何一平、冯华，0571-87058424、87055741</w:t>
      </w:r>
    </w:p>
    <w:p w14:paraId="31B81D8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预算金额未达100万元的采购项目，由采购人处理采购争议。</w:t>
      </w:r>
    </w:p>
    <w:p w14:paraId="6CDDB76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6EAF42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若对项目采购电子交易系统操作有疑问，可登录政采云（https://www.zcygov.cn/），点击右侧咨询小采，获取采小蜜智能服务管家帮助，或拨打政采云服务热线95763获取热线服务帮助。</w:t>
      </w:r>
    </w:p>
    <w:p w14:paraId="607FB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1369D7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734D00E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7C631476">
      <w:pPr>
        <w:keepNext w:val="0"/>
        <w:keepLines w:val="0"/>
        <w:widowControl/>
        <w:suppressLineNumbers w:val="0"/>
        <w:spacing w:line="288"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：货物</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单一产品或核心产品：人行机器人（带夹爪）</w:t>
      </w:r>
    </w:p>
    <w:p w14:paraId="57FE025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526B9E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3"/>
        <w:gridCol w:w="2477"/>
        <w:gridCol w:w="990"/>
        <w:gridCol w:w="990"/>
        <w:gridCol w:w="990"/>
        <w:gridCol w:w="990"/>
        <w:gridCol w:w="1483"/>
        <w:gridCol w:w="1483"/>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472B0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390FB0">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A157DD">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C2FF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CE9AB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所属行业</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人行机器人（带夹爪）</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37C0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F9B56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C117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DB499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restart"/>
            <w:tcBorders>
              <w:top w:val="single" w:color="auto" w:sz="8" w:space="0"/>
              <w:left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646000</w:t>
            </w:r>
          </w:p>
        </w:tc>
        <w:tc>
          <w:tcPr>
            <w:tcW w:w="749" w:type="pct"/>
            <w:vMerge w:val="restart"/>
            <w:tcBorders>
              <w:top w:val="single" w:color="auto" w:sz="8" w:space="0"/>
              <w:left w:val="single" w:color="auto" w:sz="8" w:space="0"/>
              <w:right w:val="single" w:color="auto" w:sz="8" w:space="0"/>
            </w:tcBorders>
            <w:shd w:val="clear" w:color="auto" w:fill="auto"/>
            <w:tcMar>
              <w:top w:w="0" w:type="dxa"/>
              <w:left w:w="75" w:type="dxa"/>
              <w:bottom w:w="0" w:type="dxa"/>
              <w:right w:w="75" w:type="dxa"/>
            </w:tcMar>
            <w:vAlign w:val="center"/>
          </w:tcPr>
          <w:p w14:paraId="30B6438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工业</w:t>
            </w:r>
          </w:p>
        </w:tc>
      </w:tr>
      <w:tr w14:paraId="4686D47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A1B28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8A6A4">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四足机器人</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28EEF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60D22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C23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D399B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3A13EEF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61EAD0E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2A8B264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F0A75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87923C">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四足机器人（带机械臂）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2F9E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C45E2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9AE04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50E57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6FB6D3C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29D048C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034A8C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9FF62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D77578">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3D</w:t>
            </w:r>
            <w:r>
              <w:rPr>
                <w:rFonts w:hint="eastAsia" w:ascii="宋体" w:hAnsi="宋体" w:cs="宋体"/>
                <w:color w:val="auto"/>
                <w:sz w:val="21"/>
                <w:szCs w:val="21"/>
                <w:highlight w:val="none"/>
                <w:lang w:val="en-US" w:eastAsia="zh-CN"/>
              </w:rPr>
              <w:t>打印机</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E0FC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27ADF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7ED3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8D716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72A352A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3D1F7C4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5D152D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0704B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7EE675">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数字示波器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AD565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571A2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A55FD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EEE4D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16F093A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0D91671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5987F2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FD184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8AF5E3">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函数任意波形发生器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2ABF6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875D30">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D3F7A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5BFC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7EEC10F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19A7BA6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76F9D80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8520B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3E9C76">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数字万用表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17EC8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EDEA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DDDCD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13570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1424D91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7CC8426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250F938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1300D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BE192C">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可编程电源</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2639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3095E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41E90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74E94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C7733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B4C77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bl>
    <w:p w14:paraId="262B485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4264F4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二、为落实政府采购政策需满足的要求</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2448"/>
        <w:gridCol w:w="6702"/>
      </w:tblGrid>
      <w:tr w14:paraId="4A63DA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A6A8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32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1279C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政策名称</w:t>
            </w:r>
          </w:p>
        </w:tc>
        <w:tc>
          <w:tcPr>
            <w:tcW w:w="63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6E1023">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本项目约定及享受政策需提供的材料</w:t>
            </w:r>
          </w:p>
        </w:tc>
      </w:tr>
      <w:tr w14:paraId="740CB10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BB23">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0716C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支持本国产品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264B6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本项目优先支持本国产品，经财政部门批准允许采购进口的产品，详见【一、采购需求概况】。</w:t>
            </w:r>
          </w:p>
          <w:p w14:paraId="12E669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42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供应商提供符合本国产品标准的产品，应出具《关于符合本国产品标准的声明函》；当采购项目或者采购包中含有多种产品的，供应商还应当提供《关于本国产品成本比例的声明函》。</w:t>
            </w:r>
          </w:p>
          <w:p w14:paraId="2B6A7F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说明：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r>
      <w:tr w14:paraId="16ACF9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E2178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0269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4002C8F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（强制采购节能产品）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B1EF9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28C1393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D979F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52DB13">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422661B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（优先采购节能）</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35404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5780BB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DAF5F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C77DA0">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1732645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（优先采购环保产品）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3BB5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37104D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15BBD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5</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FA0AE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支持创新</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7ED01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符合条件的供应商依法提供相关证明材料。</w:t>
            </w:r>
          </w:p>
        </w:tc>
      </w:tr>
      <w:tr w14:paraId="0A1017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34757">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6</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59B5C4">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促进中小企业发展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34BF9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1.本项目未预留份额专门面向【中小】企业采购。享受【小微】企业扶持政策的供应商，提供符合要求的《中小企业声明函》。</w:t>
            </w:r>
          </w:p>
          <w:p w14:paraId="070D488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2.说明：在货物采购项目中，货物由【中小】企业制造，即货物由【中小】企业生产且使用该【中小】企业商号或者注册商标。</w:t>
            </w:r>
          </w:p>
          <w:p w14:paraId="060C0F27">
            <w:pPr>
              <w:keepNext w:val="0"/>
              <w:keepLines w:val="0"/>
              <w:widowControl/>
              <w:suppressLineNumbers w:val="0"/>
              <w:pBdr>
                <w:top w:val="none" w:color="auto" w:sz="0" w:space="0"/>
                <w:left w:val="none" w:color="auto" w:sz="0" w:space="0"/>
                <w:bottom w:val="none" w:color="auto" w:sz="0" w:space="0"/>
                <w:right w:val="none" w:color="auto" w:sz="0" w:space="0"/>
              </w:pBdr>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与大企业的负责人为同一人，或者与大企业存在直接控股、管理关系的中小企业不得享受中小企业扶持政策。</w:t>
            </w:r>
          </w:p>
          <w:p w14:paraId="0CF30167">
            <w:pPr>
              <w:keepNext w:val="0"/>
              <w:keepLines w:val="0"/>
              <w:widowControl/>
              <w:suppressLineNumbers w:val="0"/>
              <w:pBdr>
                <w:top w:val="none" w:color="auto" w:sz="0" w:space="0"/>
                <w:left w:val="none" w:color="auto" w:sz="0" w:space="0"/>
                <w:bottom w:val="none" w:color="auto" w:sz="0" w:space="0"/>
                <w:right w:val="none" w:color="auto" w:sz="0" w:space="0"/>
              </w:pBdr>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▲可以享受中小企业扶持政策的供应商应按照采购文件格式要求提供《中小企业声明函》。《中小企业声明函》填写企业类型错误，以致该供应商享受本不能享受的中小企业扶持政策的，</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无效并依法承担法律责任。</w:t>
            </w:r>
          </w:p>
          <w:p w14:paraId="474DAAA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（工业和信息化部中小企业局）中小企业规模类型自测小程序：http://baosong.miit.gov.cn/ScaleTest。</w:t>
            </w:r>
          </w:p>
        </w:tc>
      </w:tr>
      <w:tr w14:paraId="567A97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98806">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7</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78BE10">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支持监狱企业发展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B01B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监狱企业视同小型、微型企业。符合条件的供应商提供：属于监狱企业的证明文件。</w:t>
            </w:r>
          </w:p>
        </w:tc>
      </w:tr>
      <w:tr w14:paraId="50A2AD9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A2A5C3">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8</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8E0E9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促进残疾人就业</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997CF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残疾人福利性单位视同小型、微型企业。符合条件的供应商提供：《残疾人福利性单位声明函》。</w:t>
            </w:r>
          </w:p>
        </w:tc>
      </w:tr>
      <w:tr w14:paraId="368B818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109F99">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9</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25668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其他说明</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1E6D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相关政策详见【第三章 投标人须知】。</w:t>
            </w:r>
          </w:p>
        </w:tc>
      </w:tr>
    </w:tbl>
    <w:p w14:paraId="1AC09C77">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858C20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三、商务要求</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自合同签订之日起20个工作日内交付。</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9F6E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6E73AD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7C371C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48BD5B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7355A3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开户银行：工行高新支行</w:t>
            </w:r>
          </w:p>
          <w:p w14:paraId="7ABD9B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9508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1.合同生效以及具备实施条件后7个工作日内，且供应商已向采购人提交银行、保险公司等金融机构出具的预付款保函的，采购人向供应商支付合同总价的70%；货物在供应商安装调试完毕并经采购人验收合格后，采购人在收到发票后7个工作日内，向供应商支付合同总价的30%。</w:t>
            </w:r>
          </w:p>
          <w:p w14:paraId="50A675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2.在签订合同时，供应商明确表示无需预付款或者主动要求降低预付款比例的，可降低预付款比例（预付款保函同步调整）。</w:t>
            </w:r>
          </w:p>
          <w:p w14:paraId="74388B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3.若供应商收取预付款，要求预付款保函有效期覆盖项目验收合格时间；提供了预付款保函则供应商无需再缴纳履约保证金。</w:t>
            </w:r>
          </w:p>
          <w:p w14:paraId="754E16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4.签订合同时供应商明确表示无需预付款的，可以采用以下付款方式：</w:t>
            </w:r>
          </w:p>
          <w:p w14:paraId="4C628F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①货到分期付款：货物送达并经采购人初步验收并收到发票后10个工作日内，采购人向供应商支付合同总价的70%；货物由供应商安装调试完毕并经采购人验收合格后，收到发票后10个工作日内，采购人向供应商支付合同总价的30%。</w:t>
            </w:r>
          </w:p>
          <w:p w14:paraId="5738E9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②货到一次性支付：全部货物送达安装调试完毕，经采购人验收合格，收到发票后10个工作日内，采购人向供应商支付全部合同价款。</w:t>
            </w:r>
          </w:p>
          <w:p w14:paraId="7857F1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③其它支付形式</w:t>
            </w:r>
            <w:r>
              <w:rPr>
                <w:rFonts w:hint="eastAsia" w:ascii="宋体" w:hAnsi="宋体" w:cs="宋体"/>
                <w:i w:val="0"/>
                <w:iCs w:val="0"/>
                <w:color w:val="auto"/>
                <w:spacing w:val="-6"/>
                <w:kern w:val="0"/>
                <w:sz w:val="21"/>
                <w:szCs w:val="21"/>
                <w:highlight w:val="none"/>
                <w:lang w:val="en-US" w:eastAsia="zh-CN" w:bidi="ar"/>
              </w:rPr>
              <w:t>（</w:t>
            </w:r>
            <w:r>
              <w:rPr>
                <w:rFonts w:hint="eastAsia" w:ascii="宋体" w:hAnsi="宋体" w:eastAsia="宋体" w:cs="宋体"/>
                <w:i w:val="0"/>
                <w:iCs w:val="0"/>
                <w:color w:val="auto"/>
                <w:spacing w:val="-6"/>
                <w:kern w:val="0"/>
                <w:sz w:val="21"/>
                <w:szCs w:val="21"/>
                <w:highlight w:val="none"/>
                <w:lang w:val="en-US" w:eastAsia="zh-CN" w:bidi="ar"/>
              </w:rPr>
              <w:t>双方协商一致，需符合采购法规，</w:t>
            </w:r>
            <w:r>
              <w:rPr>
                <w:rFonts w:hint="eastAsia" w:ascii="宋体" w:hAnsi="宋体" w:cs="宋体"/>
                <w:i w:val="0"/>
                <w:iCs w:val="0"/>
                <w:color w:val="auto"/>
                <w:spacing w:val="-6"/>
                <w:kern w:val="0"/>
                <w:sz w:val="21"/>
                <w:szCs w:val="21"/>
                <w:highlight w:val="none"/>
                <w:lang w:val="en-US" w:eastAsia="zh-CN" w:bidi="ar"/>
              </w:rPr>
              <w:t>中标</w:t>
            </w:r>
            <w:r>
              <w:rPr>
                <w:rFonts w:hint="eastAsia" w:ascii="宋体" w:hAnsi="宋体" w:eastAsia="宋体" w:cs="宋体"/>
                <w:i w:val="0"/>
                <w:iCs w:val="0"/>
                <w:color w:val="auto"/>
                <w:spacing w:val="-6"/>
                <w:kern w:val="0"/>
                <w:sz w:val="21"/>
                <w:szCs w:val="21"/>
                <w:highlight w:val="none"/>
                <w:lang w:val="en-US" w:eastAsia="zh-CN" w:bidi="ar"/>
              </w:rPr>
              <w:t>后由采购人和供应商另行商定</w:t>
            </w:r>
            <w:r>
              <w:rPr>
                <w:rFonts w:hint="eastAsia" w:ascii="宋体" w:hAnsi="宋体" w:cs="宋体"/>
                <w:i w:val="0"/>
                <w:iCs w:val="0"/>
                <w:color w:val="auto"/>
                <w:spacing w:val="-6"/>
                <w:kern w:val="0"/>
                <w:sz w:val="21"/>
                <w:szCs w:val="21"/>
                <w:highlight w:val="none"/>
                <w:lang w:val="en-US" w:eastAsia="zh-CN" w:bidi="ar"/>
              </w:rPr>
              <w:t>）。</w:t>
            </w:r>
          </w:p>
          <w:p w14:paraId="009468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注：付款前，供应商须交纳合同约定的履约保证金（如有）并提供采购人财务处开具的履约保证金收据，供应商向采购人开具等额有效的合格增值税专用发票。采购人开票信息如下：</w:t>
            </w:r>
          </w:p>
          <w:p w14:paraId="78E587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单位名称：杭州电子科技大学。税号：12330000470009026T</w:t>
            </w:r>
          </w:p>
          <w:p w14:paraId="283FE4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开户银行：工行杭州高新支行。账号：1202026209008806216</w:t>
            </w:r>
          </w:p>
        </w:tc>
      </w:tr>
      <w:tr w14:paraId="2526EA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4E13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售后服务</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0D7D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▲质保期：1年，项目验收合格后开始计算</w:t>
            </w:r>
            <w:r>
              <w:rPr>
                <w:rFonts w:hint="eastAsia" w:ascii="宋体" w:hAnsi="宋体" w:cs="宋体"/>
                <w:i w:val="0"/>
                <w:iCs w:val="0"/>
                <w:color w:val="auto"/>
                <w:kern w:val="0"/>
                <w:sz w:val="21"/>
                <w:szCs w:val="21"/>
                <w:highlight w:val="none"/>
                <w:lang w:val="en-US" w:eastAsia="zh-CN" w:bidi="ar"/>
              </w:rPr>
              <w:t>。</w:t>
            </w:r>
          </w:p>
          <w:p w14:paraId="44A12F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提供详细的售后服务方案、售后服务承诺、售后服务保障措施。</w:t>
            </w:r>
          </w:p>
        </w:tc>
      </w:tr>
      <w:tr w14:paraId="4ECE35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A235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服务标准、期限、效率</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C38A1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1</w:t>
            </w:r>
            <w:r>
              <w:rPr>
                <w:rFonts w:hint="eastAsia" w:ascii="宋体" w:hAnsi="宋体" w:eastAsia="宋体" w:cs="宋体"/>
                <w:i w:val="0"/>
                <w:iCs w:val="0"/>
                <w:color w:val="auto"/>
                <w:kern w:val="0"/>
                <w:sz w:val="21"/>
                <w:szCs w:val="21"/>
                <w:highlight w:val="none"/>
                <w:lang w:val="en-US" w:eastAsia="zh-CN" w:bidi="ar"/>
              </w:rPr>
              <w:t>.在质保期内，供应商应对货物出现的质量及安全问题负责处理解决并承担一切费用。</w:t>
            </w:r>
          </w:p>
          <w:p w14:paraId="1B8C2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lang w:val="en-US" w:eastAsia="zh-CN" w:bidi="ar"/>
              </w:rPr>
              <w:t>质保期内出现无法排除的故障，供应商需无条件更换同型号产品。</w:t>
            </w:r>
          </w:p>
          <w:p w14:paraId="7FD17F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3.</w:t>
            </w:r>
            <w:r>
              <w:rPr>
                <w:rFonts w:hint="eastAsia" w:ascii="宋体" w:hAnsi="宋体" w:eastAsia="宋体" w:cs="宋体"/>
                <w:i w:val="0"/>
                <w:iCs w:val="0"/>
                <w:color w:val="auto"/>
                <w:kern w:val="0"/>
                <w:sz w:val="21"/>
                <w:szCs w:val="21"/>
                <w:highlight w:val="none"/>
                <w:lang w:val="en-US" w:eastAsia="zh-CN" w:bidi="ar"/>
              </w:rPr>
              <w:t>质保期满后，供应商继续为采购人服务，仅收取零配件成本费。</w:t>
            </w:r>
          </w:p>
          <w:p w14:paraId="5C1586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4.</w:t>
            </w:r>
            <w:r>
              <w:rPr>
                <w:rFonts w:hint="eastAsia" w:ascii="宋体" w:hAnsi="宋体" w:eastAsia="宋体" w:cs="宋体"/>
                <w:i w:val="0"/>
                <w:iCs w:val="0"/>
                <w:color w:val="auto"/>
                <w:kern w:val="0"/>
                <w:sz w:val="21"/>
                <w:szCs w:val="21"/>
                <w:highlight w:val="none"/>
                <w:lang w:val="en-US" w:eastAsia="zh-CN" w:bidi="ar"/>
              </w:rPr>
              <w:t>因人为因素出现的故障不在免费保修范围内。</w:t>
            </w:r>
          </w:p>
          <w:p w14:paraId="57DFE2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lang w:val="en-US" w:eastAsia="zh-CN" w:bidi="ar"/>
              </w:rPr>
              <w:t>6.</w:t>
            </w:r>
            <w:r>
              <w:rPr>
                <w:rFonts w:hint="eastAsia" w:ascii="宋体" w:hAnsi="宋体" w:eastAsia="宋体" w:cs="宋体"/>
                <w:i w:val="0"/>
                <w:iCs w:val="0"/>
                <w:color w:val="auto"/>
                <w:kern w:val="0"/>
                <w:sz w:val="21"/>
                <w:szCs w:val="21"/>
                <w:highlight w:val="none"/>
                <w:u w:val="single"/>
                <w:lang w:val="en-US" w:eastAsia="zh-CN" w:bidi="ar"/>
              </w:rPr>
              <w:t>如在使用过程中发生质量问题，供应商维修响应时间：1小时以内；</w:t>
            </w:r>
          </w:p>
          <w:p w14:paraId="02E376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电话技术支持时间：2小时以内；</w:t>
            </w:r>
          </w:p>
          <w:p w14:paraId="1E2D70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对于通过电话、邮件等远程技术支持不能解决的问题，供应商应在</w:t>
            </w:r>
            <w:r>
              <w:rPr>
                <w:rFonts w:hint="eastAsia" w:ascii="宋体" w:hAnsi="宋体" w:cs="宋体"/>
                <w:i w:val="0"/>
                <w:iCs w:val="0"/>
                <w:color w:val="auto"/>
                <w:kern w:val="0"/>
                <w:sz w:val="21"/>
                <w:szCs w:val="21"/>
                <w:highlight w:val="none"/>
                <w:u w:val="single"/>
                <w:lang w:val="en-US" w:eastAsia="zh-CN" w:bidi="ar"/>
              </w:rPr>
              <w:t>24</w:t>
            </w:r>
            <w:r>
              <w:rPr>
                <w:rFonts w:hint="eastAsia" w:ascii="宋体" w:hAnsi="宋体" w:eastAsia="宋体" w:cs="宋体"/>
                <w:i w:val="0"/>
                <w:iCs w:val="0"/>
                <w:color w:val="auto"/>
                <w:kern w:val="0"/>
                <w:sz w:val="21"/>
                <w:szCs w:val="21"/>
                <w:highlight w:val="none"/>
                <w:u w:val="single"/>
                <w:lang w:val="en-US" w:eastAsia="zh-CN" w:bidi="ar"/>
              </w:rPr>
              <w:t>小时内派遣相关人员赶赴现场，</w:t>
            </w:r>
            <w:r>
              <w:rPr>
                <w:rFonts w:hint="eastAsia" w:ascii="宋体" w:hAnsi="宋体" w:cs="宋体"/>
                <w:i w:val="0"/>
                <w:iCs w:val="0"/>
                <w:color w:val="auto"/>
                <w:kern w:val="0"/>
                <w:sz w:val="21"/>
                <w:szCs w:val="21"/>
                <w:highlight w:val="none"/>
                <w:u w:val="single"/>
                <w:lang w:val="en-US" w:eastAsia="zh-CN" w:bidi="ar"/>
              </w:rPr>
              <w:t>4</w:t>
            </w:r>
            <w:r>
              <w:rPr>
                <w:rFonts w:hint="eastAsia" w:ascii="宋体" w:hAnsi="宋体" w:eastAsia="宋体" w:cs="宋体"/>
                <w:i w:val="0"/>
                <w:iCs w:val="0"/>
                <w:color w:val="auto"/>
                <w:kern w:val="0"/>
                <w:sz w:val="21"/>
                <w:szCs w:val="21"/>
                <w:highlight w:val="none"/>
                <w:u w:val="single"/>
                <w:lang w:val="en-US" w:eastAsia="zh-CN" w:bidi="ar"/>
              </w:rPr>
              <w:t>小时内维修完毕；发生紧急抢修事故的，供应商应在接到采购人通知后</w:t>
            </w:r>
            <w:r>
              <w:rPr>
                <w:rFonts w:hint="eastAsia" w:ascii="宋体" w:hAnsi="宋体" w:cs="宋体"/>
                <w:i w:val="0"/>
                <w:iCs w:val="0"/>
                <w:color w:val="auto"/>
                <w:kern w:val="0"/>
                <w:sz w:val="21"/>
                <w:szCs w:val="21"/>
                <w:highlight w:val="none"/>
                <w:u w:val="single"/>
                <w:lang w:val="en-US" w:eastAsia="zh-CN" w:bidi="ar"/>
              </w:rPr>
              <w:t>12</w:t>
            </w:r>
            <w:r>
              <w:rPr>
                <w:rFonts w:hint="eastAsia" w:ascii="宋体" w:hAnsi="宋体" w:eastAsia="宋体" w:cs="宋体"/>
                <w:i w:val="0"/>
                <w:iCs w:val="0"/>
                <w:color w:val="auto"/>
                <w:kern w:val="0"/>
                <w:sz w:val="21"/>
                <w:szCs w:val="21"/>
                <w:highlight w:val="none"/>
                <w:u w:val="single"/>
                <w:lang w:val="en-US" w:eastAsia="zh-CN" w:bidi="ar"/>
              </w:rPr>
              <w:t>小时内到达现场抢修，并于到达现场</w:t>
            </w:r>
            <w:r>
              <w:rPr>
                <w:rFonts w:hint="eastAsia" w:ascii="宋体" w:hAnsi="宋体" w:cs="宋体"/>
                <w:i w:val="0"/>
                <w:iCs w:val="0"/>
                <w:color w:val="auto"/>
                <w:kern w:val="0"/>
                <w:sz w:val="21"/>
                <w:szCs w:val="21"/>
                <w:highlight w:val="none"/>
                <w:u w:val="single"/>
                <w:lang w:val="en-US" w:eastAsia="zh-CN" w:bidi="ar"/>
              </w:rPr>
              <w:t>2</w:t>
            </w:r>
            <w:r>
              <w:rPr>
                <w:rFonts w:hint="eastAsia" w:ascii="宋体" w:hAnsi="宋体" w:eastAsia="宋体" w:cs="宋体"/>
                <w:i w:val="0"/>
                <w:iCs w:val="0"/>
                <w:color w:val="auto"/>
                <w:kern w:val="0"/>
                <w:sz w:val="21"/>
                <w:szCs w:val="21"/>
                <w:highlight w:val="none"/>
                <w:u w:val="single"/>
                <w:lang w:val="en-US" w:eastAsia="zh-CN" w:bidi="ar"/>
              </w:rPr>
              <w:t>小时之内排除故障。供应商未在约定时间内修复的或同一货物经</w:t>
            </w:r>
            <w:r>
              <w:rPr>
                <w:rFonts w:hint="eastAsia" w:ascii="宋体" w:hAnsi="宋体" w:cs="宋体"/>
                <w:i w:val="0"/>
                <w:iCs w:val="0"/>
                <w:color w:val="auto"/>
                <w:kern w:val="0"/>
                <w:sz w:val="21"/>
                <w:szCs w:val="21"/>
                <w:highlight w:val="none"/>
                <w:u w:val="single"/>
                <w:lang w:val="en-US" w:eastAsia="zh-CN" w:bidi="ar"/>
              </w:rPr>
              <w:t>3</w:t>
            </w:r>
            <w:r>
              <w:rPr>
                <w:rFonts w:hint="eastAsia" w:ascii="宋体" w:hAnsi="宋体" w:eastAsia="宋体" w:cs="宋体"/>
                <w:i w:val="0"/>
                <w:iCs w:val="0"/>
                <w:color w:val="auto"/>
                <w:kern w:val="0"/>
                <w:sz w:val="21"/>
                <w:szCs w:val="21"/>
                <w:highlight w:val="none"/>
                <w:u w:val="single"/>
                <w:lang w:val="en-US" w:eastAsia="zh-CN" w:bidi="ar"/>
              </w:rPr>
              <w:t>次维修后仍不能稳定、可靠运行的，采购人有权要求供应商免费更换。</w:t>
            </w:r>
          </w:p>
          <w:p w14:paraId="7B2C82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7.供应商应提供详细的售后服务方案、售后服务承诺、售后服务保障措施。</w:t>
            </w:r>
          </w:p>
        </w:tc>
      </w:tr>
      <w:tr w14:paraId="53F2AD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79E2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验收标准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38D4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1.验收由采购人负责实施；</w:t>
            </w:r>
          </w:p>
          <w:p w14:paraId="72D0A8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2.验收依据：</w:t>
            </w:r>
          </w:p>
          <w:p w14:paraId="4DA943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2.1合同、采购文件、</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w:t>
            </w:r>
          </w:p>
          <w:p w14:paraId="4AE715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2.2供应商提供的技术规格、经采购人认可的合同货物的有效检验文件；</w:t>
            </w:r>
          </w:p>
          <w:p w14:paraId="0A50C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2.3供应商</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中提供的经采购人认可的合同货物的验收标准（符合中国有关的国家、地方、行业标准）和检测办法及相应检测手段。</w:t>
            </w:r>
          </w:p>
          <w:p w14:paraId="5558E2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0833D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4.验收合格的条件：</w:t>
            </w:r>
          </w:p>
          <w:p w14:paraId="474DC6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4.1所供货物符合产品标准和合同的要求；</w:t>
            </w:r>
          </w:p>
          <w:p w14:paraId="7F79FD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4.2在进行测试和验收过程中发现的问题已被解决并得到采购人的认可；</w:t>
            </w:r>
          </w:p>
          <w:p w14:paraId="120648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4.3合同中规定的所有货物和材料均已交付；</w:t>
            </w:r>
          </w:p>
          <w:p w14:paraId="261D76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4.4所供货物已通过使用单位组织的验收；</w:t>
            </w:r>
          </w:p>
          <w:p w14:paraId="35254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4.5所有相关的技术文件及资料均已提交并得到接受。</w:t>
            </w:r>
          </w:p>
        </w:tc>
      </w:tr>
      <w:tr w14:paraId="35600D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611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其他技术、服务要求</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D18D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▲1.供应商应按采购文件规定向采购人提供全新的原装合格产品，产品应符合国家法律法规规定。</w:t>
            </w:r>
            <w:r>
              <w:rPr>
                <w:rFonts w:hint="eastAsia" w:ascii="宋体" w:hAnsi="宋体" w:eastAsia="宋体" w:cs="宋体"/>
                <w:i w:val="0"/>
                <w:iCs w:val="0"/>
                <w:color w:val="auto"/>
                <w:spacing w:val="-6"/>
                <w:kern w:val="0"/>
                <w:sz w:val="21"/>
                <w:szCs w:val="21"/>
                <w:highlight w:val="none"/>
                <w:lang w:val="en-US" w:eastAsia="zh-CN" w:bidi="ar"/>
              </w:rPr>
              <w:t>供应商应保证所提供的货物或其中任何一部分均不会侵犯第三方的知识产权。</w:t>
            </w:r>
          </w:p>
          <w:p w14:paraId="1F55D2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2.供应商应提供有关的全套技术文件。</w:t>
            </w:r>
          </w:p>
          <w:p w14:paraId="6B8594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3.安装调试：</w:t>
            </w:r>
          </w:p>
          <w:p w14:paraId="7D92C7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3.1安装地点：采购人指定地点；</w:t>
            </w:r>
          </w:p>
          <w:p w14:paraId="780B60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3.2安装完成时间：接到采购人通知后在规定时间内完成安装和调试，如在规定的时间内由于供应商的原因不能完成安装和调试，供应商应承担由此给采购人造成的损失；</w:t>
            </w:r>
          </w:p>
          <w:p w14:paraId="520447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3.3如供应商委托国内代理（或其他机构）负责安装或配合安装应在签约时指明，但供应商仍要对合同货物及其安装质量负全部责任；</w:t>
            </w:r>
          </w:p>
          <w:p w14:paraId="49A869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3.4安装标准：符合我国国家有关技术规范要求和技术标准，所有的软件和硬件必须保证同时安装到位；</w:t>
            </w:r>
          </w:p>
          <w:p w14:paraId="6C222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3.5供应商免费提供合同货物的安装服务；</w:t>
            </w:r>
          </w:p>
          <w:p w14:paraId="66988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3.6供应商在</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中应</w:t>
            </w:r>
            <w:r>
              <w:rPr>
                <w:rFonts w:hint="eastAsia" w:ascii="宋体" w:hAnsi="宋体" w:eastAsia="宋体" w:cs="宋体"/>
                <w:color w:val="auto"/>
                <w:kern w:val="0"/>
                <w:sz w:val="21"/>
                <w:szCs w:val="21"/>
                <w:highlight w:val="none"/>
                <w:lang w:val="en-US" w:eastAsia="zh-CN" w:bidi="ar"/>
              </w:rPr>
              <w:t>提供安装调试计划和安装调试方案。</w:t>
            </w:r>
          </w:p>
          <w:p w14:paraId="13CCB7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4.技术支持：</w:t>
            </w:r>
          </w:p>
          <w:p w14:paraId="6C7C66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供应商应及时免费提供合同货物软件的升级，免费提供合同货物新功能和应用的资料。</w:t>
            </w:r>
          </w:p>
          <w:p w14:paraId="7B95DD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5.供应商应提供质保期满后主要零部件报价单、质保期满后维护费、软件升级及其相关服务内容；</w:t>
            </w:r>
          </w:p>
          <w:p w14:paraId="7CC6B4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6.提供产品相关配件、附件、备品备件及耗材的准备和保障措施、消耗水平和成本方案。</w:t>
            </w:r>
          </w:p>
          <w:p w14:paraId="6F638A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7.</w:t>
            </w:r>
            <w:r>
              <w:rPr>
                <w:rFonts w:hint="eastAsia" w:ascii="宋体" w:hAnsi="宋体" w:eastAsia="宋体" w:cs="宋体"/>
                <w:i w:val="0"/>
                <w:iCs w:val="0"/>
                <w:color w:val="auto"/>
                <w:kern w:val="0"/>
                <w:sz w:val="21"/>
                <w:szCs w:val="21"/>
                <w:highlight w:val="none"/>
                <w:lang w:val="en-US" w:eastAsia="zh-CN" w:bidi="ar"/>
              </w:rPr>
              <w:t>培训：</w:t>
            </w:r>
          </w:p>
          <w:p w14:paraId="1CCA5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7.1</w:t>
            </w:r>
            <w:r>
              <w:rPr>
                <w:rFonts w:hint="eastAsia" w:ascii="宋体" w:hAnsi="宋体" w:eastAsia="宋体" w:cs="宋体"/>
                <w:i w:val="0"/>
                <w:iCs w:val="0"/>
                <w:color w:val="auto"/>
                <w:kern w:val="0"/>
                <w:sz w:val="21"/>
                <w:szCs w:val="21"/>
                <w:highlight w:val="none"/>
                <w:lang w:val="en-US" w:eastAsia="zh-CN" w:bidi="ar"/>
              </w:rPr>
              <w:t>供应商应对采购人的操作人员、维修人员免费进行培训；</w:t>
            </w:r>
          </w:p>
          <w:p w14:paraId="63CD46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7.2</w:t>
            </w:r>
            <w:r>
              <w:rPr>
                <w:rFonts w:hint="eastAsia" w:ascii="宋体" w:hAnsi="宋体" w:eastAsia="宋体" w:cs="宋体"/>
                <w:i w:val="0"/>
                <w:iCs w:val="0"/>
                <w:color w:val="auto"/>
                <w:kern w:val="0"/>
                <w:sz w:val="21"/>
                <w:szCs w:val="21"/>
                <w:highlight w:val="none"/>
                <w:lang w:val="en-US" w:eastAsia="zh-CN" w:bidi="ar"/>
              </w:rPr>
              <w:t>培训实现方式、时间、地点、人数应在</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中详细说明；</w:t>
            </w:r>
          </w:p>
          <w:p w14:paraId="283390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cs="宋体"/>
                <w:color w:val="auto"/>
                <w:kern w:val="0"/>
                <w:sz w:val="21"/>
                <w:szCs w:val="21"/>
                <w:highlight w:val="none"/>
                <w:lang w:val="en-US" w:eastAsia="zh-CN" w:bidi="ar"/>
              </w:rPr>
            </w:pPr>
            <w:r>
              <w:rPr>
                <w:rFonts w:hint="eastAsia" w:ascii="宋体" w:hAnsi="宋体" w:cs="宋体"/>
                <w:i w:val="0"/>
                <w:iCs w:val="0"/>
                <w:color w:val="auto"/>
                <w:kern w:val="0"/>
                <w:sz w:val="21"/>
                <w:szCs w:val="21"/>
                <w:highlight w:val="none"/>
                <w:lang w:val="en-US" w:eastAsia="zh-CN" w:bidi="ar"/>
              </w:rPr>
              <w:t>7.3</w:t>
            </w:r>
            <w:r>
              <w:rPr>
                <w:rFonts w:hint="eastAsia" w:ascii="宋体" w:hAnsi="宋体" w:eastAsia="宋体" w:cs="宋体"/>
                <w:i w:val="0"/>
                <w:iCs w:val="0"/>
                <w:color w:val="auto"/>
                <w:kern w:val="0"/>
                <w:sz w:val="21"/>
                <w:szCs w:val="21"/>
                <w:highlight w:val="none"/>
                <w:lang w:val="en-US" w:eastAsia="zh-CN" w:bidi="ar"/>
              </w:rPr>
              <w:t>供应商应</w:t>
            </w:r>
            <w:r>
              <w:rPr>
                <w:rFonts w:hint="eastAsia" w:ascii="宋体" w:hAnsi="宋体" w:eastAsia="宋体" w:cs="宋体"/>
                <w:color w:val="auto"/>
                <w:kern w:val="0"/>
                <w:sz w:val="21"/>
                <w:szCs w:val="21"/>
                <w:highlight w:val="none"/>
                <w:lang w:val="en-US" w:eastAsia="zh-CN" w:bidi="ar"/>
              </w:rPr>
              <w:t>提供相应的培训计划、培训范围，实施方案</w:t>
            </w:r>
            <w:r>
              <w:rPr>
                <w:rFonts w:hint="eastAsia" w:ascii="宋体" w:hAnsi="宋体" w:cs="宋体"/>
                <w:color w:val="auto"/>
                <w:kern w:val="0"/>
                <w:sz w:val="21"/>
                <w:szCs w:val="21"/>
                <w:highlight w:val="none"/>
                <w:lang w:val="en-US" w:eastAsia="zh-CN" w:bidi="ar"/>
              </w:rPr>
              <w:t>；</w:t>
            </w:r>
          </w:p>
          <w:p w14:paraId="2D595B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7.4人行机器人培训主要覆盖硬件结构、安全规范、封拆校准、遥控器基础操作；掌握SDK开发环境部署、步态调试、外设拓展安装。参训人员必须熟练落实防护龙门使用规范，掌握日常维保、易损件更换与故障排查。机器狗培训主要提供至少2名实验室人员现场培训（内容包括仪器基本原理、操作使用及日常保养维护等）直到用户能正常使用和维护仪器。</w:t>
            </w:r>
          </w:p>
          <w:p w14:paraId="7F0109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配备本立、电池、充电器、防护龙门等标准配件，易损耗材含防滑脚垫、外壳盖板、连接排线等。安装场地需平整开阔；上电调试需架设防护装置，外设规范布线，采用原装配件，严格执行整机校准与安全操作规范。</w:t>
            </w:r>
          </w:p>
        </w:tc>
      </w:tr>
    </w:tbl>
    <w:p w14:paraId="015FF66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A00A405">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四、技术要求</w:t>
      </w:r>
    </w:p>
    <w:p w14:paraId="511D1447">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1.采购标的需实现的功能或者目标：满足</w:t>
      </w:r>
      <w:r>
        <w:rPr>
          <w:rFonts w:hint="eastAsia" w:ascii="宋体" w:hAnsi="宋体" w:cs="宋体"/>
          <w:color w:val="auto"/>
          <w:kern w:val="0"/>
          <w:sz w:val="21"/>
          <w:szCs w:val="21"/>
          <w:highlight w:val="none"/>
          <w:lang w:val="en-US" w:eastAsia="zh-CN" w:bidi="ar"/>
        </w:rPr>
        <w:t>具身智能实验室设备</w:t>
      </w:r>
      <w:r>
        <w:rPr>
          <w:rFonts w:hint="eastAsia" w:ascii="宋体" w:hAnsi="宋体" w:eastAsia="宋体" w:cs="宋体"/>
          <w:color w:val="auto"/>
          <w:kern w:val="0"/>
          <w:sz w:val="21"/>
          <w:szCs w:val="21"/>
          <w:highlight w:val="none"/>
          <w:lang w:val="en-US" w:eastAsia="zh-CN" w:bidi="ar"/>
        </w:rPr>
        <w:t>的使用需求。</w:t>
      </w:r>
    </w:p>
    <w:p w14:paraId="3DC897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2.采购标的需执行的国家相关标准、行业标准、地方标准或者其他标准、规范：</w:t>
      </w:r>
    </w:p>
    <w:p w14:paraId="5369B1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▲国家强制性标准：无</w:t>
      </w:r>
    </w:p>
    <w:p w14:paraId="23C3147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3.采购标的需满足的质量、安全、技术规格、物理特性等要求：</w:t>
      </w:r>
      <w:r>
        <w:rPr>
          <w:rFonts w:hint="eastAsia" w:ascii="宋体" w:hAnsi="宋体" w:eastAsia="宋体" w:cs="宋体"/>
          <w:i w:val="0"/>
          <w:iCs w:val="0"/>
          <w:color w:val="auto"/>
          <w:kern w:val="0"/>
          <w:sz w:val="21"/>
          <w:szCs w:val="21"/>
          <w:highlight w:val="none"/>
          <w:u w:val="single"/>
          <w:lang w:val="en-US" w:eastAsia="zh-CN" w:bidi="ar"/>
        </w:rPr>
        <w:t>见下表</w:t>
      </w:r>
    </w:p>
    <w:p w14:paraId="5D4294FD">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lang w:val="en-US" w:eastAsia="zh-CN" w:bidi="ar"/>
        </w:rPr>
        <w:t>▲特定产品的生产许可：无</w:t>
      </w:r>
    </w:p>
    <w:p w14:paraId="27ECDB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▲特定产品/服务的运输许可：无</w:t>
      </w:r>
    </w:p>
    <w:p w14:paraId="5DA46E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▲特定人员的执（职）业资格：无</w:t>
      </w:r>
    </w:p>
    <w:p w14:paraId="15273B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056F42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具体要求：</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5"/>
        <w:gridCol w:w="1979"/>
        <w:gridCol w:w="495"/>
        <w:gridCol w:w="495"/>
        <w:gridCol w:w="6432"/>
      </w:tblGrid>
      <w:tr w14:paraId="5D6E31C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83E1E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E09B99">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FB3B3">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数量</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E69B2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单位</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0964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3C38FC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809FF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CC7A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人行机器人（带夹爪）</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EF6A8">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7F8FB">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0251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1.高宽厚(站立)：≥1320×450×200mm</w:t>
            </w:r>
            <w:r>
              <w:rPr>
                <w:rFonts w:hint="eastAsia" w:ascii="宋体" w:hAnsi="宋体" w:cs="宋体"/>
                <w:color w:val="auto"/>
                <w:sz w:val="21"/>
                <w:szCs w:val="21"/>
                <w:highlight w:val="none"/>
                <w:lang w:eastAsia="zh-CN"/>
              </w:rPr>
              <w:t>；</w:t>
            </w:r>
          </w:p>
          <w:p w14:paraId="17EC47A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2.高宽厚(折叠)：≥690×450×300mm</w:t>
            </w:r>
            <w:r>
              <w:rPr>
                <w:rFonts w:hint="eastAsia" w:ascii="宋体" w:hAnsi="宋体" w:cs="宋体"/>
                <w:color w:val="auto"/>
                <w:sz w:val="21"/>
                <w:szCs w:val="21"/>
                <w:highlight w:val="none"/>
                <w:lang w:eastAsia="zh-CN"/>
              </w:rPr>
              <w:t>；</w:t>
            </w:r>
          </w:p>
          <w:p w14:paraId="7EC819F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3.带电池重量：≥35kg；</w:t>
            </w:r>
          </w:p>
          <w:p w14:paraId="7B4A3AE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★4.总自由度(关节电机)：≥23；</w:t>
            </w:r>
          </w:p>
          <w:p w14:paraId="27677D3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5.单腿自由度：≥6个；</w:t>
            </w:r>
          </w:p>
          <w:p w14:paraId="1CDE0F2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6.腰部自由度：≥1个；</w:t>
            </w:r>
          </w:p>
          <w:p w14:paraId="4FE19F5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7.单手臂自由度：≥5个；</w:t>
            </w:r>
          </w:p>
          <w:p w14:paraId="58F391F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8.膝关节最大扭矩：≥120N.m；</w:t>
            </w:r>
          </w:p>
          <w:p w14:paraId="3FFE905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9.手臂最大负载：≥3kg；</w:t>
            </w:r>
          </w:p>
          <w:p w14:paraId="583E74C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10.小腿+大腿长度：≥0.6m</w:t>
            </w:r>
            <w:r>
              <w:rPr>
                <w:rFonts w:hint="eastAsia" w:ascii="宋体" w:hAnsi="宋体" w:cs="宋体"/>
                <w:color w:val="auto"/>
                <w:sz w:val="21"/>
                <w:szCs w:val="21"/>
                <w:highlight w:val="none"/>
                <w:lang w:eastAsia="zh-CN"/>
              </w:rPr>
              <w:t>；</w:t>
            </w:r>
          </w:p>
          <w:p w14:paraId="36546B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11.手臂臂展：≥0.45m</w:t>
            </w:r>
            <w:r>
              <w:rPr>
                <w:rFonts w:hint="eastAsia" w:ascii="宋体" w:hAnsi="宋体" w:cs="宋体"/>
                <w:color w:val="auto"/>
                <w:sz w:val="21"/>
                <w:szCs w:val="21"/>
                <w:highlight w:val="none"/>
                <w:lang w:eastAsia="zh-CN"/>
              </w:rPr>
              <w:t>；</w:t>
            </w:r>
          </w:p>
          <w:p w14:paraId="1FE8700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12.关节运动空间</w:t>
            </w:r>
            <w:r>
              <w:rPr>
                <w:rFonts w:hint="eastAsia" w:ascii="宋体" w:hAnsi="宋体" w:cs="宋体"/>
                <w:color w:val="auto"/>
                <w:sz w:val="21"/>
                <w:szCs w:val="21"/>
                <w:highlight w:val="none"/>
                <w:lang w:eastAsia="zh-CN"/>
              </w:rPr>
              <w:t>：</w:t>
            </w:r>
          </w:p>
          <w:p w14:paraId="5977EB8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腰部Z轴关节：</w:t>
            </w:r>
            <w:r>
              <w:rPr>
                <w:rFonts w:hint="eastAsia" w:ascii="宋体" w:hAnsi="宋体" w:cs="宋体"/>
                <w:color w:val="auto"/>
                <w:sz w:val="21"/>
                <w:szCs w:val="21"/>
                <w:highlight w:val="none"/>
                <w:lang w:val="en-US" w:eastAsia="zh-CN"/>
              </w:rPr>
              <w:t>不低于</w:t>
            </w:r>
            <w:r>
              <w:rPr>
                <w:rFonts w:hint="eastAsia" w:ascii="宋体" w:hAnsi="宋体" w:eastAsia="宋体" w:cs="宋体"/>
                <w:color w:val="auto"/>
                <w:sz w:val="21"/>
                <w:szCs w:val="21"/>
                <w:highlight w:val="none"/>
              </w:rPr>
              <w:t>Z±155°；</w:t>
            </w:r>
          </w:p>
          <w:p w14:paraId="13CB3FD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膝关节：不低于0~165°；</w:t>
            </w:r>
          </w:p>
          <w:p w14:paraId="0CCA90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髋关节：不低于P±154°、R-30~±170°、Y±158°；</w:t>
            </w:r>
          </w:p>
          <w:p w14:paraId="42DD282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13.具备全关节中空内走线；</w:t>
            </w:r>
          </w:p>
          <w:p w14:paraId="54D43ED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14.关节编码器：不低于双编码器；</w:t>
            </w:r>
          </w:p>
          <w:p w14:paraId="64FFE57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15.散热系统：局部风冷散热；</w:t>
            </w:r>
          </w:p>
          <w:p w14:paraId="35B90DE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16.基础算力：</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8核高性能CPU；</w:t>
            </w:r>
          </w:p>
          <w:p w14:paraId="65E2DC2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17.具备≥100Tops算力的拓展坞，含AI算法及技术支持；</w:t>
            </w:r>
          </w:p>
          <w:p w14:paraId="608ABE9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18.感知传感器：深度相机+3D激光雷达</w:t>
            </w:r>
            <w:r>
              <w:rPr>
                <w:rFonts w:hint="eastAsia" w:ascii="宋体" w:hAnsi="宋体" w:cs="宋体"/>
                <w:color w:val="auto"/>
                <w:sz w:val="21"/>
                <w:szCs w:val="21"/>
                <w:highlight w:val="none"/>
                <w:lang w:eastAsia="zh-CN"/>
              </w:rPr>
              <w:t>；</w:t>
            </w:r>
          </w:p>
          <w:p w14:paraId="7D4F086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19.支持智能OTA升级；</w:t>
            </w:r>
          </w:p>
          <w:p w14:paraId="2354B3A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20.支持高层和低层的二次开发</w:t>
            </w:r>
            <w:r>
              <w:rPr>
                <w:rFonts w:hint="eastAsia" w:ascii="宋体" w:hAnsi="宋体" w:cs="宋体"/>
                <w:color w:val="auto"/>
                <w:sz w:val="21"/>
                <w:szCs w:val="21"/>
                <w:highlight w:val="none"/>
                <w:lang w:eastAsia="zh-CN"/>
              </w:rPr>
              <w:t>；</w:t>
            </w:r>
          </w:p>
          <w:p w14:paraId="5E91860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21.配置两指夹爪一组（含手腕相机）</w:t>
            </w:r>
            <w:r>
              <w:rPr>
                <w:rFonts w:hint="eastAsia" w:ascii="宋体" w:hAnsi="宋体" w:cs="宋体"/>
                <w:color w:val="auto"/>
                <w:sz w:val="21"/>
                <w:szCs w:val="21"/>
                <w:highlight w:val="none"/>
                <w:lang w:eastAsia="zh-CN"/>
              </w:rPr>
              <w:t>：</w:t>
            </w:r>
          </w:p>
          <w:p w14:paraId="3017D36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21.1 </w:t>
            </w:r>
            <w:r>
              <w:rPr>
                <w:rFonts w:hint="eastAsia" w:ascii="宋体" w:hAnsi="宋体" w:eastAsia="宋体" w:cs="宋体"/>
                <w:color w:val="auto"/>
                <w:sz w:val="21"/>
                <w:szCs w:val="21"/>
                <w:highlight w:val="none"/>
              </w:rPr>
              <w:t>尺寸≥140×70×60mm</w:t>
            </w:r>
            <w:r>
              <w:rPr>
                <w:rFonts w:hint="eastAsia" w:ascii="宋体" w:hAnsi="宋体" w:cs="宋体"/>
                <w:color w:val="auto"/>
                <w:sz w:val="21"/>
                <w:szCs w:val="21"/>
                <w:highlight w:val="none"/>
                <w:lang w:eastAsia="zh-CN"/>
              </w:rPr>
              <w:t>；</w:t>
            </w:r>
          </w:p>
          <w:p w14:paraId="222A3A5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21.2 </w:t>
            </w:r>
            <w:r>
              <w:rPr>
                <w:rFonts w:hint="eastAsia" w:ascii="宋体" w:hAnsi="宋体" w:eastAsia="宋体" w:cs="宋体"/>
                <w:color w:val="auto"/>
                <w:sz w:val="21"/>
                <w:szCs w:val="21"/>
                <w:highlight w:val="none"/>
              </w:rPr>
              <w:t>行程≥80mm</w:t>
            </w:r>
            <w:r>
              <w:rPr>
                <w:rFonts w:hint="eastAsia" w:ascii="宋体" w:hAnsi="宋体" w:cs="宋体"/>
                <w:color w:val="auto"/>
                <w:sz w:val="21"/>
                <w:szCs w:val="21"/>
                <w:highlight w:val="none"/>
                <w:lang w:eastAsia="zh-CN"/>
              </w:rPr>
              <w:t>；</w:t>
            </w:r>
          </w:p>
          <w:p w14:paraId="60A0613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21.3 </w:t>
            </w:r>
            <w:r>
              <w:rPr>
                <w:rFonts w:hint="eastAsia" w:ascii="宋体" w:hAnsi="宋体" w:eastAsia="宋体" w:cs="宋体"/>
                <w:color w:val="auto"/>
                <w:sz w:val="21"/>
                <w:szCs w:val="21"/>
                <w:highlight w:val="none"/>
              </w:rPr>
              <w:t>夹力≥5N可调</w:t>
            </w:r>
            <w:r>
              <w:rPr>
                <w:rFonts w:hint="eastAsia" w:ascii="宋体" w:hAnsi="宋体" w:cs="宋体"/>
                <w:color w:val="auto"/>
                <w:sz w:val="21"/>
                <w:szCs w:val="21"/>
                <w:highlight w:val="none"/>
                <w:lang w:eastAsia="zh-CN"/>
              </w:rPr>
              <w:t>；</w:t>
            </w:r>
          </w:p>
          <w:p w14:paraId="5388054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21.4 </w:t>
            </w:r>
            <w:r>
              <w:rPr>
                <w:rFonts w:hint="eastAsia" w:ascii="宋体" w:hAnsi="宋体" w:eastAsia="宋体" w:cs="宋体"/>
                <w:color w:val="auto"/>
                <w:sz w:val="21"/>
                <w:szCs w:val="21"/>
                <w:highlight w:val="none"/>
              </w:rPr>
              <w:t>抓握载荷≥5kg</w:t>
            </w:r>
            <w:r>
              <w:rPr>
                <w:rFonts w:hint="eastAsia" w:ascii="宋体" w:hAnsi="宋体" w:cs="宋体"/>
                <w:color w:val="auto"/>
                <w:sz w:val="21"/>
                <w:szCs w:val="21"/>
                <w:highlight w:val="none"/>
                <w:lang w:eastAsia="zh-CN"/>
              </w:rPr>
              <w:t>；</w:t>
            </w:r>
          </w:p>
          <w:p w14:paraId="7DC137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21.5 </w:t>
            </w:r>
            <w:r>
              <w:rPr>
                <w:rFonts w:hint="eastAsia" w:ascii="宋体" w:hAnsi="宋体" w:eastAsia="宋体" w:cs="宋体"/>
                <w:color w:val="auto"/>
                <w:sz w:val="21"/>
                <w:szCs w:val="21"/>
                <w:highlight w:val="none"/>
              </w:rPr>
              <w:t>爪长≥80mm</w:t>
            </w:r>
            <w:r>
              <w:rPr>
                <w:rFonts w:hint="eastAsia" w:ascii="宋体" w:hAnsi="宋体" w:cs="宋体"/>
                <w:color w:val="auto"/>
                <w:sz w:val="21"/>
                <w:szCs w:val="21"/>
                <w:highlight w:val="none"/>
                <w:lang w:eastAsia="zh-CN"/>
              </w:rPr>
              <w:t>。</w:t>
            </w:r>
          </w:p>
        </w:tc>
      </w:tr>
      <w:tr w14:paraId="01208F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452044">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5ADBF3">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四足机器人</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EC312">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3C3917">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72ABD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1.整机重量（带电池）：</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16kg；</w:t>
            </w:r>
          </w:p>
          <w:p w14:paraId="43EEFB9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2.长宽高（站立时）700*310*400mm（</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15mm）</w:t>
            </w:r>
            <w:r>
              <w:rPr>
                <w:rFonts w:hint="eastAsia" w:ascii="宋体" w:hAnsi="宋体" w:cs="宋体"/>
                <w:color w:val="auto"/>
                <w:sz w:val="21"/>
                <w:szCs w:val="21"/>
                <w:highlight w:val="none"/>
                <w:lang w:eastAsia="zh-CN"/>
              </w:rPr>
              <w:t>；</w:t>
            </w:r>
          </w:p>
          <w:p w14:paraId="117704F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长宽高（趴下时）约760*310*200mm（±15mm）；</w:t>
            </w:r>
          </w:p>
          <w:p w14:paraId="29D5001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3.最大爬坡角度≥40°；</w:t>
            </w:r>
          </w:p>
          <w:p w14:paraId="7DEA15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4.最大攀爬落差高度≥16cm；</w:t>
            </w:r>
          </w:p>
          <w:p w14:paraId="0A19F7B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5.负载能力：静态站立最大负载能力20kg（持续时间≥10分钟），行走时最大负载能力8kg；</w:t>
            </w:r>
          </w:p>
          <w:p w14:paraId="1B2F640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6.最大运动速度：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3.7ms；</w:t>
            </w:r>
          </w:p>
          <w:p w14:paraId="4D8C964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★7.机器狗配备足端力传感器，≥4个；</w:t>
            </w:r>
          </w:p>
          <w:p w14:paraId="50E60BD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★8腿和机身连接处具备全向柔性缓冲结构，可有效吸收全向冲击；</w:t>
            </w:r>
          </w:p>
          <w:p w14:paraId="4CA58D4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★9.支持智能OTA升级；</w:t>
            </w:r>
          </w:p>
          <w:p w14:paraId="6B9D166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★10.具备安卓&amp;苹果端APP，具备APP高清图传、遥控、机器狗状态查看等功能，具备图形化编程功能；</w:t>
            </w:r>
          </w:p>
          <w:p w14:paraId="73EE2CF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11.步态要求：</w:t>
            </w:r>
          </w:p>
          <w:p w14:paraId="74F0263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提供运动能力包括：踏步、行走、奔跑左右运动、原地转弯等功能，能走弧线，走圆形；</w:t>
            </w:r>
          </w:p>
          <w:p w14:paraId="2D3825E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提供高阶步态包括：上下台阶、斜坡等等，以及支持行走和跑步等多种步态开发；</w:t>
            </w:r>
          </w:p>
          <w:p w14:paraId="03CACE3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配备月球步（即太空步）功能，配备并腿跑功能；</w:t>
            </w:r>
          </w:p>
          <w:p w14:paraId="42E1A2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配备侧边步功能（即在右前脚右后脚悬空的情况下用左前脚左后脚行走，或在左前脚左后脚悬空的情况下用右前脚右后脚行走）；</w:t>
            </w:r>
          </w:p>
          <w:p w14:paraId="071094F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配备交叉步功能（即在右前脚左后脚悬空的情况下用左前脚右后脚行走，或在左前脚右后脚悬空的情况下用右前脚左后脚行走）；</w:t>
            </w:r>
          </w:p>
          <w:p w14:paraId="022959E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提供多种展示动作，包括向上跳、向前跳、前空翻、开心、握手、扑人、坐下、伸懒腰、作揖、多种创意舞蹈等；</w:t>
            </w:r>
          </w:p>
          <w:p w14:paraId="43192D6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★12.关节模组外径≥80mm，关节模组直径越大，关节输出扭矩越大，机器狗运动性能越好。采用外转子电机；</w:t>
            </w:r>
          </w:p>
          <w:p w14:paraId="6F6DD0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13.在保证机器狗安全情况下，各关节都有足够大的运动范围：</w:t>
            </w:r>
          </w:p>
          <w:p w14:paraId="40546BF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13.1 </w:t>
            </w:r>
            <w:r>
              <w:rPr>
                <w:rFonts w:hint="eastAsia" w:ascii="宋体" w:hAnsi="宋体" w:eastAsia="宋体" w:cs="宋体"/>
                <w:color w:val="auto"/>
                <w:sz w:val="21"/>
                <w:szCs w:val="21"/>
                <w:highlight w:val="none"/>
              </w:rPr>
              <w:t>机身关节：不低于-48°~+48°</w:t>
            </w:r>
          </w:p>
          <w:p w14:paraId="651D07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13.2 </w:t>
            </w:r>
            <w:r>
              <w:rPr>
                <w:rFonts w:hint="eastAsia" w:ascii="宋体" w:hAnsi="宋体" w:eastAsia="宋体" w:cs="宋体"/>
                <w:color w:val="auto"/>
                <w:sz w:val="21"/>
                <w:szCs w:val="21"/>
                <w:highlight w:val="none"/>
              </w:rPr>
              <w:t>大腿关节：不低于-200°~+90°</w:t>
            </w:r>
          </w:p>
          <w:p w14:paraId="3DAAE9A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13.3 </w:t>
            </w:r>
            <w:r>
              <w:rPr>
                <w:rFonts w:hint="eastAsia" w:ascii="宋体" w:hAnsi="宋体" w:eastAsia="宋体" w:cs="宋体"/>
                <w:color w:val="auto"/>
                <w:sz w:val="21"/>
                <w:szCs w:val="21"/>
                <w:highlight w:val="none"/>
              </w:rPr>
              <w:t>小腿关节：不低于-156°~-48°</w:t>
            </w:r>
          </w:p>
          <w:p w14:paraId="4AAE009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.膝关节电机附近内置热管辅助散热系统；</w:t>
            </w:r>
          </w:p>
          <w:p w14:paraId="2FD5E9B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.膝关节内走线，小腿和大腿关节之间无外置线缆；</w:t>
            </w:r>
          </w:p>
          <w:p w14:paraId="02D559F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.配备4G通信，内置eSIM；</w:t>
            </w:r>
          </w:p>
          <w:p w14:paraId="541A316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.内置WiFi6双频无线模组，支持2.4G以及5.8G wifi ,且同时支持STA和AP 两种模式；</w:t>
            </w:r>
          </w:p>
          <w:p w14:paraId="29586F2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.内置蓝牙5.2模组；</w:t>
            </w:r>
          </w:p>
          <w:p w14:paraId="0372D97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rPr>
              <w:t>.配备无线矢量定位及控制系统，无需使用遥控器控制机器狗即可实现机器狗位于人的侧向余光视线内伴随；</w:t>
            </w:r>
          </w:p>
          <w:p w14:paraId="108ED35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.下巴处配置1台超广角4D激光雷达：FOV360°×90°,扫描距离30m；近处盲区为0.05m；可实现探物避障，配备麦克风、扬声器、照明灯，具备系统状态指示功能，实时反馈机器人状态；</w:t>
            </w:r>
          </w:p>
          <w:p w14:paraId="573D3BF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.内置语音识别模块，具备语音交互功能；</w:t>
            </w:r>
          </w:p>
          <w:p w14:paraId="60D8CA9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.广角摄像头具有1080P高清拍摄能力，通光孔径F2.2，支持人体跟踪识别等算法开发；</w:t>
            </w:r>
          </w:p>
          <w:p w14:paraId="706F545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.电池容量</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15000mAh，额定能量≥432Wh；</w:t>
            </w:r>
          </w:p>
          <w:p w14:paraId="141E1AB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.支持拓展无线或触点自主充电功能；</w:t>
            </w:r>
          </w:p>
          <w:p w14:paraId="1AA4208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.搭载8GB算力模组（40Tops算力的拓展坞），可提供40Tops算力；</w:t>
            </w:r>
          </w:p>
          <w:p w14:paraId="3DFC46A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.提供接口：1个USB3.0-Type A接口、2个USB3.0-Type C接口（可转HDMI输出）、2个千兆以太网口（标准RJ45）、1个百兆以太网口（GH1.25-4PIN）、1个M8航插接口；</w:t>
            </w:r>
          </w:p>
          <w:p w14:paraId="252375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27.</w:t>
            </w:r>
            <w:r>
              <w:rPr>
                <w:rFonts w:hint="eastAsia" w:ascii="宋体" w:hAnsi="宋体" w:eastAsia="宋体" w:cs="宋体"/>
                <w:color w:val="auto"/>
                <w:sz w:val="21"/>
                <w:szCs w:val="21"/>
                <w:highlight w:val="none"/>
              </w:rPr>
              <w:t>电源口：2路12V1A输出；1路5V2A输出；1路BAT电源输出 ；</w:t>
            </w:r>
          </w:p>
          <w:p w14:paraId="4707369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28.配置1组深度相机</w:t>
            </w:r>
            <w:r>
              <w:rPr>
                <w:rFonts w:hint="eastAsia" w:ascii="宋体" w:hAnsi="宋体" w:cs="宋体"/>
                <w:color w:val="auto"/>
                <w:sz w:val="21"/>
                <w:szCs w:val="21"/>
                <w:highlight w:val="none"/>
                <w:lang w:eastAsia="zh-CN"/>
              </w:rPr>
              <w:t>。</w:t>
            </w:r>
          </w:p>
        </w:tc>
      </w:tr>
      <w:tr w14:paraId="6574F2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F2247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A645E9">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四足机器人（带机械臂）</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88EE7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9976D2">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A3BEF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1.站立尺寸</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长×宽×高</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≤610mm×370mm×480mm；</w:t>
            </w:r>
          </w:p>
          <w:p w14:paraId="144FCCE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2.整机重量（含电池）≤13kg；</w:t>
            </w:r>
          </w:p>
          <w:p w14:paraId="7E7A289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3.有效负载≥3kg，极限负载≥6kg；</w:t>
            </w:r>
          </w:p>
          <w:p w14:paraId="60DE063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4.最大运动速度≥2.5m/s；</w:t>
            </w:r>
          </w:p>
          <w:p w14:paraId="4FAC3F6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5.最大攀爬斜坡角度≥40°，连续楼梯高度≥15cm；</w:t>
            </w:r>
          </w:p>
          <w:p w14:paraId="1E91167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6.电池能量：≥125Wh，电池容量：≥4400mAh，电池充电时长：≤1h，空载运动续航时间：1.5h~2h；</w:t>
            </w:r>
          </w:p>
          <w:p w14:paraId="2F34E05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7.整机自由度≥12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单腿自由度≥3；</w:t>
            </w:r>
          </w:p>
          <w:p w14:paraId="50DAE13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8.支持平底、越障步态，支持切换机器狗身体高度为正常、匍匐档位；</w:t>
            </w:r>
          </w:p>
          <w:p w14:paraId="6229E26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9.机器人的平衡算法采用全力控算法，无需安装足底压力传感器，即可实现360°无盲区感测足底三维力；</w:t>
            </w:r>
          </w:p>
          <w:p w14:paraId="4BAA283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10.超声波雷达×2：配备前后停障功能，支持距离检测和停障算法开发；</w:t>
            </w:r>
          </w:p>
          <w:p w14:paraId="19713E0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11.广角相机×1：水平视角130°；1920×1080@30fps；可逆光、无畸变，支持人体识别跟踪算法开发</w:t>
            </w:r>
            <w:r>
              <w:rPr>
                <w:rFonts w:hint="eastAsia" w:ascii="宋体" w:hAnsi="宋体" w:cs="宋体"/>
                <w:color w:val="auto"/>
                <w:sz w:val="21"/>
                <w:szCs w:val="21"/>
                <w:highlight w:val="none"/>
                <w:lang w:eastAsia="zh-CN"/>
              </w:rPr>
              <w:t>；</w:t>
            </w:r>
          </w:p>
          <w:p w14:paraId="7658B21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.深度相机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支持单目彩色图像、双目灰度图像、深度点云、内部imu数据输出；彩色图像1920×1080@30FPS；灰度图像1280×720@30FPS；深度点云1280×720@30FPS；支持2.5D地形建图；支持视觉算法开发；</w:t>
            </w:r>
          </w:p>
          <w:p w14:paraId="1DFFC10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.支持灯语交互，支持不同灯光状态展示机器狗状态如开机自检、连接状态、运动状态、低电量、关节过温、断连等设备状态；</w:t>
            </w:r>
          </w:p>
          <w:p w14:paraId="2CF7B94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.提供不少于5种展示动作，如打招呼、扭身体、太空步、向前跳、扭身跳等动作；</w:t>
            </w:r>
          </w:p>
          <w:p w14:paraId="4959F79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.支持AI运动模式步态，AI步态情况下，支持攀爬18cm楼梯；</w:t>
            </w:r>
          </w:p>
          <w:p w14:paraId="25BBCBA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.AI步态情况下，未下发轴指令时支持牵引控制；</w:t>
            </w:r>
          </w:p>
          <w:p w14:paraId="030757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.支持开启视觉跟随功能，跟随对象选取成功后，机器狗在起立状态下会自主跟随框中的对象 ；</w:t>
            </w:r>
          </w:p>
          <w:p w14:paraId="4B223EC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.支持中英文语音指令，点击app页面语音按键说出内置口令后，机器狗将执行相应动作如起立、趴下、前后左右移动、停止、转向等语音指令执行；</w:t>
            </w:r>
          </w:p>
          <w:p w14:paraId="000BD8B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rPr>
              <w:t>.机器人意外摔倒时，支持手动选择爬起方向；</w:t>
            </w:r>
          </w:p>
          <w:p w14:paraId="0FA3EE6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.具备急停保护、低电量保护、关节过热保护等保护措施</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提供证明材料</w:t>
            </w:r>
            <w:r>
              <w:rPr>
                <w:rFonts w:hint="eastAsia" w:ascii="宋体" w:hAnsi="宋体" w:cs="宋体"/>
                <w:b/>
                <w:bCs/>
                <w:color w:val="auto"/>
                <w:sz w:val="21"/>
                <w:szCs w:val="21"/>
                <w:highlight w:val="none"/>
                <w:lang w:eastAsia="zh-CN"/>
              </w:rPr>
              <w:t>）</w:t>
            </w:r>
            <w:r>
              <w:rPr>
                <w:rFonts w:hint="eastAsia" w:ascii="宋体" w:hAnsi="宋体" w:eastAsia="宋体" w:cs="宋体"/>
                <w:color w:val="auto"/>
                <w:sz w:val="21"/>
                <w:szCs w:val="21"/>
                <w:highlight w:val="none"/>
              </w:rPr>
              <w:t>；</w:t>
            </w:r>
          </w:p>
          <w:p w14:paraId="795D11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.机器人自带多路可输出内置电源，电源接口5V/12V/24V，机器人自带多路可扩展接口，包括Ethernet/USB3.0/HDMI/WiFi，方便二次开发；</w:t>
            </w:r>
          </w:p>
          <w:p w14:paraId="59D939E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.支持停障辅助功能，检测前后障碍物可自动减速至原地踏步；</w:t>
            </w:r>
          </w:p>
          <w:p w14:paraId="232571F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.提供详细的使用文档和开发手册，提供机器人运动模型供运动仿真，提供运动控制算法开发SDK和API、运动开发Demo，提供运动二次开发手册；</w:t>
            </w:r>
          </w:p>
          <w:p w14:paraId="1F0352C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.配备机械臂：自由度≥4；有效负载≥0.5kg；工作半径：≥500mm；配置超清USB工业视觉相机，像素≥200万。</w:t>
            </w:r>
          </w:p>
        </w:tc>
      </w:tr>
      <w:tr w14:paraId="280A7F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53DF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4</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38899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3D打印机</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1C3F25">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52A8E5">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8057C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成型技术：熔融沉积成型；</w:t>
            </w:r>
          </w:p>
          <w:p w14:paraId="69EDC78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最大打印尺寸(长×宽×高)：单喷嘴模式≥325×320×325mm³、双喷嘴交集模式≥300×320×325mm³、双喷嘴并集模式≥350×320×325mm³</w:t>
            </w:r>
            <w:r>
              <w:rPr>
                <w:rFonts w:hint="eastAsia" w:ascii="宋体" w:hAnsi="宋体" w:cs="宋体"/>
                <w:color w:val="auto"/>
                <w:sz w:val="21"/>
                <w:szCs w:val="21"/>
                <w:highlight w:val="none"/>
                <w:lang w:eastAsia="zh-CN"/>
              </w:rPr>
              <w:t>；</w:t>
            </w:r>
          </w:p>
          <w:p w14:paraId="02C5CDB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框架为铝材和钢材构成，外壳为塑料和玻璃构成；</w:t>
            </w:r>
          </w:p>
          <w:p w14:paraId="7AE0467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工具头：全金属热端、硬化钢挤出机齿轮、硬化钢喷嘴，内置工具头切刀，喷嘴最高温度不低于350℃、喷嘴直径自带0.4mm；</w:t>
            </w:r>
          </w:p>
          <w:p w14:paraId="4A6AC27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机器标配双面纹理PEI打印面板，可扩展光面打印面板，热床最高温度不低于120℃；</w:t>
            </w:r>
          </w:p>
          <w:p w14:paraId="33D251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工具头最大移动速度不低于1000mm/s，工具头最大移动加速度不低于20000mm/s²，热端最大流速不低于65mm³/s；</w:t>
            </w:r>
          </w:p>
          <w:p w14:paraId="09998FE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支持耗材类型：PLA、PETG、TPU、ABS、ASA、PVA、PET、尼龙线材（PA)、聚碳酸酯线材（PC)、PPA-CF/GF、PPS、PPS-CF/GF、碳/玻璃纤维增强线材及相关支撑隔离材料等；</w:t>
            </w:r>
          </w:p>
          <w:p w14:paraId="3A3783E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支持热端快拆、主动振动补偿、全自动双喷嘴偏移校准、自动热床调平；</w:t>
            </w:r>
          </w:p>
          <w:p w14:paraId="0CE6102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配备三摄像头计算机视觉系统，实现高精度打印，支持AI首层检测、炒面检测；</w:t>
            </w:r>
          </w:p>
          <w:p w14:paraId="53B210A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配备喷嘴摄像头、工具头摄像头，支持开门检测；</w:t>
            </w:r>
          </w:p>
          <w:p w14:paraId="33E8DEE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支持断料检测、缠料检测、断电续打，具备监控打印机状态的健康管理系统；</w:t>
            </w:r>
          </w:p>
          <w:p w14:paraId="0AFB54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自带空气过滤系统，支持自适应空气循环，配备椰壳活性炭滤芯，初级过滤等级G3，HEPA滤网等级H12；</w:t>
            </w:r>
          </w:p>
          <w:p w14:paraId="1D2658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支持主动腔热控制，多传感器闭环温控，最大加热腔温不低于65℃；</w:t>
            </w:r>
          </w:p>
          <w:p w14:paraId="6B042D7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配备触摸显示屏，屏幕尺寸≤5英寸，内置高清相机，支持实时监控及延时摄影；</w:t>
            </w:r>
          </w:p>
          <w:p w14:paraId="7CBC506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支持通过触摸显示屏、手机端APP、电脑端应用三种操作界面控制；</w:t>
            </w:r>
          </w:p>
          <w:p w14:paraId="58C7C08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配备全闭环控制风扇系统，确保打印的高质量和可靠性；</w:t>
            </w:r>
          </w:p>
          <w:p w14:paraId="6E2B3F1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支持Wi-Fi通讯；</w:t>
            </w:r>
          </w:p>
          <w:p w14:paraId="1F78751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配备3D打印切片软件</w:t>
            </w:r>
            <w:r>
              <w:rPr>
                <w:rFonts w:hint="eastAsia" w:ascii="宋体" w:hAnsi="宋体" w:cs="宋体"/>
                <w:color w:val="auto"/>
                <w:sz w:val="21"/>
                <w:szCs w:val="21"/>
                <w:highlight w:val="none"/>
                <w:lang w:eastAsia="zh-CN"/>
              </w:rPr>
              <w:t>。</w:t>
            </w:r>
          </w:p>
        </w:tc>
      </w:tr>
      <w:tr w14:paraId="6049361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D98A4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5</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D6DA0D">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数字示波器</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E8A1B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2B86F2">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4FB3E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带宽100MHz，双通道，实时采样率1GSa/s，存储深度24Mpts；</w:t>
            </w:r>
          </w:p>
          <w:p w14:paraId="6715A64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波形捕获率30000wfm/s，水平时基档位2 ns/div至50 s/div；</w:t>
            </w:r>
          </w:p>
          <w:p w14:paraId="5C29194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标配触发功能：边沿触发、脉宽触发、欠幅脉冲触发、超幅脉冲触发、第N边沿触发、斜率触发、视频触发、码型触发、超时触发、持续时间触发、建立保持触发、RS232/UART触发、I2C触发、SPI触发；</w:t>
            </w:r>
          </w:p>
          <w:p w14:paraId="785AC6A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码型触发：H、L、X、上升沿、下降沿；</w:t>
            </w:r>
          </w:p>
          <w:p w14:paraId="3B40E06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数学运算：A+B、A-B、A×B、A/B、FFT、A&amp;&amp;B、A||B、A^B、!A、Intg、Diff、Sqrt、Lg、Ln、Exp、Abs、Filter；</w:t>
            </w:r>
          </w:p>
          <w:p w14:paraId="6D0A543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FFT窗类型：Rectangle、Hanning、Blackman、Hamming、Flat Top、Triangle；</w:t>
            </w:r>
          </w:p>
          <w:p w14:paraId="4DD5328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屏幕：</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7.0英寸TFT液晶显示器，显示分辨率：800水平×RGB×480垂直像素，1600万色（24 bit真色彩）</w:t>
            </w:r>
            <w:r>
              <w:rPr>
                <w:rFonts w:hint="eastAsia" w:ascii="宋体" w:hAnsi="宋体" w:cs="宋体"/>
                <w:color w:val="auto"/>
                <w:sz w:val="21"/>
                <w:szCs w:val="21"/>
                <w:highlight w:val="none"/>
                <w:lang w:eastAsia="zh-CN"/>
              </w:rPr>
              <w:t>。</w:t>
            </w:r>
          </w:p>
        </w:tc>
      </w:tr>
      <w:tr w14:paraId="47A9E1C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5AE1B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6</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30052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函数任意波形发生器</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C8E1B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2A02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8CB9B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1.最高输出频率25M、双路模拟输出</w:t>
            </w:r>
            <w:r>
              <w:rPr>
                <w:rFonts w:hint="eastAsia" w:ascii="宋体" w:hAnsi="宋体" w:cs="宋体"/>
                <w:color w:val="auto"/>
                <w:sz w:val="21"/>
                <w:szCs w:val="21"/>
                <w:highlight w:val="none"/>
                <w:lang w:eastAsia="zh-CN"/>
              </w:rPr>
              <w:t>；</w:t>
            </w:r>
          </w:p>
          <w:p w14:paraId="6CFF346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2.正弦波：1μHz到25MHz</w:t>
            </w:r>
            <w:r>
              <w:rPr>
                <w:rFonts w:hint="eastAsia" w:ascii="宋体" w:hAnsi="宋体" w:cs="宋体"/>
                <w:color w:val="auto"/>
                <w:sz w:val="21"/>
                <w:szCs w:val="21"/>
                <w:highlight w:val="none"/>
                <w:lang w:eastAsia="zh-CN"/>
              </w:rPr>
              <w:t>；</w:t>
            </w:r>
          </w:p>
          <w:p w14:paraId="0D0D2CB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方波：1μHz到5MHz</w:t>
            </w:r>
          </w:p>
          <w:p w14:paraId="1A8F9F7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锯齿波：1μHz到500kHz</w:t>
            </w:r>
          </w:p>
          <w:p w14:paraId="0075D83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脉冲波：500μHz到5MHz</w:t>
            </w:r>
          </w:p>
          <w:p w14:paraId="4BC116A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白噪声：5MHz带宽(-3dB)</w:t>
            </w:r>
            <w:r>
              <w:rPr>
                <w:rFonts w:hint="eastAsia" w:ascii="宋体" w:hAnsi="宋体" w:cs="宋体"/>
                <w:color w:val="auto"/>
                <w:sz w:val="21"/>
                <w:szCs w:val="21"/>
                <w:highlight w:val="none"/>
                <w:lang w:eastAsia="zh-CN"/>
              </w:rPr>
              <w:t>；</w:t>
            </w:r>
          </w:p>
          <w:p w14:paraId="09040FE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.频率精度温度系数</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5ppm/</w:t>
            </w:r>
            <w:r>
              <w:rPr>
                <w:rFonts w:hint="eastAsia" w:ascii="宋体" w:hAnsi="宋体" w:cs="宋体"/>
                <w:color w:val="auto"/>
                <w:sz w:val="21"/>
                <w:szCs w:val="21"/>
                <w:highlight w:val="none"/>
                <w:lang w:val="en-US" w:eastAsia="zh-CN"/>
              </w:rPr>
              <w:t>℃；</w:t>
            </w:r>
          </w:p>
          <w:p w14:paraId="2661BE3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.频率分辨率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1uHz</w:t>
            </w:r>
            <w:r>
              <w:rPr>
                <w:rFonts w:hint="eastAsia" w:ascii="宋体" w:hAnsi="宋体" w:cs="宋体"/>
                <w:color w:val="auto"/>
                <w:sz w:val="21"/>
                <w:szCs w:val="21"/>
                <w:highlight w:val="none"/>
                <w:lang w:eastAsia="zh-CN"/>
              </w:rPr>
              <w:t>；</w:t>
            </w:r>
          </w:p>
          <w:p w14:paraId="73390F5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.100MSa/s采样率、14bits垂直分辨率</w:t>
            </w:r>
            <w:r>
              <w:rPr>
                <w:rFonts w:hint="eastAsia" w:ascii="宋体" w:hAnsi="宋体" w:cs="宋体"/>
                <w:color w:val="auto"/>
                <w:sz w:val="21"/>
                <w:szCs w:val="21"/>
                <w:highlight w:val="none"/>
                <w:lang w:eastAsia="zh-CN"/>
              </w:rPr>
              <w:t>；</w:t>
            </w:r>
          </w:p>
          <w:p w14:paraId="0624FF7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.相位噪声</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-108dBc/Hz，10KHz offset</w:t>
            </w:r>
            <w:r>
              <w:rPr>
                <w:rFonts w:hint="eastAsia" w:ascii="宋体" w:hAnsi="宋体" w:cs="宋体"/>
                <w:color w:val="auto"/>
                <w:sz w:val="21"/>
                <w:szCs w:val="21"/>
                <w:highlight w:val="none"/>
                <w:lang w:eastAsia="zh-CN"/>
              </w:rPr>
              <w:t>；</w:t>
            </w:r>
          </w:p>
          <w:p w14:paraId="222C61A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.总谐波失真</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DC～20KHz，1Vpp&lt;0.2%</w:t>
            </w:r>
            <w:r>
              <w:rPr>
                <w:rFonts w:hint="eastAsia" w:ascii="宋体" w:hAnsi="宋体" w:cs="宋体"/>
                <w:color w:val="auto"/>
                <w:sz w:val="21"/>
                <w:szCs w:val="21"/>
                <w:highlight w:val="none"/>
                <w:lang w:eastAsia="zh-CN"/>
              </w:rPr>
              <w:t>；</w:t>
            </w:r>
          </w:p>
          <w:p w14:paraId="351F934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.脉宽</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20nS～2000S，最小分辨率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1ns，抖动6ns+周期的100ppm</w:t>
            </w:r>
            <w:r>
              <w:rPr>
                <w:rFonts w:hint="eastAsia" w:ascii="宋体" w:hAnsi="宋体" w:cs="宋体"/>
                <w:color w:val="auto"/>
                <w:sz w:val="21"/>
                <w:szCs w:val="21"/>
                <w:highlight w:val="none"/>
                <w:lang w:eastAsia="zh-CN"/>
              </w:rPr>
              <w:t>；</w:t>
            </w:r>
          </w:p>
          <w:p w14:paraId="13D313E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.任意波长度最大4k，标配任意波编辑软件，用户自定义数据格式转换软件</w:t>
            </w:r>
            <w:r>
              <w:rPr>
                <w:rFonts w:hint="eastAsia" w:ascii="宋体" w:hAnsi="宋体" w:cs="宋体"/>
                <w:color w:val="auto"/>
                <w:sz w:val="21"/>
                <w:szCs w:val="21"/>
                <w:highlight w:val="none"/>
                <w:lang w:eastAsia="zh-CN"/>
              </w:rPr>
              <w:t>；</w:t>
            </w:r>
          </w:p>
          <w:p w14:paraId="69C2342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.输出幅度4mV～20Vpp（高阻），垂直分辨率±（设置值的2%+2mVPP）</w:t>
            </w:r>
            <w:r>
              <w:rPr>
                <w:rFonts w:hint="eastAsia" w:ascii="宋体" w:hAnsi="宋体" w:cs="宋体"/>
                <w:color w:val="auto"/>
                <w:sz w:val="21"/>
                <w:szCs w:val="21"/>
                <w:highlight w:val="none"/>
                <w:lang w:eastAsia="zh-CN"/>
              </w:rPr>
              <w:t>；</w:t>
            </w:r>
          </w:p>
          <w:p w14:paraId="39E0270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.具备短路保护功能，过载自动禁用波形输出</w:t>
            </w:r>
            <w:r>
              <w:rPr>
                <w:rFonts w:hint="eastAsia" w:ascii="宋体" w:hAnsi="宋体" w:cs="宋体"/>
                <w:color w:val="auto"/>
                <w:sz w:val="21"/>
                <w:szCs w:val="21"/>
                <w:highlight w:val="none"/>
                <w:lang w:eastAsia="zh-CN"/>
              </w:rPr>
              <w:t>；</w:t>
            </w:r>
          </w:p>
          <w:p w14:paraId="7E937ED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.5种标准波形：正弦波、方波、脉冲波、锯齿波、白噪声。内建48种任意波形，可以对内建波形进行任意编辑</w:t>
            </w:r>
            <w:r>
              <w:rPr>
                <w:rFonts w:hint="eastAsia" w:ascii="宋体" w:hAnsi="宋体" w:cs="宋体"/>
                <w:color w:val="auto"/>
                <w:sz w:val="21"/>
                <w:szCs w:val="21"/>
                <w:highlight w:val="none"/>
                <w:lang w:eastAsia="zh-CN"/>
              </w:rPr>
              <w:t>；</w:t>
            </w:r>
          </w:p>
          <w:p w14:paraId="1D8C983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.调制功能：调幅（AM）、调频（FM）、调相（PM）、二进制频移键控（FSK），支持外部调制</w:t>
            </w:r>
            <w:r>
              <w:rPr>
                <w:rFonts w:hint="eastAsia" w:ascii="宋体" w:hAnsi="宋体" w:cs="宋体"/>
                <w:color w:val="auto"/>
                <w:sz w:val="21"/>
                <w:szCs w:val="21"/>
                <w:highlight w:val="none"/>
                <w:lang w:eastAsia="zh-CN"/>
              </w:rPr>
              <w:t>；</w:t>
            </w:r>
          </w:p>
          <w:p w14:paraId="7BB7CC1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.调制功能调制波可选Sine、Square、Triangle、UpRamp、DnRamp、Noise、Arb</w:t>
            </w:r>
            <w:r>
              <w:rPr>
                <w:rFonts w:hint="eastAsia" w:ascii="宋体" w:hAnsi="宋体" w:cs="宋体"/>
                <w:color w:val="auto"/>
                <w:sz w:val="21"/>
                <w:szCs w:val="21"/>
                <w:highlight w:val="none"/>
                <w:lang w:eastAsia="zh-CN"/>
              </w:rPr>
              <w:t>；</w:t>
            </w:r>
          </w:p>
          <w:p w14:paraId="10D03D9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.线性和对数扫描（Sweep）及脉冲串（Burst）模式，支持TTL电平外部触发</w:t>
            </w:r>
            <w:r>
              <w:rPr>
                <w:rFonts w:hint="eastAsia" w:ascii="宋体" w:hAnsi="宋体" w:cs="宋体"/>
                <w:color w:val="auto"/>
                <w:sz w:val="21"/>
                <w:szCs w:val="21"/>
                <w:highlight w:val="none"/>
                <w:lang w:eastAsia="zh-CN"/>
              </w:rPr>
              <w:t>；</w:t>
            </w:r>
          </w:p>
          <w:p w14:paraId="29D9B68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.输入输出：可外接调制源、基准10MHz时钟源、外触发输入、触发输出，数字同步信号输出</w:t>
            </w:r>
            <w:r>
              <w:rPr>
                <w:rFonts w:hint="eastAsia" w:ascii="宋体" w:hAnsi="宋体" w:cs="宋体"/>
                <w:color w:val="auto"/>
                <w:sz w:val="21"/>
                <w:szCs w:val="21"/>
                <w:highlight w:val="none"/>
                <w:lang w:eastAsia="zh-CN"/>
              </w:rPr>
              <w:t>；</w:t>
            </w:r>
          </w:p>
          <w:p w14:paraId="6341117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rPr>
              <w:t>.内置高精度100mhz~200MHz宽频带频率计，具有测量频率、周期、占空比、正/负脉冲宽度的功能，读数分辨率6位/秒</w:t>
            </w:r>
            <w:r>
              <w:rPr>
                <w:rFonts w:hint="eastAsia" w:ascii="宋体" w:hAnsi="宋体" w:cs="宋体"/>
                <w:color w:val="auto"/>
                <w:sz w:val="21"/>
                <w:szCs w:val="21"/>
                <w:highlight w:val="none"/>
                <w:lang w:eastAsia="zh-CN"/>
              </w:rPr>
              <w:t>；</w:t>
            </w:r>
          </w:p>
          <w:p w14:paraId="05AA4A0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rPr>
              <w:t>.标配标准的VISA驱动USB接口，支持U盘存储和调用，提供编程实例，支持远程控制；</w:t>
            </w:r>
          </w:p>
          <w:p w14:paraId="4B09656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23</w:t>
            </w:r>
            <w:r>
              <w:rPr>
                <w:rFonts w:hint="eastAsia" w:ascii="宋体" w:hAnsi="宋体" w:eastAsia="宋体" w:cs="宋体"/>
                <w:color w:val="auto"/>
                <w:sz w:val="21"/>
                <w:szCs w:val="21"/>
                <w:highlight w:val="none"/>
              </w:rPr>
              <w:t>.可通过远程命令或U盘锁定按键</w:t>
            </w:r>
            <w:r>
              <w:rPr>
                <w:rFonts w:hint="eastAsia" w:ascii="宋体" w:hAnsi="宋体" w:cs="宋体"/>
                <w:color w:val="auto"/>
                <w:sz w:val="21"/>
                <w:szCs w:val="21"/>
                <w:highlight w:val="none"/>
                <w:lang w:eastAsia="zh-CN"/>
              </w:rPr>
              <w:t>；</w:t>
            </w:r>
          </w:p>
          <w:p w14:paraId="3AE619A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.支持通道间参数复制</w:t>
            </w:r>
            <w:r>
              <w:rPr>
                <w:rFonts w:hint="eastAsia" w:ascii="宋体" w:hAnsi="宋体" w:cs="宋体"/>
                <w:color w:val="auto"/>
                <w:sz w:val="21"/>
                <w:szCs w:val="21"/>
                <w:highlight w:val="none"/>
                <w:lang w:eastAsia="zh-CN"/>
              </w:rPr>
              <w:t>；</w:t>
            </w:r>
          </w:p>
          <w:p w14:paraId="3DB058D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.支持通道间频率耦合或相位耦合</w:t>
            </w:r>
            <w:r>
              <w:rPr>
                <w:rFonts w:hint="eastAsia" w:ascii="宋体" w:hAnsi="宋体" w:cs="宋体"/>
                <w:color w:val="auto"/>
                <w:sz w:val="21"/>
                <w:szCs w:val="21"/>
                <w:highlight w:val="none"/>
                <w:lang w:eastAsia="zh-CN"/>
              </w:rPr>
              <w:t>；</w:t>
            </w:r>
          </w:p>
          <w:p w14:paraId="7D4827F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.可连接和控制功率放大器，将信号放大后输出</w:t>
            </w:r>
            <w:r>
              <w:rPr>
                <w:rFonts w:hint="eastAsia" w:ascii="宋体" w:hAnsi="宋体" w:cs="宋体"/>
                <w:color w:val="auto"/>
                <w:sz w:val="21"/>
                <w:szCs w:val="21"/>
                <w:highlight w:val="none"/>
                <w:lang w:eastAsia="zh-CN"/>
              </w:rPr>
              <w:t>。</w:t>
            </w:r>
          </w:p>
        </w:tc>
      </w:tr>
      <w:tr w14:paraId="0C2512B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4415C3">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7</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C34B85">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数字万用表</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9FCD90">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165371">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A90E9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读数速率可达80个读数/秒</w:t>
            </w:r>
            <w:r>
              <w:rPr>
                <w:rFonts w:hint="eastAsia" w:ascii="宋体" w:hAnsi="宋体" w:cs="宋体"/>
                <w:color w:val="auto"/>
                <w:sz w:val="21"/>
                <w:szCs w:val="21"/>
                <w:highlight w:val="none"/>
                <w:lang w:eastAsia="zh-CN"/>
              </w:rPr>
              <w:t>；</w:t>
            </w:r>
          </w:p>
          <w:p w14:paraId="569E9C4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最高20000点记录存储器，记录分析更多数据</w:t>
            </w:r>
            <w:r>
              <w:rPr>
                <w:rFonts w:hint="eastAsia" w:ascii="宋体" w:hAnsi="宋体" w:cs="宋体"/>
                <w:color w:val="auto"/>
                <w:sz w:val="21"/>
                <w:szCs w:val="21"/>
                <w:highlight w:val="none"/>
                <w:lang w:eastAsia="zh-CN"/>
              </w:rPr>
              <w:t>；</w:t>
            </w:r>
          </w:p>
          <w:p w14:paraId="4616EAE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5½位读数分辨率（120,000 Count）</w:t>
            </w:r>
            <w:r>
              <w:rPr>
                <w:rFonts w:hint="eastAsia" w:ascii="宋体" w:hAnsi="宋体" w:cs="宋体"/>
                <w:color w:val="auto"/>
                <w:sz w:val="21"/>
                <w:szCs w:val="21"/>
                <w:highlight w:val="none"/>
                <w:lang w:eastAsia="zh-CN"/>
              </w:rPr>
              <w:t>；</w:t>
            </w:r>
          </w:p>
          <w:p w14:paraId="45A0180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真有效值交流电压和交流电流测量</w:t>
            </w:r>
            <w:r>
              <w:rPr>
                <w:rFonts w:hint="eastAsia" w:ascii="宋体" w:hAnsi="宋体" w:cs="宋体"/>
                <w:color w:val="auto"/>
                <w:sz w:val="21"/>
                <w:szCs w:val="21"/>
                <w:highlight w:val="none"/>
                <w:lang w:eastAsia="zh-CN"/>
              </w:rPr>
              <w:t>；</w:t>
            </w:r>
          </w:p>
          <w:p w14:paraId="47B16B1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内置10组数据存储，10 组设置存储</w:t>
            </w:r>
            <w:r>
              <w:rPr>
                <w:rFonts w:hint="eastAsia" w:ascii="宋体" w:hAnsi="宋体" w:cs="宋体"/>
                <w:color w:val="auto"/>
                <w:sz w:val="21"/>
                <w:szCs w:val="21"/>
                <w:highlight w:val="none"/>
                <w:lang w:eastAsia="zh-CN"/>
              </w:rPr>
              <w:t>；</w:t>
            </w:r>
          </w:p>
          <w:p w14:paraId="334A3CD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最大电流测量量程3A，最大电容测量量程1mF</w:t>
            </w:r>
            <w:r>
              <w:rPr>
                <w:rFonts w:hint="eastAsia" w:ascii="宋体" w:hAnsi="宋体" w:cs="宋体"/>
                <w:color w:val="auto"/>
                <w:sz w:val="21"/>
                <w:szCs w:val="21"/>
                <w:highlight w:val="none"/>
                <w:lang w:eastAsia="zh-CN"/>
              </w:rPr>
              <w:t>；</w:t>
            </w:r>
          </w:p>
          <w:p w14:paraId="376835C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7英寸彩色触摸屏，可同时显示双测量结果</w:t>
            </w:r>
            <w:r>
              <w:rPr>
                <w:rFonts w:hint="eastAsia" w:ascii="宋体" w:hAnsi="宋体" w:cs="宋体"/>
                <w:color w:val="auto"/>
                <w:sz w:val="21"/>
                <w:szCs w:val="21"/>
                <w:highlight w:val="none"/>
                <w:lang w:eastAsia="zh-CN"/>
              </w:rPr>
              <w:t>；</w:t>
            </w:r>
          </w:p>
          <w:p w14:paraId="5B40347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Type-C 接口供电</w:t>
            </w:r>
            <w:r>
              <w:rPr>
                <w:rFonts w:hint="eastAsia" w:ascii="宋体" w:hAnsi="宋体" w:cs="宋体"/>
                <w:color w:val="auto"/>
                <w:sz w:val="21"/>
                <w:szCs w:val="21"/>
                <w:highlight w:val="none"/>
                <w:lang w:eastAsia="zh-CN"/>
              </w:rPr>
              <w:t>；</w:t>
            </w:r>
          </w:p>
          <w:p w14:paraId="58097B8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标配 USB、LAN 接口，支持 Webcontrol</w:t>
            </w:r>
            <w:r>
              <w:rPr>
                <w:rFonts w:hint="eastAsia" w:ascii="宋体" w:hAnsi="宋体" w:cs="宋体"/>
                <w:color w:val="auto"/>
                <w:sz w:val="21"/>
                <w:szCs w:val="21"/>
                <w:highlight w:val="none"/>
                <w:lang w:eastAsia="zh-CN"/>
              </w:rPr>
              <w:t>。</w:t>
            </w:r>
          </w:p>
        </w:tc>
      </w:tr>
      <w:tr w14:paraId="2AB4521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367558">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8</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5342F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可编程电源</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1534C3">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6552C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1F00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3个通道之间电气隔离，独立输出，32V/3A</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32V/3A</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6V/3A，最大输出功率210W；</w:t>
            </w:r>
          </w:p>
          <w:p w14:paraId="70E88CC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4.3英寸LCD彩色触摸屏，含前面板安全端子输出机型；</w:t>
            </w:r>
          </w:p>
          <w:p w14:paraId="3FD1E12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支持CH1和CH2内部串并联输出功能；</w:t>
            </w:r>
          </w:p>
          <w:p w14:paraId="2E9D163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快速瞬态响应时间</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50μs；低输出纹波和噪声≤350μVrms/2mVpp；</w:t>
            </w:r>
          </w:p>
          <w:p w14:paraId="3B8BE1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显示分辨率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10mV/1mA；</w:t>
            </w:r>
          </w:p>
          <w:p w14:paraId="4F8870D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通讯接口</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USB Device、USB Host、LAN</w:t>
            </w:r>
            <w:r>
              <w:rPr>
                <w:rFonts w:hint="eastAsia" w:ascii="宋体" w:hAnsi="宋体" w:cs="宋体"/>
                <w:color w:val="auto"/>
                <w:sz w:val="21"/>
                <w:szCs w:val="21"/>
                <w:highlight w:val="none"/>
                <w:lang w:eastAsia="zh-CN"/>
              </w:rPr>
              <w:t>；</w:t>
            </w:r>
          </w:p>
          <w:p w14:paraId="6986A35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瞬态响应时间：在输出电流从满载到半载，或从半载到满载，输出电压误差恢复到稳态输出值±15mV以内的时间小于50μs</w:t>
            </w:r>
            <w:r>
              <w:rPr>
                <w:rFonts w:hint="eastAsia" w:ascii="宋体" w:hAnsi="宋体" w:cs="宋体"/>
                <w:color w:val="auto"/>
                <w:sz w:val="21"/>
                <w:szCs w:val="21"/>
                <w:highlight w:val="none"/>
                <w:lang w:eastAsia="zh-CN"/>
              </w:rPr>
              <w:t>；</w:t>
            </w:r>
          </w:p>
          <w:p w14:paraId="3D3CF8B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支持最大512组序列输出，最小驻留时间100ms，内置多种基础波形</w:t>
            </w:r>
            <w:r>
              <w:rPr>
                <w:rFonts w:hint="eastAsia" w:ascii="宋体" w:hAnsi="宋体" w:cs="宋体"/>
                <w:color w:val="auto"/>
                <w:sz w:val="21"/>
                <w:szCs w:val="21"/>
                <w:highlight w:val="none"/>
                <w:lang w:eastAsia="zh-CN"/>
              </w:rPr>
              <w:t>；</w:t>
            </w:r>
          </w:p>
          <w:p w14:paraId="0E3389E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支持定时输出，数据记录和分析功能</w:t>
            </w:r>
            <w:r>
              <w:rPr>
                <w:rFonts w:hint="eastAsia" w:ascii="宋体" w:hAnsi="宋体" w:cs="宋体"/>
                <w:color w:val="auto"/>
                <w:sz w:val="21"/>
                <w:szCs w:val="21"/>
                <w:highlight w:val="none"/>
                <w:lang w:eastAsia="zh-CN"/>
              </w:rPr>
              <w:t>。</w:t>
            </w:r>
          </w:p>
        </w:tc>
      </w:tr>
    </w:tbl>
    <w:p w14:paraId="62C452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投标人须知</w:t>
      </w:r>
    </w:p>
    <w:p w14:paraId="4E1E358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EC0AD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无</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1.中标人在中标通知书发出之日起七个工作日内，向采购代理机构交纳代理服务费；</w:t>
            </w:r>
          </w:p>
          <w:p w14:paraId="0468B18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▲1.投标人代表是法定代表人（单位负责人、自然人本人）的，须提供本人身份证明。</w:t>
            </w:r>
          </w:p>
          <w:p w14:paraId="5E9D84A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A477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1.本项目是否接受联合体投标：是；</w:t>
            </w:r>
          </w:p>
          <w:p w14:paraId="147F9DA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2.两个以上的自然人、法人或者其他组织可以组成一个联合体，以一个供应商的身份共同参加采购；</w:t>
            </w:r>
          </w:p>
          <w:p w14:paraId="1EF6055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3.以联合体形式进行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71CACA7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4.联合体中有同类资质的供应商按照联合体分工承担相同工作的，应当按照资质等级较低的供应商确定资质等级；</w:t>
            </w:r>
          </w:p>
          <w:p w14:paraId="21880AF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5.以联合体形式参加采购活动的，联合体各方不得再单独参加或者与其他供应商另外组成联合体参加同一合同项下的采购活动</w:t>
            </w:r>
            <w:r>
              <w:rPr>
                <w:rFonts w:hint="eastAsia" w:ascii="宋体" w:hAnsi="宋体" w:cs="宋体"/>
                <w:color w:val="auto"/>
                <w:spacing w:val="0"/>
                <w:kern w:val="0"/>
                <w:sz w:val="21"/>
                <w:szCs w:val="21"/>
                <w:highlight w:val="none"/>
                <w:lang w:val="en-US" w:eastAsia="zh-CN" w:bidi="ar"/>
              </w:rPr>
              <w:t>；</w:t>
            </w:r>
          </w:p>
          <w:p w14:paraId="2D6845A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cs="宋体"/>
                <w:color w:val="auto"/>
                <w:spacing w:val="0"/>
                <w:kern w:val="0"/>
                <w:sz w:val="21"/>
                <w:szCs w:val="21"/>
                <w:highlight w:val="none"/>
                <w:lang w:val="en-US" w:eastAsia="zh-CN" w:bidi="ar"/>
              </w:rPr>
            </w:pPr>
            <w:r>
              <w:rPr>
                <w:rFonts w:hint="eastAsia" w:ascii="宋体" w:hAnsi="宋体" w:cs="宋体"/>
                <w:color w:val="auto"/>
                <w:spacing w:val="0"/>
                <w:kern w:val="0"/>
                <w:sz w:val="21"/>
                <w:szCs w:val="21"/>
                <w:highlight w:val="none"/>
                <w:lang w:val="en-US" w:eastAsia="zh-CN" w:bidi="ar"/>
              </w:rPr>
              <w:t>6.联合体其他有关说明：</w:t>
            </w:r>
          </w:p>
          <w:p w14:paraId="79F2176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cs="宋体"/>
                <w:color w:val="auto"/>
                <w:spacing w:val="0"/>
                <w:kern w:val="0"/>
                <w:sz w:val="21"/>
                <w:szCs w:val="21"/>
                <w:highlight w:val="none"/>
                <w:lang w:val="en-US" w:eastAsia="zh-CN" w:bidi="ar"/>
              </w:rPr>
            </w:pPr>
            <w:r>
              <w:rPr>
                <w:rFonts w:hint="eastAsia" w:ascii="宋体" w:hAnsi="宋体" w:cs="宋体"/>
                <w:color w:val="auto"/>
                <w:spacing w:val="0"/>
                <w:kern w:val="0"/>
                <w:sz w:val="21"/>
                <w:szCs w:val="21"/>
                <w:highlight w:val="none"/>
                <w:lang w:val="en-US" w:eastAsia="zh-CN" w:bidi="ar"/>
              </w:rPr>
              <w:t>（1）联合体的特定资格要求：联合体成员中有一方具备即为符合要求；</w:t>
            </w:r>
          </w:p>
          <w:p w14:paraId="4C6BE4C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（2）联合体的商务技术资料：联合体成员中有一方具备即为符合要求。</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77B9E0D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2.本项目允许分包，可以分包履行的（非主体、非关键性的工作）具体内容、金额或者比例：货物运输。</w:t>
            </w:r>
          </w:p>
          <w:p w14:paraId="79C6E3A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电子备份投标文件等资料邮寄信息：</w:t>
            </w:r>
          </w:p>
          <w:p w14:paraId="4B2B0F2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资料内容、项目名称、项目编号、标项、投标人名称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29282E6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1FB3634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1.报价应按招标文件要求的格式编制、填写报价内容（可自行增行），未按招标文件要求编制、填写的投标文件可能被拒绝；</w:t>
            </w:r>
          </w:p>
          <w:p w14:paraId="3106480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2.本次招标采用人民币报价；</w:t>
            </w:r>
          </w:p>
          <w:p w14:paraId="5DC1909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4.投标文件只允许有一个报价，有选择的报价将不予接受。</w:t>
            </w:r>
          </w:p>
          <w:p w14:paraId="0FD5D86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根据财库[2016]125号《关于在政府采购活动中查询及使用信用记录有关问题的通知》要求，采购代理机构会对投标人信用记录进行查询并甄别。信用信息查询的截止时点：投标截止时间。</w:t>
            </w:r>
          </w:p>
          <w:p w14:paraId="6477159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0D5D95F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752AE28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（3）信用信息的使用规则：投标人被列入失信被执行人、重大税收违法案件当事人名单、政府采购严重违法失信行为记录名单的，拒绝其参与政府采购活动。</w:t>
            </w:r>
          </w:p>
          <w:p w14:paraId="32C68A5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投标人的书面澄清、说明、补正应当在规定时间内（不少30分钟）通过指定的方式提交。</w:t>
            </w:r>
            <w:r>
              <w:rPr>
                <w:rFonts w:hint="eastAsia" w:ascii="宋体" w:hAnsi="宋体" w:eastAsia="宋体" w:cs="宋体"/>
                <w:color w:val="auto"/>
                <w:spacing w:val="0"/>
                <w:kern w:val="0"/>
                <w:sz w:val="21"/>
                <w:szCs w:val="21"/>
                <w:highlight w:val="none"/>
                <w:lang w:val="en-US" w:eastAsia="zh-CN" w:bidi="ar"/>
              </w:rPr>
              <w:t>投标人超过规定时间未提交澄清、说明</w:t>
            </w:r>
            <w:r>
              <w:rPr>
                <w:rFonts w:hint="eastAsia" w:ascii="宋体" w:hAnsi="宋体" w:eastAsia="宋体" w:cs="宋体"/>
                <w:color w:val="auto"/>
                <w:kern w:val="0"/>
                <w:sz w:val="21"/>
                <w:szCs w:val="21"/>
                <w:highlight w:val="none"/>
                <w:lang w:val="en-US" w:eastAsia="zh-CN" w:bidi="ar"/>
              </w:rPr>
              <w:t>、补正</w:t>
            </w:r>
            <w:r>
              <w:rPr>
                <w:rFonts w:hint="eastAsia" w:ascii="宋体" w:hAnsi="宋体" w:eastAsia="宋体" w:cs="宋体"/>
                <w:color w:val="auto"/>
                <w:spacing w:val="0"/>
                <w:kern w:val="0"/>
                <w:sz w:val="21"/>
                <w:szCs w:val="21"/>
                <w:highlight w:val="none"/>
                <w:lang w:val="en-US" w:eastAsia="zh-CN" w:bidi="ar"/>
              </w:rPr>
              <w:t>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评标结果公示媒体：浙江政府采购网（zfcg.czt.zj.gov.cn）</w:t>
            </w:r>
          </w:p>
        </w:tc>
      </w:tr>
    </w:tbl>
    <w:p w14:paraId="657CBC0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投标人须知</w:t>
      </w:r>
    </w:p>
    <w:p w14:paraId="32A875C6">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color w:val="auto"/>
          <w:spacing w:val="0"/>
          <w:kern w:val="0"/>
          <w:sz w:val="21"/>
          <w:szCs w:val="21"/>
          <w:highlight w:val="none"/>
          <w:lang w:val="en-US" w:eastAsia="zh-CN" w:bidi="ar"/>
        </w:rPr>
      </w:pPr>
    </w:p>
    <w:p w14:paraId="422C86EB">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  则</w:t>
      </w:r>
    </w:p>
    <w:p w14:paraId="399E1EEE">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left"/>
        <w:textAlignment w:val="auto"/>
        <w:rPr>
          <w:rFonts w:hint="eastAsia" w:ascii="宋体" w:hAnsi="宋体" w:eastAsia="宋体" w:cs="宋体"/>
          <w:color w:val="auto"/>
          <w:sz w:val="21"/>
          <w:szCs w:val="21"/>
          <w:highlight w:val="none"/>
        </w:rPr>
      </w:pPr>
    </w:p>
    <w:p w14:paraId="771DC7F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投标人应仔细阅读招标文件的所有内容，按照招标文件的要求提交投标文件，并对所提供的全部资料的真实性承担法律责任。</w:t>
      </w:r>
    </w:p>
    <w:p w14:paraId="04DF9A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2A359E4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本招标文件适用于本项目的招标、评标、定标、验收、合同履约、付款等（法律、法规另有规定的，从其规定）。</w:t>
      </w:r>
    </w:p>
    <w:p w14:paraId="30C7B4D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68EF1E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1.“采购人”系指招标公告中载明的本项目的采购人；</w:t>
      </w:r>
    </w:p>
    <w:p w14:paraId="6BCD5BD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2.“采购代理机构”系指组织本次招标的浙江求是招标代理有限公司；</w:t>
      </w:r>
    </w:p>
    <w:p w14:paraId="1080EB0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3.“投标人”系指响应招标、参加投标竞争的法人、其他组织或者自然人；</w:t>
      </w:r>
    </w:p>
    <w:p w14:paraId="13A8DE6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4.“书面形式”包括合同书、信件和数据电文(包括电报、电传、传真、电子数据交换和电子邮件)等可以有形地表现所载内容的形式；</w:t>
      </w:r>
    </w:p>
    <w:p w14:paraId="02FB94B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电子加密投标文件”系指通过电子交易客户端（投标客户端）完成投标文件编制后生成并加密的数据电文形式的投标文件；“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w:t>
      </w:r>
    </w:p>
    <w:p w14:paraId="71FDE08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招标文件对投标文件签署、盖章的要求适用于电子签名；</w:t>
      </w:r>
    </w:p>
    <w:p w14:paraId="685AE8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6.“▲”系指实质性要求条款，投标人应当做出实质性响应。</w:t>
      </w:r>
    </w:p>
    <w:p w14:paraId="24553A5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3B73D0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投标人须知  前附表】。</w:t>
      </w:r>
    </w:p>
    <w:p w14:paraId="32F952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交易方式：详见【第三章  投标人须知  前附表】。</w:t>
      </w:r>
    </w:p>
    <w:p w14:paraId="268AEF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交易平台：详见【第三章  投标人须知  前附表】。</w:t>
      </w:r>
    </w:p>
    <w:p w14:paraId="7F01DDE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（四）投标费用</w:t>
      </w:r>
    </w:p>
    <w:p w14:paraId="28769EF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投标保证金：详见【第三章  投标人须知  前附表】。</w:t>
      </w:r>
    </w:p>
    <w:p w14:paraId="3C0CB1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投标人须知  前附表】。</w:t>
      </w:r>
    </w:p>
    <w:p w14:paraId="657ECF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（五）投标委托</w:t>
      </w:r>
    </w:p>
    <w:p w14:paraId="110DFC8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7A7C45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（六）联合体投标</w:t>
      </w:r>
    </w:p>
    <w:p w14:paraId="40C6B1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投标人须知  前附表】。</w:t>
      </w:r>
    </w:p>
    <w:p w14:paraId="1728258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039D6A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14592A9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（八）质疑和投诉</w:t>
      </w:r>
    </w:p>
    <w:p w14:paraId="343286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03D3145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质疑供应商对采购人、采购代理机构的答复不满意，或者采购人、采购代理机构未在规定时间内作出答复的，可以在答复期满后15个工作日内向本级财政部门提起投诉。</w:t>
      </w:r>
    </w:p>
    <w:p w14:paraId="5809CE5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2.投标人提出质疑应当提交质疑函和必要的证明材料，质疑函范本、投诉书范本请到浙江政府采购网下载专区下载。质疑函应当包括下列内容：</w:t>
      </w:r>
    </w:p>
    <w:p w14:paraId="4BA30D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08CF084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601A51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344BF6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60FEB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27CB8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6654C2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投标人为自然人的，应当由本人签名；投标人为法人或者其他组织的，应当由法定代表人、主要负责人，或者其授权代表签名或者盖章，并加盖公章。</w:t>
      </w:r>
    </w:p>
    <w:p w14:paraId="52DD55E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3.提出质疑的供应商应当是参与本项目招标活动的投标人。</w:t>
      </w:r>
      <w:r>
        <w:rPr>
          <w:rFonts w:hint="eastAsia" w:ascii="宋体" w:hAnsi="宋体" w:eastAsia="宋体" w:cs="宋体"/>
          <w:b/>
          <w:bCs/>
          <w:color w:val="auto"/>
          <w:spacing w:val="0"/>
          <w:kern w:val="0"/>
          <w:sz w:val="21"/>
          <w:szCs w:val="21"/>
          <w:highlight w:val="none"/>
          <w:lang w:val="en-US" w:eastAsia="zh-CN" w:bidi="ar"/>
        </w:rPr>
        <w:t>投标人在法定质疑期内应一次性提出针对同一采购程序环节的质疑。</w:t>
      </w:r>
    </w:p>
    <w:p w14:paraId="63D134B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4.根据《政府采购质疑和投诉办法》第三十七条的规定，投诉人在全国范围12个月内三次以上投诉查无实据的，由财政部门列入不良行为记录名单。</w:t>
      </w:r>
    </w:p>
    <w:p w14:paraId="522E3CC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投诉人有下列行为之一的，属于虚假、恶意投诉，由财政部门列入不良行为记录名单，禁止其1至3年内参加政府采购活动：</w:t>
      </w:r>
    </w:p>
    <w:p w14:paraId="520C03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（1）捏造事实；</w:t>
      </w:r>
    </w:p>
    <w:p w14:paraId="15F0EF4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（2）提供虚假材料；</w:t>
      </w:r>
    </w:p>
    <w:p w14:paraId="2ECB4D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（3）以非法手段取得证明材料。证据来源的合法性存在明显疑问，投诉人无法证明其取得方式合法的，视为以非法手段取得证明材料。</w:t>
      </w:r>
    </w:p>
    <w:p w14:paraId="60DF83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（九）政府采购政策</w:t>
      </w:r>
    </w:p>
    <w:p w14:paraId="7AAD7354">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1.支持本国产品</w:t>
      </w:r>
    </w:p>
    <w:p w14:paraId="4F002F74">
      <w:pPr>
        <w:keepNext w:val="0"/>
        <w:keepLines w:val="0"/>
        <w:pageBreakBefore w:val="0"/>
        <w:widowControl/>
        <w:suppressLineNumbers w:val="0"/>
        <w:kinsoku/>
        <w:wordWrap/>
        <w:overflowPunct/>
        <w:topLinePunct w:val="0"/>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1.1 本国产品标准（依据《国务院办公厅关于在政府采购中实施本国产品标准及相关政策的通知》国办发〔2025〕34号）</w:t>
      </w:r>
    </w:p>
    <w:p w14:paraId="711682DB">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本国产品应当符合以下条件：</w:t>
      </w:r>
    </w:p>
    <w:p w14:paraId="4E88345D">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（一）在中国境内生产</w:t>
      </w:r>
    </w:p>
    <w:p w14:paraId="0AC7BC09">
      <w:pPr>
        <w:keepNext w:val="0"/>
        <w:keepLines w:val="0"/>
        <w:pageBreakBefore w:val="0"/>
        <w:widowControl/>
        <w:suppressLineNumbers w:val="0"/>
        <w:kinsoku/>
        <w:wordWrap/>
        <w:overflowPunct/>
        <w:topLinePunct w:val="0"/>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53561CF">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1.为确保产品在运输或者储存期间保持某种状态而进行的操作；</w:t>
      </w:r>
    </w:p>
    <w:p w14:paraId="39C71086">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2.为产品运输或者销售进行的包装或者展示；</w:t>
      </w:r>
    </w:p>
    <w:p w14:paraId="30910734">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3.在产品或者其包装上粘贴或者印刷品牌、标志、标识以及其他用于区别的标记；</w:t>
      </w:r>
    </w:p>
    <w:p w14:paraId="11843DE2">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4.简单的上漆、磨光和分装；</w:t>
      </w:r>
    </w:p>
    <w:p w14:paraId="1F913C14">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5.其他不属于属性改变的情形。</w:t>
      </w:r>
    </w:p>
    <w:p w14:paraId="59B095B7">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（二）在中国境内生产的组件成本占比达到规定比例</w:t>
      </w:r>
    </w:p>
    <w:p w14:paraId="048295AC">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产品在中国境内生产的组件成本占比应当达到规定比例，计算公式为：</w:t>
      </w:r>
    </w:p>
    <w:p w14:paraId="72D71107">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（产品在中国境内生产的组件成本/产品总成本）≥规定比例。</w:t>
      </w:r>
    </w:p>
    <w:p w14:paraId="01D36E28">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B6FA1C6">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（三）特定产品的关键组件、关键工序符合相关要求</w:t>
      </w:r>
    </w:p>
    <w:p w14:paraId="294EBB95">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对特定产品，在符合本通知第一条第（一）项和第（二）项条件的基础上，应当符合财政部会同有关行业主管部门确定的其关键组件、关键工序在中国境内生产、完成等要求。</w:t>
      </w:r>
    </w:p>
    <w:p w14:paraId="141FF850">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AFECB87">
      <w:pPr>
        <w:keepNext w:val="0"/>
        <w:keepLines w:val="0"/>
        <w:pageBreakBefore w:val="0"/>
        <w:widowControl/>
        <w:suppressLineNumbers w:val="0"/>
        <w:kinsoku/>
        <w:wordWrap/>
        <w:overflowPunct/>
        <w:topLinePunct w:val="0"/>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1.2 本国产品标准的适用范围</w:t>
      </w:r>
    </w:p>
    <w:p w14:paraId="244CC875">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48EA72">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0" w:firstLineChars="20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1.3 本项目原则上采购本国生产的货物、服务，不允许采购进口产品。优先采购向我国企业转让技术、与我国企业签订消化吸收再创新方案的供应商的进口产品。</w:t>
      </w:r>
    </w:p>
    <w:p w14:paraId="79460EBE">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92096BA">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32FFDE3">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2.支持绿色发展</w:t>
      </w:r>
    </w:p>
    <w:p w14:paraId="2DC7758B">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36C6939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采购人拟采购产品属于节能产品政府采购清单规定必须强制采购的，将在招标文件中明确载明，供应商相应的投标产品须提供国家确定的认证机构出具的、处于有效期之内的节能产品认证证书。</w:t>
      </w:r>
    </w:p>
    <w:p w14:paraId="08AF57CA">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3.支持中小企业发展</w:t>
      </w:r>
    </w:p>
    <w:p w14:paraId="26B234BD">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8376E1E">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3.2 在政府采购活动中，供应商提供的货物或者服务符合下列情形的，享受中小企业扶持政策：</w:t>
      </w:r>
    </w:p>
    <w:p w14:paraId="326082AF">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在货物采购项目中，货物由中小企业制造，即货物由</w:t>
      </w:r>
      <w:r>
        <w:rPr>
          <w:rFonts w:hint="eastAsia" w:ascii="宋体" w:hAnsi="宋体" w:eastAsia="宋体" w:cs="宋体"/>
          <w:color w:val="auto"/>
          <w:spacing w:val="0"/>
          <w:kern w:val="0"/>
          <w:sz w:val="21"/>
          <w:szCs w:val="21"/>
          <w:highlight w:val="none"/>
          <w:u w:val="single"/>
          <w:lang w:val="en-US" w:eastAsia="zh-CN" w:bidi="ar"/>
        </w:rPr>
        <w:t>中小企业生产且使用该中小企业商号或者注册商标</w:t>
      </w:r>
      <w:r>
        <w:rPr>
          <w:rFonts w:hint="eastAsia" w:ascii="宋体" w:hAnsi="宋体" w:eastAsia="宋体" w:cs="宋体"/>
          <w:color w:val="auto"/>
          <w:spacing w:val="0"/>
          <w:kern w:val="0"/>
          <w:sz w:val="21"/>
          <w:szCs w:val="21"/>
          <w:highlight w:val="none"/>
          <w:lang w:val="en-US" w:eastAsia="zh-CN" w:bidi="ar"/>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24B94680">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57C2CE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中小企业享受扶持政策获得政府采购合同的，小微企业不得将合同分包给大中型企业，中型企业不得将合同分包给大型企业。</w:t>
      </w:r>
    </w:p>
    <w:p w14:paraId="2FAAB5C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3.4 以联合体形式参加政府采购活动，联合体各方均为中小企业的，联合体视同中小企业。其中，联合体各方均为小微企业的，联合体视同小微企业。</w:t>
      </w:r>
    </w:p>
    <w:p w14:paraId="400571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5CB3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组成联合体或者接受分包合同的中小企业与联合体内其他企业、分包企业之间不得存在直接控股、管理关系。</w:t>
      </w:r>
    </w:p>
    <w:p w14:paraId="0A293A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专门面向中小企业采购的项目或者采购包，不再执行价格评审优惠的扶持政策。</w:t>
      </w:r>
    </w:p>
    <w:p w14:paraId="6E5B84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3FCFEC6">
      <w:pPr>
        <w:keepNext w:val="0"/>
        <w:keepLines w:val="0"/>
        <w:widowControl/>
        <w:suppressLineNumbers w:val="0"/>
        <w:spacing w:line="288"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3.7 中小企业参加政府采购活动，应当出具本办法规定的《中小企业声明函》，否则不得享受相关中小企业扶持政策。</w:t>
      </w:r>
    </w:p>
    <w:p w14:paraId="1C2EAE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55530FE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3.8 供应商提供《中小企业声明函》内容不实的，属于提供虚假材料谋取中标、成交，依照《中华人民共和国政府采购法》等国家有关规定追究相应责任。</w:t>
      </w:r>
    </w:p>
    <w:p w14:paraId="4A61837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u w:val="single"/>
          <w:lang w:val="en-US" w:eastAsia="zh-CN" w:bidi="ar"/>
        </w:rPr>
        <w:t>3.9 《中小企业声明函》填写要求与认定标准详见【第二章  采购需求】。</w:t>
      </w:r>
    </w:p>
    <w:p w14:paraId="11C16D0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4.支持监狱企业发展</w:t>
      </w:r>
    </w:p>
    <w:p w14:paraId="2F4B309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06C07471">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5.促进残疾人就业</w:t>
      </w:r>
    </w:p>
    <w:p w14:paraId="48EBD46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符合《关于促进残疾人就业政府采购政策的通知》（财库[2017]141号）规定的条件并提供《残疾人福利性单位声明函》的残疾人福利性单位视同小型、微型企业。</w:t>
      </w:r>
    </w:p>
    <w:p w14:paraId="24D566CE">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6.支持创新发展</w:t>
      </w:r>
    </w:p>
    <w:p w14:paraId="2D85444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对省级以上主管部门认定的首台套产品，自纳入《省推广应用指导目录》起3年内参加政府采购活动，视同已具备相应销售业绩，业绩分为满分。</w:t>
      </w:r>
    </w:p>
    <w:p w14:paraId="53542264">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产品核心技术高于国内领先水平，并具有明晰自主知识产权的“制造精品”产品，自认定之日起2年内视同已具备相应销售业绩，参加政府采购活动时业绩分值为满分。</w:t>
      </w:r>
    </w:p>
    <w:p w14:paraId="280F162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7.评审价格同时存在小微企业价格扣除和本国产品价格扣除的，按以下公式计算：评审价格=有效报价×（1-小微企业价格扣除率-本国产品价格扣除率）。</w:t>
      </w:r>
    </w:p>
    <w:p w14:paraId="1BF7B50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E2DB74D">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5E6357D4">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cs="宋体"/>
          <w:b/>
          <w:bCs/>
          <w:color w:val="auto"/>
          <w:spacing w:val="0"/>
          <w:kern w:val="0"/>
          <w:sz w:val="21"/>
          <w:szCs w:val="21"/>
          <w:highlight w:val="none"/>
          <w:lang w:val="en-US" w:eastAsia="zh-CN" w:bidi="ar"/>
        </w:rPr>
        <w:t>（一）</w:t>
      </w:r>
      <w:r>
        <w:rPr>
          <w:rFonts w:hint="eastAsia" w:ascii="宋体" w:hAnsi="宋体" w:eastAsia="宋体" w:cs="宋体"/>
          <w:b/>
          <w:bCs/>
          <w:color w:val="auto"/>
          <w:spacing w:val="0"/>
          <w:kern w:val="0"/>
          <w:sz w:val="21"/>
          <w:szCs w:val="21"/>
          <w:highlight w:val="none"/>
          <w:lang w:val="en-US" w:eastAsia="zh-CN" w:bidi="ar"/>
        </w:rPr>
        <w:t>投标邀请</w:t>
      </w:r>
    </w:p>
    <w:p w14:paraId="237065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本项目采用发布公告方式邀请供应商，同时上传招标文件至电子交易平台，供社会公众查阅和潜在供应商获取。</w:t>
      </w:r>
    </w:p>
    <w:p w14:paraId="04E156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7569E39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供应商投标</w:t>
      </w:r>
    </w:p>
    <w:p w14:paraId="6FD63A2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潜在供应商获取招标文件前应当在电子交易平台上注册账号并登录。注册及客户端操作详见电子交易平台相关介绍。</w:t>
      </w:r>
    </w:p>
    <w:p w14:paraId="124F2BF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供应商进行电子投标应安装客户端软件，并按照招标文件和电子交易平台的要求编制并加密投标文件。供应商未按规定加密的投标文件，电子交易平台将拒收并提示。</w:t>
      </w:r>
    </w:p>
    <w:p w14:paraId="5BC74D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电子交易平台收到投标文件，向供应商发出确认回执通知。在投标截止时间前，除供应商补充、修改或者撤回投标文件外，任何单位和个人不得解密或提取投标文件。</w:t>
      </w:r>
    </w:p>
    <w:p w14:paraId="52AEEE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供应商在电子交易平台传输递交投标文件后，还可以在投标截止时间前提交以介质存储的数据电文形式的备份投标文件，采购组织机构不强制要求供应商提交备份投标文件。</w:t>
      </w:r>
    </w:p>
    <w:p w14:paraId="63844E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提交备份投标文件应按电子交易平台设定制作、下载。</w:t>
      </w:r>
    </w:p>
    <w:p w14:paraId="0B8F35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▲供应商仅提交备份投标文件但未按要求在电子交易平台传输递交投标文件的，投标将被拒绝。</w:t>
      </w:r>
    </w:p>
    <w:p w14:paraId="6F31CA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21533A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特别提示：投标文件未按时解密，供应商提供了备份投标文件的，以备份投标文件作为依据，否则视为投标文件撤回。投标文件已按时解密的，备份投标文件自动失效。</w:t>
      </w:r>
    </w:p>
    <w:p w14:paraId="3ED877B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3B258BB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51FABE2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45BE7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采购人通过电子交易平台确认中标候选供应商。</w:t>
      </w:r>
    </w:p>
    <w:p w14:paraId="6E87D84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4736B01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10585B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3F4A6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7EF755B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498F4F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58B4D43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0DFE22F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001B268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三、招标文件</w:t>
      </w:r>
    </w:p>
    <w:p w14:paraId="7588E4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（一）招标文件的构成</w:t>
      </w:r>
    </w:p>
    <w:p w14:paraId="467F43E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本招标文件由以下部分组成：</w:t>
      </w:r>
    </w:p>
    <w:p w14:paraId="3636F0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1.投标邀请</w:t>
      </w:r>
    </w:p>
    <w:p w14:paraId="0FE781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4CCF46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3.投标人须知</w:t>
      </w:r>
    </w:p>
    <w:p w14:paraId="607EB1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4.评标方法和评标标准</w:t>
      </w:r>
    </w:p>
    <w:p w14:paraId="4FCF3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226F98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6.投标文件格式</w:t>
      </w:r>
    </w:p>
    <w:p w14:paraId="3579D1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7.本项目招标文件的澄清、答复、修改、补充的内容</w:t>
      </w:r>
    </w:p>
    <w:p w14:paraId="501CAB3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（二）招标文件的澄清与修改</w:t>
      </w:r>
    </w:p>
    <w:p w14:paraId="19E233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1.采购人或者采购代理机构可以对已发出的招标文件进行必要的澄清或者修改，澄清或者修改会在原公告发布媒体上发布澄清公告，澄清或者修改的内容为招标文件的组成部分。</w:t>
      </w:r>
    </w:p>
    <w:p w14:paraId="1AE85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keepNext w:val="0"/>
        <w:keepLines w:val="0"/>
        <w:widowControl/>
        <w:suppressLineNumbers w:val="0"/>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四、投标文件编制</w:t>
      </w:r>
    </w:p>
    <w:p w14:paraId="06853ED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（一）投标文件的组成</w:t>
      </w:r>
    </w:p>
    <w:p w14:paraId="71439ED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投标文件组成：详见【第六章  投标文件格式】。</w:t>
      </w:r>
    </w:p>
    <w:p w14:paraId="74485A9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（二）投标文件的编制</w:t>
      </w:r>
    </w:p>
    <w:p w14:paraId="040BE310">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w:t>
      </w:r>
      <w:r>
        <w:rPr>
          <w:rFonts w:hint="eastAsia" w:ascii="宋体" w:hAnsi="宋体" w:eastAsia="宋体" w:cs="宋体"/>
          <w:b w:val="0"/>
          <w:bCs w:val="0"/>
          <w:color w:val="auto"/>
          <w:spacing w:val="0"/>
          <w:kern w:val="0"/>
          <w:sz w:val="21"/>
          <w:szCs w:val="21"/>
          <w:highlight w:val="none"/>
          <w:lang w:val="en-US" w:eastAsia="zh-CN" w:bidi="ar"/>
        </w:rPr>
        <w:t>其中资格文件、商务技术文件中不得出现投标报价，如因投标人原因提前泄露投标报价，是投标人的责任。</w:t>
      </w:r>
    </w:p>
    <w:p w14:paraId="287CFA73">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2.投标文件须由投标人在规定位置加盖公章，投标人应写全称。</w:t>
      </w:r>
    </w:p>
    <w:p w14:paraId="069DE3B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3.投标文件不得涂改，若有修改错漏处，须由投标人加盖公章，或者由投标人代表签名。投标文件因字迹潦草或表达不清所引起的后果由投标人承担。</w:t>
      </w:r>
    </w:p>
    <w:p w14:paraId="508FC8A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（三）投标文件提交</w:t>
      </w:r>
    </w:p>
    <w:p w14:paraId="63F48B5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1.投标人应当在招标文件要求在投标文件提交截止时间前，将“电子加密投标文件”各部分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114AAA55">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备份投标文件：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供应商可自行决定是否提交备份投标文件。提交备份投标文件的，应在投标文件提交截止时间前，密封提交给本项目采购组织机构。存储方式：移动存储介质（如：U盘等）。密封包装应标明：</w:t>
      </w:r>
      <w:r>
        <w:rPr>
          <w:rFonts w:hint="eastAsia" w:ascii="宋体" w:hAnsi="宋体" w:eastAsia="宋体" w:cs="宋体"/>
          <w:color w:val="auto"/>
          <w:spacing w:val="0"/>
          <w:kern w:val="0"/>
          <w:sz w:val="21"/>
          <w:szCs w:val="21"/>
          <w:highlight w:val="none"/>
          <w:lang w:val="en-US" w:eastAsia="zh-CN" w:bidi="ar"/>
        </w:rPr>
        <w:t>项目名称、项目编号、标项、供应商名称并加盖公章。</w:t>
      </w:r>
    </w:p>
    <w:p w14:paraId="07FB470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投标人</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通过邮寄的方式提交备份投标文件</w:t>
      </w:r>
      <w:r>
        <w:rPr>
          <w:rFonts w:hint="eastAsia" w:ascii="宋体" w:hAnsi="宋体" w:eastAsia="宋体" w:cs="宋体"/>
          <w:color w:val="auto"/>
          <w:spacing w:val="0"/>
          <w:kern w:val="0"/>
          <w:sz w:val="21"/>
          <w:szCs w:val="21"/>
          <w:highlight w:val="none"/>
          <w:lang w:val="en-US" w:eastAsia="zh-CN"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3.备份投标文件邮寄信息：详见【第三章  投标人须知  前附表】。</w:t>
      </w:r>
    </w:p>
    <w:p w14:paraId="6F46021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4.备份投标文件未按要求密封或标记导致被误投或提前泄露，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投标人自行承担相关责任。</w:t>
      </w:r>
    </w:p>
    <w:p w14:paraId="525B329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（四）投标文件的修改和撤回</w:t>
      </w:r>
    </w:p>
    <w:p w14:paraId="04DF9F2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投标文件的修改和撤回详见</w:t>
      </w:r>
      <w:r>
        <w:rPr>
          <w:rFonts w:hint="eastAsia" w:ascii="宋体" w:hAnsi="宋体" w:eastAsia="宋体" w:cs="宋体"/>
          <w:color w:val="auto"/>
          <w:spacing w:val="0"/>
          <w:kern w:val="0"/>
          <w:sz w:val="21"/>
          <w:szCs w:val="21"/>
          <w:highlight w:val="none"/>
          <w:lang w:val="en-US" w:eastAsia="zh-CN" w:bidi="ar"/>
        </w:rPr>
        <w:t xml:space="preserve">【第三章  投标人须知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08A6AC3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（五）投标文件的语言及计量</w:t>
      </w:r>
    </w:p>
    <w:p w14:paraId="38431A8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（六）投标报价</w:t>
      </w:r>
    </w:p>
    <w:p w14:paraId="31E0BAC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6B82225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（七）投标有效期</w:t>
      </w:r>
    </w:p>
    <w:p w14:paraId="6EB0234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2F03DED9">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五、投标无效的情形</w:t>
      </w:r>
    </w:p>
    <w:p w14:paraId="7652CC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供应商存在下列情况之一的，投标无效：</w:t>
      </w:r>
    </w:p>
    <w:p w14:paraId="1B5438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（一）未按照招标文件的规定提交投标保证金的；</w:t>
      </w:r>
    </w:p>
    <w:p w14:paraId="07717E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（二）投标文件未按招标文件要求签署、盖章的；</w:t>
      </w:r>
    </w:p>
    <w:p w14:paraId="4304AE9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（三）不具备招标文件中规定的资格要求的；</w:t>
      </w:r>
    </w:p>
    <w:p w14:paraId="513B7B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（四）报价超过招标文件中规定的预算金额或者最高限价的；</w:t>
      </w:r>
    </w:p>
    <w:p w14:paraId="5D73B3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（五）投标文件含有采购人不能接受的附加条件的；</w:t>
      </w:r>
    </w:p>
    <w:p w14:paraId="3EACE1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（六）招标文件规定的其他无效情形：</w:t>
      </w:r>
      <w:r>
        <w:rPr>
          <w:rFonts w:hint="eastAsia" w:ascii="宋体" w:hAnsi="宋体" w:eastAsia="宋体" w:cs="宋体"/>
          <w:color w:val="auto"/>
          <w:spacing w:val="0"/>
          <w:kern w:val="0"/>
          <w:sz w:val="21"/>
          <w:szCs w:val="21"/>
          <w:highlight w:val="none"/>
          <w:u w:val="single"/>
          <w:lang w:val="en-US" w:eastAsia="zh-CN" w:bidi="ar"/>
        </w:rPr>
        <w:t>详见【第四章  评标方法和评标标准】。</w:t>
      </w:r>
    </w:p>
    <w:p w14:paraId="651D47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（七）法律、法规规定的其他无效情形；</w:t>
      </w:r>
    </w:p>
    <w:p w14:paraId="1B0D768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六、开  标</w:t>
      </w:r>
    </w:p>
    <w:p w14:paraId="0F6C4206">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（一）开标</w:t>
      </w:r>
    </w:p>
    <w:p w14:paraId="0FBBF3EF">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采购代理机构按照招标文件规定的时间通过电子交易平台组织开标，所有投标人均应当准时在线参加。投标人不足3家的，不得开标。</w:t>
      </w:r>
    </w:p>
    <w:p w14:paraId="6EBBC77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投标文件未按时解密，投标人提供了备份投标文件的，以备份投标文件作为依据，否则视为投标文件撤回。投标文件已按时解密的，备份投标文件自动失效。</w:t>
      </w:r>
    </w:p>
    <w:p w14:paraId="7C7B72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（二）资格审查</w:t>
      </w:r>
    </w:p>
    <w:p w14:paraId="02890F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开标后，采购人或采购代理机构依据法律法规和招标文件的规定，对投标人的资格条件进行审查。</w:t>
      </w:r>
    </w:p>
    <w:p w14:paraId="3A33F2CA">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对未通过资格审查的投标人，采购人或采购代理机构告知其未通过的原因。</w:t>
      </w:r>
    </w:p>
    <w:p w14:paraId="7DC39F1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通过资格审查的投标人不足3家的，不再评标。</w:t>
      </w:r>
    </w:p>
    <w:p w14:paraId="573DC4AA">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（三）信用信息查询</w:t>
      </w:r>
    </w:p>
    <w:p w14:paraId="25FCE850">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02F82FC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9D508F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特别说明：如遇电子交易平台电子化开标或评审程序调整的，按调整后程序执行。</w:t>
      </w:r>
    </w:p>
    <w:p w14:paraId="1B140CB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七、评  标</w:t>
      </w:r>
    </w:p>
    <w:p w14:paraId="3463F9A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评标中因评标委员会成员缺席、回避或者健康等特殊原因导致评标委员会组成不符合规定的，依法补足后继续评标。被更换的评标委员会成员所作出的评标意见无效。</w:t>
      </w:r>
    </w:p>
    <w:p w14:paraId="3628C7F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（一）符合性审查</w:t>
      </w:r>
    </w:p>
    <w:p w14:paraId="40275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评标委员会对符合资格的投标人的投标文件进行符合性审查，以确定其是否满足招标文件的实质性要求。不满足招标文件的实质性要求的，投标无效。</w:t>
      </w:r>
    </w:p>
    <w:p w14:paraId="20C57C6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（二）比较与评价</w:t>
      </w:r>
    </w:p>
    <w:p w14:paraId="04E27E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评标委员会按照招标文件中规定的评标方法和标准，对符合性审查合格的投标文件进行商务和技术评估，综合比较与评价。</w:t>
      </w:r>
    </w:p>
    <w:p w14:paraId="0C920F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（三）汇总商务技术得分</w:t>
      </w:r>
    </w:p>
    <w:p w14:paraId="191C3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评标委员会各成员独立对每个投标人的商务和技术文件进行评价，并汇总商务技术得分情况。</w:t>
      </w:r>
    </w:p>
    <w:p w14:paraId="16A836F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（四）报价评审</w:t>
      </w:r>
    </w:p>
    <w:p w14:paraId="62BDF47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电子交易平台上传的电子投标文件报价与电子交易平台录入报价不一致的，以上传的电子投标文件报价为准。</w:t>
      </w:r>
    </w:p>
    <w:p w14:paraId="5AD482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投标文件报价出现前后不一致的，按照下列规定修正：</w:t>
      </w:r>
    </w:p>
    <w:p w14:paraId="01B2C2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（1）投标文件中开标一览表(报价表)内容与投标文件中相应内容不一致的，以开标一览表(报价表)为准；</w:t>
      </w:r>
    </w:p>
    <w:p w14:paraId="694FA3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285EAF2">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（3）单价金额小数点或者百分比有明显错位的，以开标一览表的总价为准，并修改单价；</w:t>
      </w:r>
    </w:p>
    <w:p w14:paraId="49A1F56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1B45E89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投标人收到修正确认文件后，在规定时间内未做出回复的，视为不确认。</w:t>
      </w:r>
    </w:p>
    <w:p w14:paraId="3D2C2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评审中出现下列情形之一的，评标委员会应当启动异常低价投标审查程序：</w:t>
      </w:r>
    </w:p>
    <w:p w14:paraId="346C6A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（1）投标报价低于全部通过符合性审查供应商投标报价平均值50%的，即投标报价&lt;全部通过符合性审查供应商投标报价平均值×50%；</w:t>
      </w:r>
    </w:p>
    <w:p w14:paraId="5EBD54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（2）投标报价低于通过符合性审查的次低报价供应商投标报价50%的，即投标报价&lt;通过符合性审查的次低报价供应商投标报价×50%；</w:t>
      </w:r>
    </w:p>
    <w:p w14:paraId="3D2A4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（3）投标报价低于采购项目最高限价45%的，即投标报价&lt;采购项目最高限价×45%；</w:t>
      </w:r>
    </w:p>
    <w:p w14:paraId="37E45E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（4）评标委员会基于专业判断，认为供应商报价过低，有可能影响产品质量或者不能诚信履约的其他情形。</w:t>
      </w:r>
    </w:p>
    <w:p w14:paraId="0BD4BF6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异常低价投标审查的启动原因、审查意见和审查结果应当在评审报告中记录，并随供应商提供的相关书面说明及证明材料，以及评标委员会有关互联网浏览、查询历史一并归档。</w:t>
      </w:r>
    </w:p>
    <w:p w14:paraId="51AA8F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（五）投标人澄清、说明或者补正</w:t>
      </w:r>
    </w:p>
    <w:p w14:paraId="0433CAE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澄清说明：详见【第三章  投标人须知  前附表】。</w:t>
      </w:r>
    </w:p>
    <w:p w14:paraId="51A95DB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（六）排序与推荐</w:t>
      </w:r>
    </w:p>
    <w:p w14:paraId="2A1D742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评标方法：本项目评标方法是综合评分法。</w:t>
      </w:r>
    </w:p>
    <w:p w14:paraId="1BB751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10C8A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83696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非单一产品采购项目，采购人应当根据采购项目技术构成、产品价格比重等合理确定核心产品，并在招标文件中载明。多家投标人提供的核心产品品牌相同的，按前款规定处理。</w:t>
      </w:r>
    </w:p>
    <w:p w14:paraId="727B5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（七）编写评标报告</w:t>
      </w:r>
    </w:p>
    <w:p w14:paraId="46CF11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八、中标与合同</w:t>
      </w:r>
    </w:p>
    <w:p w14:paraId="2D55CF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（一）中标</w:t>
      </w:r>
    </w:p>
    <w:p w14:paraId="6632AD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2.采购代理机构自中标人确定之日起2个工作日内，公告中标结果，并发出中标通知书。</w:t>
      </w:r>
    </w:p>
    <w:p w14:paraId="2D8BB8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3.评标结果公示媒体：详见【第三章  投标人须知  前附表】。</w:t>
      </w:r>
    </w:p>
    <w:p w14:paraId="18131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w:t>
      </w:r>
    </w:p>
    <w:p w14:paraId="340C375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5B90EA1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69F36E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2684B7B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5D48D55">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采购人可以邀请参加本项目的其他投标人或者第三方机构参与验收。参与验收的投标人或者第三方机构的意见作为验收书的参考资料一并存档。</w:t>
      </w:r>
    </w:p>
    <w:p w14:paraId="524162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CF3D97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评标方法和评标标准</w:t>
      </w:r>
    </w:p>
    <w:p w14:paraId="0E54467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一、评标方法</w:t>
      </w:r>
    </w:p>
    <w:p w14:paraId="62AFA8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本次评标采用综合评分法，总分为100分。评分过程中采用四舍五入法，并保留小数2位。</w:t>
      </w:r>
    </w:p>
    <w:p w14:paraId="63141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投标人评标综合得分=商务分+技术分+价格分</w:t>
      </w:r>
    </w:p>
    <w:p w14:paraId="60B30E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商务和技术分按照评标委员会成员的独立评分结果的算术平均分计算，计算公式为：商务分、技术分=评标委员会所有成员评分合计数/评标委员会组成人员数</w:t>
      </w:r>
    </w:p>
    <w:p w14:paraId="01C5E9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本项目推荐【1】名中标候选人。</w:t>
      </w:r>
    </w:p>
    <w:p w14:paraId="26F6A856">
      <w:pPr>
        <w:keepNext w:val="0"/>
        <w:keepLines w:val="0"/>
        <w:widowControl/>
        <w:suppressLineNumbers w:val="0"/>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小微企业价格扣除优惠：本项目对符合规定的小微企业报价给予【</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0】%的扣除后计算价格得分。对于联合协议或者分包意向协议约定小微企业的合同份额占到合同总金额30%以上的，对联合体或者大中型企业的报价给予【4】%的扣除，用扣除后的价格参加评审。</w:t>
      </w:r>
    </w:p>
    <w:p w14:paraId="1549458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对本国产品的支持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C82897C">
      <w:pPr>
        <w:keepNext w:val="0"/>
        <w:keepLines w:val="0"/>
        <w:widowControl/>
        <w:suppressLineNumbers w:val="0"/>
        <w:spacing w:line="288" w:lineRule="auto"/>
        <w:ind w:left="0" w:firstLine="0"/>
        <w:jc w:val="left"/>
        <w:rPr>
          <w:rFonts w:hint="eastAsia" w:ascii="宋体" w:hAnsi="宋体" w:eastAsia="宋体" w:cs="宋体"/>
          <w:color w:val="auto"/>
          <w:spacing w:val="0"/>
          <w:sz w:val="21"/>
          <w:szCs w:val="21"/>
          <w:highlight w:val="none"/>
        </w:rPr>
      </w:pPr>
    </w:p>
    <w:p w14:paraId="2D79DFA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二、评标标准</w:t>
      </w:r>
    </w:p>
    <w:tbl>
      <w:tblPr>
        <w:tblStyle w:val="7"/>
        <w:tblW w:w="4998"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28"/>
        <w:gridCol w:w="711"/>
        <w:gridCol w:w="7419"/>
      </w:tblGrid>
      <w:tr w14:paraId="034D2D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5BD394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评审因素</w:t>
            </w:r>
          </w:p>
        </w:tc>
        <w:tc>
          <w:tcPr>
            <w:tcW w:w="357" w:type="pct"/>
            <w:tcBorders>
              <w:tl2br w:val="nil"/>
              <w:tr2bl w:val="nil"/>
            </w:tcBorders>
            <w:vAlign w:val="center"/>
          </w:tcPr>
          <w:p w14:paraId="4424DA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分值</w:t>
            </w:r>
          </w:p>
        </w:tc>
        <w:tc>
          <w:tcPr>
            <w:tcW w:w="3723" w:type="pct"/>
            <w:tcBorders>
              <w:tl2br w:val="nil"/>
              <w:tr2bl w:val="nil"/>
            </w:tcBorders>
            <w:vAlign w:val="center"/>
          </w:tcPr>
          <w:p w14:paraId="112D29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评分标准</w:t>
            </w:r>
          </w:p>
        </w:tc>
      </w:tr>
      <w:tr w14:paraId="101305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033E44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价格分（30）</w:t>
            </w:r>
          </w:p>
        </w:tc>
      </w:tr>
      <w:tr w14:paraId="69E32B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1828" w:type="dxa"/>
            <w:tcBorders>
              <w:tl2br w:val="nil"/>
              <w:tr2bl w:val="nil"/>
            </w:tcBorders>
            <w:vAlign w:val="center"/>
          </w:tcPr>
          <w:p w14:paraId="43DAC13D">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投标报价</w:t>
            </w:r>
          </w:p>
        </w:tc>
        <w:tc>
          <w:tcPr>
            <w:tcW w:w="711" w:type="dxa"/>
            <w:tcBorders>
              <w:tl2br w:val="nil"/>
              <w:tr2bl w:val="nil"/>
            </w:tcBorders>
            <w:vAlign w:val="center"/>
          </w:tcPr>
          <w:p w14:paraId="1DDD9CE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30</w:t>
            </w:r>
          </w:p>
        </w:tc>
        <w:tc>
          <w:tcPr>
            <w:tcW w:w="7419" w:type="dxa"/>
            <w:tcBorders>
              <w:tl2br w:val="nil"/>
              <w:tr2bl w:val="nil"/>
            </w:tcBorders>
            <w:vAlign w:val="center"/>
          </w:tcPr>
          <w:p w14:paraId="37F73C1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价格分采用低价优先法计算，即满足招标文件要求且投标价格最低的投标报价为评标基准价，其他投标人的价格分按照下列公式计算：</w:t>
            </w:r>
          </w:p>
          <w:p w14:paraId="78673517">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价格分=（评标基准价/投标报价）×30%×100</w:t>
            </w:r>
          </w:p>
        </w:tc>
      </w:tr>
      <w:tr w14:paraId="40B761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7F35DA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商务分（</w:t>
            </w:r>
            <w:r>
              <w:rPr>
                <w:rFonts w:hint="eastAsia" w:ascii="宋体" w:hAnsi="宋体" w:cs="宋体"/>
                <w:b/>
                <w:bCs/>
                <w:color w:val="auto"/>
                <w:kern w:val="0"/>
                <w:sz w:val="21"/>
                <w:szCs w:val="21"/>
                <w:highlight w:val="none"/>
                <w:lang w:val="en-US" w:eastAsia="zh-CN" w:bidi="ar-SA"/>
              </w:rPr>
              <w:t>3</w:t>
            </w:r>
            <w:r>
              <w:rPr>
                <w:rFonts w:hint="eastAsia" w:ascii="宋体" w:hAnsi="宋体" w:eastAsia="宋体" w:cs="宋体"/>
                <w:b/>
                <w:bCs/>
                <w:color w:val="auto"/>
                <w:kern w:val="0"/>
                <w:sz w:val="21"/>
                <w:szCs w:val="21"/>
                <w:highlight w:val="none"/>
                <w:lang w:val="en-US" w:eastAsia="zh-CN" w:bidi="ar-SA"/>
              </w:rPr>
              <w:t>）</w:t>
            </w:r>
          </w:p>
        </w:tc>
      </w:tr>
      <w:tr w14:paraId="7021F7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39A6A8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业绩</w:t>
            </w:r>
          </w:p>
        </w:tc>
        <w:tc>
          <w:tcPr>
            <w:tcW w:w="357" w:type="pct"/>
            <w:tcBorders>
              <w:tl2br w:val="nil"/>
              <w:tr2bl w:val="nil"/>
            </w:tcBorders>
            <w:vAlign w:val="center"/>
          </w:tcPr>
          <w:p w14:paraId="5B5F5A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3</w:t>
            </w:r>
          </w:p>
        </w:tc>
        <w:tc>
          <w:tcPr>
            <w:tcW w:w="3723" w:type="pct"/>
            <w:tcBorders>
              <w:tl2br w:val="nil"/>
              <w:tr2bl w:val="nil"/>
            </w:tcBorders>
            <w:vAlign w:val="center"/>
          </w:tcPr>
          <w:p w14:paraId="0CDE77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【客观分】供应商提供自202</w:t>
            </w:r>
            <w:r>
              <w:rPr>
                <w:rFonts w:hint="eastAsia" w:ascii="宋体" w:hAnsi="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年1月1日以来（以合同签订时间为准）同类合同业绩：每提供1份合同业绩得1分，最高得3分。</w:t>
            </w:r>
          </w:p>
        </w:tc>
      </w:tr>
      <w:tr w14:paraId="7EDE41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78625A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技术分（6</w:t>
            </w:r>
            <w:r>
              <w:rPr>
                <w:rFonts w:hint="eastAsia" w:ascii="宋体" w:hAnsi="宋体" w:cs="宋体"/>
                <w:b/>
                <w:bCs/>
                <w:color w:val="auto"/>
                <w:kern w:val="0"/>
                <w:sz w:val="21"/>
                <w:szCs w:val="21"/>
                <w:highlight w:val="none"/>
                <w:lang w:val="en-US" w:eastAsia="zh-CN" w:bidi="ar-SA"/>
              </w:rPr>
              <w:t>7</w:t>
            </w:r>
            <w:r>
              <w:rPr>
                <w:rFonts w:hint="eastAsia" w:ascii="宋体" w:hAnsi="宋体" w:eastAsia="宋体" w:cs="宋体"/>
                <w:b/>
                <w:bCs/>
                <w:color w:val="auto"/>
                <w:kern w:val="0"/>
                <w:sz w:val="21"/>
                <w:szCs w:val="21"/>
                <w:highlight w:val="none"/>
                <w:lang w:val="en-US" w:eastAsia="zh-CN" w:bidi="ar-SA"/>
              </w:rPr>
              <w:t>）</w:t>
            </w:r>
          </w:p>
        </w:tc>
      </w:tr>
      <w:tr w14:paraId="3170B5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0D83C0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产品响应程度</w:t>
            </w:r>
          </w:p>
        </w:tc>
        <w:tc>
          <w:tcPr>
            <w:tcW w:w="357" w:type="pct"/>
            <w:tcBorders>
              <w:tl2br w:val="nil"/>
              <w:tr2bl w:val="nil"/>
            </w:tcBorders>
            <w:vAlign w:val="center"/>
          </w:tcPr>
          <w:p w14:paraId="25C80B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3</w:t>
            </w:r>
            <w:r>
              <w:rPr>
                <w:rFonts w:hint="eastAsia" w:ascii="宋体" w:hAnsi="宋体" w:cs="宋体"/>
                <w:b/>
                <w:bCs/>
                <w:color w:val="auto"/>
                <w:kern w:val="0"/>
                <w:sz w:val="21"/>
                <w:szCs w:val="21"/>
                <w:highlight w:val="none"/>
                <w:lang w:val="en-US" w:eastAsia="zh-CN" w:bidi="ar-SA"/>
              </w:rPr>
              <w:t>7</w:t>
            </w:r>
          </w:p>
        </w:tc>
        <w:tc>
          <w:tcPr>
            <w:tcW w:w="3723" w:type="pct"/>
            <w:tcBorders>
              <w:tl2br w:val="nil"/>
              <w:tr2bl w:val="nil"/>
            </w:tcBorders>
            <w:vAlign w:val="center"/>
          </w:tcPr>
          <w:p w14:paraId="7F894B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79CF01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不符合（负偏离）技术要求中标注“▲”条款（不可偏离）的投标无效；</w:t>
            </w:r>
          </w:p>
          <w:p w14:paraId="6E74E3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满足招标文件明确的全部技术条款要求的该项得满分；</w:t>
            </w:r>
          </w:p>
          <w:p w14:paraId="05DC17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技术条款低于技术要求（负偏离）的</w:t>
            </w:r>
            <w:r>
              <w:rPr>
                <w:rFonts w:hint="eastAsia" w:ascii="宋体" w:hAnsi="宋体" w:cs="宋体"/>
                <w:color w:val="auto"/>
                <w:kern w:val="0"/>
                <w:sz w:val="21"/>
                <w:szCs w:val="21"/>
                <w:highlight w:val="none"/>
                <w:lang w:val="en-US" w:eastAsia="zh-CN" w:bidi="ar-SA"/>
              </w:rPr>
              <w:t>，标注“</w:t>
            </w: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”的</w:t>
            </w:r>
            <w:r>
              <w:rPr>
                <w:rFonts w:hint="eastAsia" w:ascii="宋体" w:hAnsi="宋体" w:eastAsia="宋体" w:cs="宋体"/>
                <w:color w:val="auto"/>
                <w:kern w:val="0"/>
                <w:sz w:val="21"/>
                <w:szCs w:val="21"/>
                <w:highlight w:val="none"/>
                <w:lang w:val="en-US" w:eastAsia="zh-CN" w:bidi="ar-SA"/>
              </w:rPr>
              <w:t>每项扣</w:t>
            </w:r>
            <w:r>
              <w:rPr>
                <w:rFonts w:hint="eastAsia" w:ascii="宋体" w:hAnsi="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分</w:t>
            </w:r>
            <w:r>
              <w:rPr>
                <w:rFonts w:hint="eastAsia" w:ascii="宋体" w:hAnsi="宋体" w:cs="宋体"/>
                <w:color w:val="auto"/>
                <w:kern w:val="0"/>
                <w:sz w:val="21"/>
                <w:szCs w:val="21"/>
                <w:highlight w:val="none"/>
                <w:lang w:val="en-US" w:eastAsia="zh-CN" w:bidi="ar-SA"/>
              </w:rPr>
              <w:t>，未标注“★”的每项扣2分</w:t>
            </w:r>
            <w:r>
              <w:rPr>
                <w:rFonts w:hint="eastAsia" w:ascii="宋体" w:hAnsi="宋体" w:eastAsia="宋体" w:cs="宋体"/>
                <w:color w:val="auto"/>
                <w:kern w:val="0"/>
                <w:sz w:val="21"/>
                <w:szCs w:val="21"/>
                <w:highlight w:val="none"/>
                <w:lang w:val="en-US" w:eastAsia="zh-CN" w:bidi="ar-SA"/>
              </w:rPr>
              <w:t>；</w:t>
            </w:r>
          </w:p>
          <w:p w14:paraId="686544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负偏离</w:t>
            </w:r>
            <w:r>
              <w:rPr>
                <w:rFonts w:hint="eastAsia" w:ascii="宋体" w:hAnsi="宋体" w:cs="宋体"/>
                <w:color w:val="auto"/>
                <w:kern w:val="0"/>
                <w:sz w:val="21"/>
                <w:szCs w:val="21"/>
                <w:highlight w:val="none"/>
                <w:lang w:val="en-US" w:eastAsia="zh-CN" w:bidi="ar-SA"/>
              </w:rPr>
              <w:t>扣分37分</w:t>
            </w:r>
            <w:r>
              <w:rPr>
                <w:rFonts w:hint="eastAsia" w:ascii="宋体" w:hAnsi="宋体" w:eastAsia="宋体" w:cs="宋体"/>
                <w:color w:val="auto"/>
                <w:kern w:val="0"/>
                <w:sz w:val="21"/>
                <w:szCs w:val="21"/>
                <w:highlight w:val="none"/>
                <w:lang w:val="en-US" w:eastAsia="zh-CN" w:bidi="ar-SA"/>
              </w:rPr>
              <w:t>及以上的，视为采购人不能接受的附加条件。</w:t>
            </w:r>
          </w:p>
        </w:tc>
      </w:tr>
      <w:tr w14:paraId="576387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754250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产品功能及配置</w:t>
            </w:r>
          </w:p>
        </w:tc>
        <w:tc>
          <w:tcPr>
            <w:tcW w:w="357" w:type="pct"/>
            <w:tcBorders>
              <w:tl2br w:val="nil"/>
              <w:tr2bl w:val="nil"/>
            </w:tcBorders>
            <w:vAlign w:val="center"/>
          </w:tcPr>
          <w:p w14:paraId="3F88F8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23" w:type="pct"/>
            <w:tcBorders>
              <w:tl2br w:val="nil"/>
              <w:tr2bl w:val="nil"/>
            </w:tcBorders>
            <w:vAlign w:val="center"/>
          </w:tcPr>
          <w:p w14:paraId="7B6B45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cs="宋体"/>
                <w:color w:val="auto"/>
                <w:kern w:val="2"/>
                <w:sz w:val="21"/>
                <w:szCs w:val="21"/>
                <w:highlight w:val="none"/>
                <w:lang w:val="en-US" w:eastAsia="zh-CN" w:bidi="ar"/>
              </w:rPr>
              <w:t>投标</w:t>
            </w:r>
            <w:r>
              <w:rPr>
                <w:rFonts w:hint="eastAsia" w:ascii="宋体" w:hAnsi="宋体" w:eastAsia="宋体" w:cs="宋体"/>
                <w:color w:val="auto"/>
                <w:kern w:val="2"/>
                <w:sz w:val="21"/>
                <w:szCs w:val="21"/>
                <w:highlight w:val="none"/>
                <w:lang w:val="en-US" w:eastAsia="zh-CN" w:bidi="ar"/>
              </w:rPr>
              <w:t>产品功能满足项目特点和实际需要，功能先进，后续维护成本低；投标产品配置合理，兼容性强（评分范围：5,4,3,2,1,0）。</w:t>
            </w:r>
          </w:p>
        </w:tc>
      </w:tr>
      <w:tr w14:paraId="251B0F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0D3570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项目实施方案</w:t>
            </w:r>
          </w:p>
        </w:tc>
        <w:tc>
          <w:tcPr>
            <w:tcW w:w="357" w:type="pct"/>
            <w:tcBorders>
              <w:tl2br w:val="nil"/>
              <w:tr2bl w:val="nil"/>
            </w:tcBorders>
            <w:vAlign w:val="center"/>
          </w:tcPr>
          <w:p w14:paraId="7E8EEF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13D5B8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【主观分】项目实施计划详细完整，符合项目进度要求，投入人员数量丰富（评分范围：5,4,3,2,1,0）。</w:t>
            </w:r>
          </w:p>
        </w:tc>
      </w:tr>
      <w:tr w14:paraId="107F71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6B0E20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安装调试</w:t>
            </w:r>
          </w:p>
        </w:tc>
        <w:tc>
          <w:tcPr>
            <w:tcW w:w="357" w:type="pct"/>
            <w:tcBorders>
              <w:tl2br w:val="nil"/>
              <w:tr2bl w:val="nil"/>
            </w:tcBorders>
            <w:vAlign w:val="center"/>
          </w:tcPr>
          <w:p w14:paraId="092422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010C49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【主观分】安装、调试方法或方案详细完整，各种措施合理可行，有助于项目实施（评分范围：5,4,3,2,1,0）。</w:t>
            </w:r>
          </w:p>
        </w:tc>
      </w:tr>
      <w:tr w14:paraId="7EC0F5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51A2E2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售后服务</w:t>
            </w:r>
          </w:p>
        </w:tc>
        <w:tc>
          <w:tcPr>
            <w:tcW w:w="357" w:type="pct"/>
            <w:tcBorders>
              <w:tl2br w:val="nil"/>
              <w:tr2bl w:val="nil"/>
            </w:tcBorders>
            <w:vAlign w:val="center"/>
          </w:tcPr>
          <w:p w14:paraId="7FDF49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662548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【主观分】售后服务方案、售后服务承诺可行，服务承诺落实的保障措施强（评分范围：5,4,3,2,1,0）。</w:t>
            </w:r>
          </w:p>
        </w:tc>
      </w:tr>
      <w:tr w14:paraId="414865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53FFC2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技术服务、培训</w:t>
            </w:r>
          </w:p>
        </w:tc>
        <w:tc>
          <w:tcPr>
            <w:tcW w:w="357" w:type="pct"/>
            <w:tcBorders>
              <w:tl2br w:val="nil"/>
              <w:tr2bl w:val="nil"/>
            </w:tcBorders>
            <w:vAlign w:val="center"/>
          </w:tcPr>
          <w:p w14:paraId="08EFE0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40B90A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【主观分】服务力量和服务保障措施强，培训计划内容、培训范围完整且有针对性（评分范围：5,4,3,2,1,0）。</w:t>
            </w:r>
          </w:p>
        </w:tc>
      </w:tr>
      <w:tr w14:paraId="152F5C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41A2B6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配件耗材</w:t>
            </w:r>
          </w:p>
        </w:tc>
        <w:tc>
          <w:tcPr>
            <w:tcW w:w="357" w:type="pct"/>
            <w:tcBorders>
              <w:tl2br w:val="nil"/>
              <w:tr2bl w:val="nil"/>
            </w:tcBorders>
            <w:vAlign w:val="center"/>
          </w:tcPr>
          <w:p w14:paraId="04F5D2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5A46D2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【主观分】质保期满后配件、附件、备品备件的收费标准合理，配件、附件、备品备件的保障措施强（评分范围：5,4,3,2,1,0）。</w:t>
            </w:r>
          </w:p>
        </w:tc>
      </w:tr>
    </w:tbl>
    <w:p w14:paraId="3C219B9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如供应商提供的产品技术支持材料与采购需求偏离表响应不一致，以产品技术支持材料为准。</w:t>
      </w:r>
    </w:p>
    <w:p w14:paraId="53EF9B89">
      <w:pPr>
        <w:keepNext w:val="0"/>
        <w:keepLines w:val="0"/>
        <w:widowControl/>
        <w:suppressLineNumbers w:val="0"/>
        <w:spacing w:line="288" w:lineRule="auto"/>
        <w:jc w:val="left"/>
        <w:rPr>
          <w:rFonts w:hint="eastAsia" w:ascii="宋体" w:hAnsi="宋体" w:eastAsia="宋体" w:cs="宋体"/>
          <w:b/>
          <w:bCs/>
          <w:color w:val="auto"/>
          <w:spacing w:val="0"/>
          <w:kern w:val="0"/>
          <w:sz w:val="21"/>
          <w:szCs w:val="21"/>
          <w:highlight w:val="none"/>
          <w:lang w:val="en-US" w:eastAsia="zh-CN" w:bidi="ar"/>
        </w:rPr>
      </w:pPr>
    </w:p>
    <w:p w14:paraId="3A7210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三、投标无效的情形</w:t>
      </w:r>
    </w:p>
    <w:p w14:paraId="5AE0AA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未响应招标文件“▲”标记条款要求的，投标无效。</w:t>
      </w:r>
    </w:p>
    <w:p w14:paraId="7A35CB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1.在资格审查时，有下列情形之一的，资格审查不通过，投标无效：</w:t>
      </w:r>
    </w:p>
    <w:p w14:paraId="79F188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（1）资格证明材料不全的，或者不符合招标文件要求；</w:t>
      </w:r>
    </w:p>
    <w:p w14:paraId="602BEAA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（2）投标人不具备招标文件中规定的资格要求；</w:t>
      </w:r>
    </w:p>
    <w:p w14:paraId="5A48B5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647EC5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2.在符合性审查、商务和技术评审时，有下列情形之一的，投标无效：</w:t>
      </w:r>
    </w:p>
    <w:p w14:paraId="0268D1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F3AED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（2）未提供或未按要求提供投标函、授权委托书；</w:t>
      </w:r>
    </w:p>
    <w:p w14:paraId="69C39C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（3）委托授权代表参加投标但未提供符合要求的授权代表社保缴纳证明；</w:t>
      </w:r>
    </w:p>
    <w:p w14:paraId="47B347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（4）未提供或未如实提供投标偏离表；</w:t>
      </w:r>
    </w:p>
    <w:p w14:paraId="3C06F9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（5）明显不符合招标文件要求，或负偏离达到规定数目的，视为采购人不能接受的附加条件；</w:t>
      </w:r>
    </w:p>
    <w:p w14:paraId="5805AA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（6）投标技术方案不明确，存在一个或一个以上备选（替代）投标方案</w:t>
      </w:r>
      <w:r>
        <w:rPr>
          <w:rFonts w:hint="eastAsia" w:ascii="宋体" w:hAnsi="宋体" w:eastAsia="宋体" w:cs="宋体"/>
          <w:color w:val="auto"/>
          <w:spacing w:val="-6"/>
          <w:kern w:val="0"/>
          <w:sz w:val="21"/>
          <w:szCs w:val="21"/>
          <w:highlight w:val="none"/>
          <w:lang w:val="en-US" w:eastAsia="zh-CN" w:bidi="ar"/>
        </w:rPr>
        <w:t>，但招标文件要求提交备选的除外；</w:t>
      </w:r>
    </w:p>
    <w:p w14:paraId="2660D23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（7）投标文件含有采购人不能接受的附加条件；</w:t>
      </w:r>
    </w:p>
    <w:p w14:paraId="119E0B2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（8）法律、法规和招标文件规定的其他无效情形。</w:t>
      </w:r>
    </w:p>
    <w:p w14:paraId="060A24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3.在报价评审时，有下列情形之一的，投标无效：</w:t>
      </w:r>
    </w:p>
    <w:p w14:paraId="4CA9E2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（1）报价文件未按要求签署、盖章；</w:t>
      </w:r>
    </w:p>
    <w:p w14:paraId="05DDD6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（2）未按照招标文件标明的币种报价；</w:t>
      </w:r>
    </w:p>
    <w:p w14:paraId="6119A6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（3）报价内容有缺漏项，或者与招标文件要求不一致；</w:t>
      </w:r>
    </w:p>
    <w:p w14:paraId="3A05CC3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（4）报价超过招标文件中规定的预算金额或者最高限价；</w:t>
      </w:r>
    </w:p>
    <w:p w14:paraId="6B8F34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（5）报价具有选择性；</w:t>
      </w:r>
    </w:p>
    <w:p w14:paraId="4C0330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4.有下列情形之一的，视为投标人串通投标，其投标无效：</w:t>
      </w:r>
    </w:p>
    <w:p w14:paraId="36C648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（1）不同投标人的投标文件由同一单位或者个人编制；</w:t>
      </w:r>
    </w:p>
    <w:p w14:paraId="756786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（2）不同投标人委托同一单位或者个人办理投标事宜；</w:t>
      </w:r>
    </w:p>
    <w:p w14:paraId="07CBD2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（3）不同投标人的投标文件载明的项目管理成员或者联系人员为同一人；</w:t>
      </w:r>
    </w:p>
    <w:p w14:paraId="568852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（4）不同投标人的投标文件异常一致或者投标报价呈规律性差异；</w:t>
      </w:r>
    </w:p>
    <w:p w14:paraId="7373B4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（5）不同投标人的投标文件相互混装。</w:t>
      </w:r>
    </w:p>
    <w:p w14:paraId="5D8B5A1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5.参与同一个采购包（标项）的供应商存在下列情形之一且无法合理解释的，其投标文件无效：</w:t>
      </w:r>
    </w:p>
    <w:p w14:paraId="54F684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（1）不同供应商的电子投标文件上传计算机的网卡MAC地址或硬盘序列号等硬件信息相同的；</w:t>
      </w:r>
    </w:p>
    <w:p w14:paraId="653441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（2）上传的电子投标文件若出现使用本项目其他投标供应商的数字证书加密的，或者加盖本项目其他投标供应商的电子印章的；</w:t>
      </w:r>
    </w:p>
    <w:p w14:paraId="20094889">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（3）不同供应商的投标文件的内容存在3处（含）以上错误一致的；</w:t>
      </w:r>
    </w:p>
    <w:p w14:paraId="3C01E5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6B9FEA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62776ED4">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杭州电子科技大学采购合同（货物类）</w:t>
      </w:r>
    </w:p>
    <w:p w14:paraId="37F1479F">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合同编号_________________ </w:t>
      </w:r>
    </w:p>
    <w:p w14:paraId="36F9F395">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确认书号：</w:t>
      </w:r>
    </w:p>
    <w:p w14:paraId="579212CF">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项目编号：</w:t>
      </w:r>
    </w:p>
    <w:p w14:paraId="215106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甲方（采购人）：杭州电子科技大学  </w:t>
      </w:r>
    </w:p>
    <w:p w14:paraId="074DD0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乙方（供应商）： </w:t>
      </w:r>
    </w:p>
    <w:p w14:paraId="5DD7BB6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pacing w:val="-6"/>
          <w:szCs w:val="21"/>
          <w:highlight w:val="none"/>
          <w:lang w:val="en-US" w:eastAsia="zh-CN" w:bidi="ar-SA"/>
        </w:rPr>
        <w:t>采购代理机构（鉴证方）：</w:t>
      </w:r>
      <w:r>
        <w:rPr>
          <w:rFonts w:hint="eastAsia" w:ascii="宋体" w:hAnsi="宋体" w:eastAsia="宋体" w:cs="宋体"/>
          <w:color w:val="auto"/>
          <w:szCs w:val="20"/>
          <w:highlight w:val="none"/>
          <w:lang w:val="en-US" w:eastAsia="zh-CN" w:bidi="ar-SA"/>
        </w:rPr>
        <w:t xml:space="preserve">             </w:t>
      </w:r>
    </w:p>
    <w:p w14:paraId="629996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为了保护甲乙双方合法权益，根据项目</w:t>
      </w:r>
      <w:r>
        <w:rPr>
          <w:rFonts w:hint="eastAsia" w:ascii="宋体" w:hAnsi="宋体" w:eastAsia="宋体" w:cs="宋体"/>
          <w:color w:val="auto"/>
          <w:szCs w:val="20"/>
          <w:highlight w:val="none"/>
          <w:u w:val="single"/>
          <w:lang w:val="en-US" w:eastAsia="zh-CN" w:bidi="ar-SA"/>
        </w:rPr>
        <w:t xml:space="preserve">   (填项目名称)      </w:t>
      </w:r>
      <w:r>
        <w:rPr>
          <w:rFonts w:hint="eastAsia" w:ascii="宋体" w:hAnsi="宋体" w:eastAsia="宋体" w:cs="宋体"/>
          <w:color w:val="auto"/>
          <w:szCs w:val="20"/>
          <w:highlight w:val="none"/>
          <w:u w:val="none"/>
          <w:lang w:val="en-US" w:eastAsia="zh-CN" w:bidi="ar-SA"/>
        </w:rPr>
        <w:t>、</w:t>
      </w:r>
      <w:r>
        <w:rPr>
          <w:rFonts w:hint="eastAsia" w:ascii="宋体" w:hAnsi="宋体" w:eastAsia="宋体" w:cs="宋体"/>
          <w:color w:val="auto"/>
          <w:szCs w:val="20"/>
          <w:highlight w:val="none"/>
          <w:u w:val="single"/>
          <w:lang w:val="en-US" w:eastAsia="zh-CN" w:bidi="ar-SA"/>
        </w:rPr>
        <w:t xml:space="preserve"> （填采购方式）   </w:t>
      </w:r>
      <w:r>
        <w:rPr>
          <w:rFonts w:hint="eastAsia" w:ascii="宋体" w:hAnsi="宋体" w:eastAsia="宋体" w:cs="宋体"/>
          <w:color w:val="auto"/>
          <w:szCs w:val="20"/>
          <w:highlight w:val="none"/>
          <w:lang w:val="en-US" w:eastAsia="zh-CN" w:bidi="ar-SA"/>
        </w:rPr>
        <w:t xml:space="preserve">的中标（成交）结果，签署本合同，以资共同遵守。  </w:t>
      </w:r>
    </w:p>
    <w:p w14:paraId="076277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一、采购货物与合同价格</w:t>
      </w:r>
    </w:p>
    <w:tbl>
      <w:tblPr>
        <w:tblStyle w:val="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398"/>
        <w:gridCol w:w="3526"/>
        <w:gridCol w:w="792"/>
        <w:gridCol w:w="874"/>
        <w:gridCol w:w="1328"/>
        <w:gridCol w:w="1257"/>
      </w:tblGrid>
      <w:tr w14:paraId="107F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312552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序号</w:t>
            </w:r>
          </w:p>
        </w:tc>
        <w:tc>
          <w:tcPr>
            <w:tcW w:w="702" w:type="pct"/>
            <w:tcBorders>
              <w:top w:val="single" w:color="auto" w:sz="4" w:space="0"/>
              <w:left w:val="single" w:color="auto" w:sz="4" w:space="0"/>
              <w:bottom w:val="single" w:color="auto" w:sz="4" w:space="0"/>
              <w:right w:val="single" w:color="auto" w:sz="4" w:space="0"/>
            </w:tcBorders>
            <w:vAlign w:val="center"/>
          </w:tcPr>
          <w:p w14:paraId="279E37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货物名称</w:t>
            </w:r>
          </w:p>
        </w:tc>
        <w:tc>
          <w:tcPr>
            <w:tcW w:w="1771" w:type="pct"/>
            <w:tcBorders>
              <w:top w:val="single" w:color="auto" w:sz="4" w:space="0"/>
              <w:left w:val="single" w:color="auto" w:sz="4" w:space="0"/>
              <w:bottom w:val="single" w:color="auto" w:sz="4" w:space="0"/>
              <w:right w:val="single" w:color="auto" w:sz="4" w:space="0"/>
            </w:tcBorders>
            <w:vAlign w:val="center"/>
          </w:tcPr>
          <w:p w14:paraId="61BC28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品牌、型号等</w:t>
            </w:r>
          </w:p>
        </w:tc>
        <w:tc>
          <w:tcPr>
            <w:tcW w:w="398" w:type="pct"/>
            <w:tcBorders>
              <w:top w:val="single" w:color="auto" w:sz="4" w:space="0"/>
              <w:left w:val="single" w:color="auto" w:sz="4" w:space="0"/>
              <w:bottom w:val="single" w:color="auto" w:sz="4" w:space="0"/>
              <w:right w:val="single" w:color="auto" w:sz="4" w:space="0"/>
            </w:tcBorders>
            <w:vAlign w:val="center"/>
          </w:tcPr>
          <w:p w14:paraId="68B02F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数量</w:t>
            </w:r>
          </w:p>
        </w:tc>
        <w:tc>
          <w:tcPr>
            <w:tcW w:w="439" w:type="pct"/>
            <w:tcBorders>
              <w:top w:val="single" w:color="auto" w:sz="4" w:space="0"/>
              <w:left w:val="single" w:color="auto" w:sz="4" w:space="0"/>
              <w:bottom w:val="single" w:color="auto" w:sz="4" w:space="0"/>
              <w:right w:val="single" w:color="auto" w:sz="4" w:space="0"/>
            </w:tcBorders>
            <w:vAlign w:val="center"/>
          </w:tcPr>
          <w:p w14:paraId="41711B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单位</w:t>
            </w:r>
          </w:p>
        </w:tc>
        <w:tc>
          <w:tcPr>
            <w:tcW w:w="667" w:type="pct"/>
            <w:tcBorders>
              <w:top w:val="single" w:color="auto" w:sz="4" w:space="0"/>
              <w:left w:val="single" w:color="auto" w:sz="4" w:space="0"/>
              <w:bottom w:val="single" w:color="auto" w:sz="4" w:space="0"/>
              <w:right w:val="single" w:color="auto" w:sz="4" w:space="0"/>
            </w:tcBorders>
            <w:vAlign w:val="center"/>
          </w:tcPr>
          <w:p w14:paraId="082B05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单价</w:t>
            </w:r>
          </w:p>
        </w:tc>
        <w:tc>
          <w:tcPr>
            <w:tcW w:w="627" w:type="pct"/>
            <w:tcBorders>
              <w:top w:val="single" w:color="auto" w:sz="4" w:space="0"/>
              <w:left w:val="single" w:color="auto" w:sz="4" w:space="0"/>
              <w:bottom w:val="single" w:color="auto" w:sz="4" w:space="0"/>
              <w:right w:val="single" w:color="auto" w:sz="4" w:space="0"/>
            </w:tcBorders>
            <w:vAlign w:val="center"/>
          </w:tcPr>
          <w:p w14:paraId="2EBFB2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总价</w:t>
            </w:r>
          </w:p>
        </w:tc>
      </w:tr>
      <w:tr w14:paraId="3584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3414902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p>
        </w:tc>
        <w:tc>
          <w:tcPr>
            <w:tcW w:w="702" w:type="pct"/>
            <w:tcBorders>
              <w:top w:val="single" w:color="auto" w:sz="4" w:space="0"/>
              <w:left w:val="single" w:color="auto" w:sz="4" w:space="0"/>
              <w:bottom w:val="single" w:color="auto" w:sz="4" w:space="0"/>
              <w:right w:val="single" w:color="auto" w:sz="4" w:space="0"/>
            </w:tcBorders>
            <w:vAlign w:val="center"/>
          </w:tcPr>
          <w:p w14:paraId="690AFBA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1771" w:type="pct"/>
            <w:tcBorders>
              <w:top w:val="single" w:color="auto" w:sz="4" w:space="0"/>
              <w:left w:val="single" w:color="auto" w:sz="4" w:space="0"/>
              <w:bottom w:val="single" w:color="auto" w:sz="4" w:space="0"/>
              <w:right w:val="single" w:color="auto" w:sz="4" w:space="0"/>
            </w:tcBorders>
          </w:tcPr>
          <w:p w14:paraId="4F4C6A1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品牌、型号、详细技术参数（技术参数可以合同附件方式提供）</w:t>
            </w:r>
          </w:p>
        </w:tc>
        <w:tc>
          <w:tcPr>
            <w:tcW w:w="398" w:type="pct"/>
            <w:tcBorders>
              <w:top w:val="single" w:color="auto" w:sz="4" w:space="0"/>
              <w:left w:val="single" w:color="auto" w:sz="4" w:space="0"/>
              <w:bottom w:val="single" w:color="auto" w:sz="4" w:space="0"/>
              <w:right w:val="single" w:color="auto" w:sz="4" w:space="0"/>
            </w:tcBorders>
            <w:vAlign w:val="center"/>
          </w:tcPr>
          <w:p w14:paraId="4CCE437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439" w:type="pct"/>
            <w:tcBorders>
              <w:top w:val="single" w:color="auto" w:sz="4" w:space="0"/>
              <w:left w:val="single" w:color="auto" w:sz="4" w:space="0"/>
              <w:bottom w:val="single" w:color="auto" w:sz="4" w:space="0"/>
              <w:right w:val="single" w:color="auto" w:sz="4" w:space="0"/>
            </w:tcBorders>
            <w:vAlign w:val="center"/>
          </w:tcPr>
          <w:p w14:paraId="0910650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vAlign w:val="center"/>
          </w:tcPr>
          <w:p w14:paraId="1F38178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27" w:type="pct"/>
            <w:tcBorders>
              <w:top w:val="single" w:color="auto" w:sz="4" w:space="0"/>
              <w:left w:val="single" w:color="auto" w:sz="4" w:space="0"/>
              <w:bottom w:val="single" w:color="auto" w:sz="4" w:space="0"/>
              <w:right w:val="single" w:color="auto" w:sz="4" w:space="0"/>
            </w:tcBorders>
            <w:vAlign w:val="center"/>
          </w:tcPr>
          <w:p w14:paraId="6CE62B6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r>
      <w:tr w14:paraId="79A2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78C7CF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702" w:type="pct"/>
            <w:tcBorders>
              <w:top w:val="single" w:color="auto" w:sz="4" w:space="0"/>
              <w:left w:val="single" w:color="auto" w:sz="4" w:space="0"/>
              <w:bottom w:val="single" w:color="auto" w:sz="4" w:space="0"/>
              <w:right w:val="single" w:color="auto" w:sz="4" w:space="0"/>
            </w:tcBorders>
            <w:vAlign w:val="center"/>
          </w:tcPr>
          <w:p w14:paraId="3B4F944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1771" w:type="pct"/>
            <w:tcBorders>
              <w:top w:val="single" w:color="auto" w:sz="4" w:space="0"/>
              <w:left w:val="single" w:color="auto" w:sz="4" w:space="0"/>
              <w:bottom w:val="single" w:color="auto" w:sz="4" w:space="0"/>
              <w:right w:val="single" w:color="auto" w:sz="4" w:space="0"/>
            </w:tcBorders>
          </w:tcPr>
          <w:p w14:paraId="4C7CF39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398" w:type="pct"/>
            <w:tcBorders>
              <w:top w:val="single" w:color="auto" w:sz="4" w:space="0"/>
              <w:left w:val="single" w:color="auto" w:sz="4" w:space="0"/>
              <w:bottom w:val="single" w:color="auto" w:sz="4" w:space="0"/>
              <w:right w:val="single" w:color="auto" w:sz="4" w:space="0"/>
            </w:tcBorders>
            <w:vAlign w:val="center"/>
          </w:tcPr>
          <w:p w14:paraId="03E3DD6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439" w:type="pct"/>
            <w:tcBorders>
              <w:top w:val="single" w:color="auto" w:sz="4" w:space="0"/>
              <w:left w:val="single" w:color="auto" w:sz="4" w:space="0"/>
              <w:bottom w:val="single" w:color="auto" w:sz="4" w:space="0"/>
              <w:right w:val="single" w:color="auto" w:sz="4" w:space="0"/>
            </w:tcBorders>
            <w:vAlign w:val="center"/>
          </w:tcPr>
          <w:p w14:paraId="6E5FE65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vAlign w:val="center"/>
          </w:tcPr>
          <w:p w14:paraId="43A90A2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27" w:type="pct"/>
            <w:tcBorders>
              <w:top w:val="single" w:color="auto" w:sz="4" w:space="0"/>
              <w:left w:val="single" w:color="auto" w:sz="4" w:space="0"/>
              <w:bottom w:val="single" w:color="auto" w:sz="4" w:space="0"/>
              <w:right w:val="single" w:color="auto" w:sz="4" w:space="0"/>
            </w:tcBorders>
            <w:vAlign w:val="center"/>
          </w:tcPr>
          <w:p w14:paraId="7210032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r>
      <w:tr w14:paraId="5276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14:paraId="335799D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合同总价（元，人民币）：小写￥              ，大写：</w:t>
            </w:r>
          </w:p>
        </w:tc>
      </w:tr>
    </w:tbl>
    <w:p w14:paraId="4E48BC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注：以上合同总价包含货物到达甲方或甲方指定用户并能正常使用所需的一切费用，包括但不限于设备（软件）费、包装费、运输费、装卸费、保险费、安装调试费、技术服务费、培训费、保修保换费、税费等。</w:t>
      </w:r>
    </w:p>
    <w:p w14:paraId="50B032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二、供货范围</w:t>
      </w:r>
    </w:p>
    <w:p w14:paraId="68676A5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合同供货范围包括所有合同货物、相关的技术资料。</w:t>
      </w:r>
    </w:p>
    <w:p w14:paraId="06CD52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44AD9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三、质保期、履约保证金与货款结算</w:t>
      </w:r>
    </w:p>
    <w:p w14:paraId="6C0A5A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质保期：自验收合格之日起，质保期</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u w:val="none"/>
          <w:lang w:val="en-US" w:eastAsia="zh-CN" w:bidi="ar-SA"/>
        </w:rPr>
        <w:t xml:space="preserve"> 月</w:t>
      </w:r>
      <w:r>
        <w:rPr>
          <w:rFonts w:hint="eastAsia" w:ascii="宋体" w:hAnsi="宋体" w:eastAsia="宋体" w:cs="宋体"/>
          <w:color w:val="auto"/>
          <w:szCs w:val="20"/>
          <w:highlight w:val="none"/>
          <w:lang w:val="en-US" w:eastAsia="zh-CN" w:bidi="ar-SA"/>
        </w:rPr>
        <w:t>。超过质保期的货物，终生维修，维修时只收部件成本费。软件的质保期即维护期，乙方应提供升级服务。质保期内质保维护升级等费用包含在合同总价中，不额外收取。其他质保说明（如有）：</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u w:val="none"/>
          <w:lang w:val="en-US" w:eastAsia="zh-CN" w:bidi="ar-SA"/>
        </w:rPr>
        <w:t>。</w:t>
      </w:r>
    </w:p>
    <w:p w14:paraId="09B7DA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2.履约保证金（如有）</w:t>
      </w:r>
      <w:r>
        <w:rPr>
          <w:rFonts w:hint="eastAsia" w:ascii="宋体" w:hAnsi="宋体" w:eastAsia="宋体" w:cs="宋体"/>
          <w:b/>
          <w:bCs/>
          <w:color w:val="auto"/>
          <w:szCs w:val="20"/>
          <w:highlight w:val="none"/>
          <w:lang w:val="en-US" w:eastAsia="zh-CN" w:bidi="ar-SA"/>
        </w:rPr>
        <w:t>：</w:t>
      </w:r>
      <w:r>
        <w:rPr>
          <w:rFonts w:hint="eastAsia" w:ascii="宋体" w:hAnsi="宋体" w:eastAsia="宋体" w:cs="宋体"/>
          <w:color w:val="auto"/>
          <w:szCs w:val="20"/>
          <w:highlight w:val="none"/>
          <w:lang w:val="en-US" w:eastAsia="zh-CN" w:bidi="ar-SA"/>
        </w:rPr>
        <w:t>合同总金额的</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p w14:paraId="54A9C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货款结算：按以下第</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种方式支付乙方合同价款。</w:t>
      </w:r>
    </w:p>
    <w:p w14:paraId="6160D1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w:t>
      </w:r>
      <w:r>
        <w:rPr>
          <w:rFonts w:hint="eastAsia" w:ascii="宋体" w:hAnsi="宋体" w:eastAsia="宋体" w:cs="宋体"/>
          <w:color w:val="auto"/>
          <w:spacing w:val="-6"/>
          <w:szCs w:val="20"/>
          <w:highlight w:val="none"/>
          <w:lang w:val="en-US" w:eastAsia="zh-CN" w:bidi="ar-SA"/>
        </w:rPr>
        <w:t>1</w:t>
      </w:r>
      <w:r>
        <w:rPr>
          <w:rFonts w:hint="eastAsia" w:ascii="宋体" w:hAnsi="宋体" w:eastAsia="宋体" w:cs="宋体"/>
          <w:color w:val="auto"/>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%（中小微企业限</w:t>
      </w:r>
      <w:r>
        <w:rPr>
          <w:rFonts w:hint="eastAsia" w:ascii="宋体" w:hAnsi="宋体" w:eastAsia="宋体" w:cs="宋体"/>
          <w:color w:val="auto"/>
          <w:kern w:val="2"/>
          <w:sz w:val="24"/>
          <w:szCs w:val="24"/>
          <w:highlight w:val="none"/>
          <w:lang w:val="en-US" w:eastAsia="zh-CN" w:bidi="ar-SA"/>
        </w:rPr>
        <w:t>30％-70%</w:t>
      </w:r>
      <w:r>
        <w:rPr>
          <w:rFonts w:hint="eastAsia" w:ascii="宋体" w:hAnsi="宋体" w:eastAsia="宋体" w:cs="宋体"/>
          <w:color w:val="auto"/>
          <w:szCs w:val="20"/>
          <w:highlight w:val="none"/>
          <w:lang w:val="en-US" w:eastAsia="zh-CN" w:bidi="ar-SA"/>
        </w:rPr>
        <w:t>）；货物在乙方安装调试完毕经甲方验收合格并收到增值税专用发票后7个工作日内，向乙方支付合同总价的</w:t>
      </w:r>
      <w:r>
        <w:rPr>
          <w:rFonts w:hint="eastAsia" w:ascii="宋体" w:hAnsi="宋体" w:eastAsia="宋体" w:cs="宋体"/>
          <w:color w:val="auto"/>
          <w:szCs w:val="20"/>
          <w:highlight w:val="none"/>
          <w:u w:val="single"/>
          <w:lang w:val="en-US" w:eastAsia="zh-CN" w:bidi="ar-SA"/>
        </w:rPr>
        <w:t>　　　</w:t>
      </w:r>
      <w:r>
        <w:rPr>
          <w:rFonts w:hint="eastAsia" w:ascii="宋体" w:hAnsi="宋体" w:eastAsia="宋体" w:cs="宋体"/>
          <w:color w:val="auto"/>
          <w:szCs w:val="20"/>
          <w:highlight w:val="none"/>
          <w:lang w:val="en-US" w:eastAsia="zh-CN" w:bidi="ar-SA"/>
        </w:rPr>
        <w:t>%。若供应商收取预付款，要求预付款保函有效期覆盖项目验收合格时间；提供了预付款保函则供应商无需再缴纳履约保证金。</w:t>
      </w:r>
    </w:p>
    <w:p w14:paraId="23B1A37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（2）无需预付款的，可以采用以下付款方式：</w:t>
      </w:r>
    </w:p>
    <w:p w14:paraId="7B595F0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①</w:t>
      </w:r>
      <w:r>
        <w:rPr>
          <w:rFonts w:hint="eastAsia" w:ascii="宋体" w:hAnsi="宋体" w:eastAsia="宋体" w:cs="宋体"/>
          <w:bCs/>
          <w:color w:val="auto"/>
          <w:szCs w:val="20"/>
          <w:highlight w:val="none"/>
          <w:lang w:val="en-US" w:eastAsia="zh-CN" w:bidi="ar-SA"/>
        </w:rPr>
        <w:t>货到分期付款：</w:t>
      </w:r>
      <w:r>
        <w:rPr>
          <w:rFonts w:hint="eastAsia" w:ascii="宋体" w:hAnsi="宋体" w:eastAsia="宋体" w:cs="宋体"/>
          <w:color w:val="auto"/>
          <w:szCs w:val="20"/>
          <w:highlight w:val="none"/>
          <w:lang w:val="en-US" w:eastAsia="zh-CN" w:bidi="ar-SA"/>
        </w:rPr>
        <w:t>货物送达并经甲方初步验收并收到有效票据后10个工作日内，甲方向乙方支付合同总价的70%；货物由乙方安装调试完毕并经甲方验收合格后，收到</w:t>
      </w:r>
      <w:bookmarkStart w:id="0" w:name="OLE_LINK1"/>
      <w:bookmarkStart w:id="1" w:name="OLE_LINK2"/>
      <w:r>
        <w:rPr>
          <w:rFonts w:hint="eastAsia" w:ascii="宋体" w:hAnsi="宋体" w:eastAsia="宋体" w:cs="宋体"/>
          <w:color w:val="auto"/>
          <w:szCs w:val="20"/>
          <w:highlight w:val="none"/>
          <w:lang w:val="en-US" w:eastAsia="zh-CN" w:bidi="ar-SA"/>
        </w:rPr>
        <w:t>增值税专用</w:t>
      </w:r>
      <w:bookmarkEnd w:id="0"/>
      <w:bookmarkEnd w:id="1"/>
      <w:r>
        <w:rPr>
          <w:rFonts w:hint="eastAsia" w:ascii="宋体" w:hAnsi="宋体" w:eastAsia="宋体" w:cs="宋体"/>
          <w:color w:val="auto"/>
          <w:szCs w:val="20"/>
          <w:highlight w:val="none"/>
          <w:lang w:val="en-US" w:eastAsia="zh-CN" w:bidi="ar-SA"/>
        </w:rPr>
        <w:t>发票后10个工作日内，甲方向乙方支付合同总价的30%。</w:t>
      </w:r>
    </w:p>
    <w:p w14:paraId="5F68E3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②货到一次性支付：</w:t>
      </w:r>
    </w:p>
    <w:p w14:paraId="6C1E58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全部货物送达安装调试完毕，经甲方验收合格，收到增值税专用发票后10个工作日内，甲方向乙方支付全部合同价款。 </w:t>
      </w:r>
    </w:p>
    <w:p w14:paraId="1E9060C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③其它支付形式（双方协商一致，须符合采购法规）：</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w:t>
      </w:r>
      <w:bookmarkStart w:id="2" w:name="OLE_LINK4"/>
      <w:bookmarkStart w:id="3" w:name="OLE_LINK3"/>
    </w:p>
    <w:p w14:paraId="407597F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无论何种结算方式，</w:t>
      </w:r>
      <w:bookmarkEnd w:id="2"/>
      <w:bookmarkEnd w:id="3"/>
      <w:r>
        <w:rPr>
          <w:rFonts w:hint="eastAsia" w:ascii="宋体" w:hAnsi="宋体" w:eastAsia="宋体" w:cs="宋体"/>
          <w:color w:val="auto"/>
          <w:szCs w:val="20"/>
          <w:highlight w:val="none"/>
          <w:lang w:val="en-US" w:eastAsia="zh-CN" w:bidi="ar-SA"/>
        </w:rPr>
        <w:t>付款前，乙方须交纳合同约定的履约保证金（如有）并提供甲方财务处开具的履约保证金收据，乙方向甲方开具等额有效的票据。甲方开票信息如下：</w:t>
      </w:r>
    </w:p>
    <w:p w14:paraId="2F3294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单位名称：杭州电子科技大学。税号：12330000470009026T</w:t>
      </w:r>
    </w:p>
    <w:p w14:paraId="754701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开户银行：工行杭州高新支行。账号：1202026209008806216</w:t>
      </w:r>
    </w:p>
    <w:p w14:paraId="6B2EF5C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四、知识产权 </w:t>
      </w:r>
    </w:p>
    <w:p w14:paraId="69B44AC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 w:name="_Hlk155103594"/>
    </w:p>
    <w:bookmarkEnd w:id="4"/>
    <w:p w14:paraId="5B3FE9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2.涉及产品定做的，甲方交付给乙方的设计图纸、样品、模具等商业秘密和知识产权归属于甲方，许可乙方在合同范围内使用，乙方负有保密责任。</w:t>
      </w:r>
    </w:p>
    <w:p w14:paraId="71D44F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乙方违反上述条款导致甲方受损的，由此所导致的所有责任以及甲方所支付的所有费用（包括但不限于律师费、诉讼费等）均由乙方承担。</w:t>
      </w:r>
    </w:p>
    <w:p w14:paraId="1E13D7E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五、转包或分包</w:t>
      </w:r>
    </w:p>
    <w:p w14:paraId="5520A7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本合同范围的货物，应由乙方直接供应，不得转让他人供应。</w:t>
      </w:r>
    </w:p>
    <w:p w14:paraId="6CB77170">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14:paraId="37439A03">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3</w:t>
      </w:r>
      <w:r>
        <w:rPr>
          <w:rFonts w:hint="eastAsia" w:ascii="宋体" w:hAnsi="宋体" w:eastAsia="宋体" w:cs="宋体"/>
          <w:color w:val="auto"/>
          <w:spacing w:val="-6"/>
          <w:kern w:val="2"/>
          <w:sz w:val="21"/>
          <w:highlight w:val="none"/>
          <w:lang w:val="en-US" w:eastAsia="zh-CN" w:bidi="ar-SA"/>
        </w:rPr>
        <w:t>.</w:t>
      </w:r>
      <w:r>
        <w:rPr>
          <w:rFonts w:hint="eastAsia" w:ascii="宋体" w:hAnsi="宋体" w:eastAsia="宋体" w:cs="宋体"/>
          <w:color w:val="auto"/>
          <w:kern w:val="2"/>
          <w:sz w:val="21"/>
          <w:highlight w:val="none"/>
          <w:lang w:val="en-US" w:eastAsia="zh-CN" w:bidi="ar-SA"/>
        </w:rPr>
        <w:t>如有转让或未经甲方同意的分包行为，甲方有权解除合同，没收履约保证金并要求乙方支付合同总价15%的违约金。</w:t>
      </w:r>
    </w:p>
    <w:p w14:paraId="0EAAF92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六、货物交付</w:t>
      </w:r>
    </w:p>
    <w:p w14:paraId="46E5D8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交货期：自合同签订之日起</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个工作日内。</w:t>
      </w:r>
    </w:p>
    <w:p w14:paraId="70A084F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交货方式：</w:t>
      </w:r>
      <w:bookmarkStart w:id="5" w:name="_Hlk155602651"/>
      <w:r>
        <w:rPr>
          <w:rFonts w:hint="eastAsia" w:ascii="宋体" w:hAnsi="宋体" w:eastAsia="宋体" w:cs="宋体"/>
          <w:color w:val="auto"/>
          <w:szCs w:val="20"/>
          <w:highlight w:val="none"/>
          <w:lang w:val="en-US" w:eastAsia="zh-CN" w:bidi="ar-SA"/>
        </w:rPr>
        <w:t>送货上门</w:t>
      </w:r>
      <w:bookmarkStart w:id="6" w:name="_Hlk155602451"/>
      <w:r>
        <w:rPr>
          <w:rFonts w:hint="eastAsia" w:ascii="宋体" w:hAnsi="宋体" w:eastAsia="宋体" w:cs="宋体"/>
          <w:color w:val="auto"/>
          <w:szCs w:val="20"/>
          <w:highlight w:val="none"/>
          <w:lang w:val="en-US" w:eastAsia="zh-CN" w:bidi="ar-SA"/>
        </w:rPr>
        <w:t>。</w:t>
      </w:r>
      <w:bookmarkEnd w:id="5"/>
      <w:bookmarkEnd w:id="6"/>
    </w:p>
    <w:p w14:paraId="71A7437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交货地点：</w:t>
      </w:r>
      <w:bookmarkStart w:id="7" w:name="_Hlk155602663"/>
      <w:r>
        <w:rPr>
          <w:rFonts w:hint="eastAsia" w:ascii="宋体" w:hAnsi="宋体" w:eastAsia="宋体" w:cs="宋体"/>
          <w:color w:val="auto"/>
          <w:szCs w:val="20"/>
          <w:highlight w:val="none"/>
          <w:lang w:val="en-US" w:eastAsia="zh-CN" w:bidi="ar-SA"/>
        </w:rPr>
        <w:t>甲方指定地点。</w:t>
      </w:r>
      <w:bookmarkEnd w:id="7"/>
    </w:p>
    <w:p w14:paraId="1F24F41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联系人及电话：</w:t>
      </w:r>
      <w:bookmarkStart w:id="8" w:name="_Hlk155181628"/>
      <w:r>
        <w:rPr>
          <w:rFonts w:hint="eastAsia" w:ascii="宋体" w:hAnsi="宋体" w:eastAsia="宋体" w:cs="宋体"/>
          <w:color w:val="auto"/>
          <w:szCs w:val="20"/>
          <w:highlight w:val="none"/>
          <w:lang w:val="en-US" w:eastAsia="zh-CN" w:bidi="ar-SA"/>
        </w:rPr>
        <w:t>甲方 姓名</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，联系电话</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；乙方 姓名</w:t>
      </w:r>
      <w:bookmarkEnd w:id="8"/>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，联系电话</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w:t>
      </w:r>
    </w:p>
    <w:p w14:paraId="41AF75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5</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乙方应在交货前3日内，以电话或传真向甲方提供交货计划（内容包括合同号、设备名称、型号规格、数量、重量和体积的约数、交货时间、地点、运输安排）。甲方应及时作好准备，办妥一切接货手续。</w:t>
      </w:r>
    </w:p>
    <w:p w14:paraId="788725D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6</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本合同所有物品运抵甲方现场后，乙方应在确保设备外包装完好无损的情况下向甲方交货，出现货物不全，外包装破损等情况，甲方不予接收，由乙方负责更换，其相关费用由乙方负担。</w:t>
      </w:r>
    </w:p>
    <w:p w14:paraId="4FA2A96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7</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乙方负责在约定期内将货物安全运抵指定地点，运输方式由乙方自行决定，相关费用由乙方承担。运输途中产生的交通事故、人身伤害、财产损失等责任均由乙方自行承担，与甲方无涉。</w:t>
      </w:r>
    </w:p>
    <w:p w14:paraId="7F804A7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七、安装与验收</w:t>
      </w:r>
    </w:p>
    <w:p w14:paraId="0E9FB27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bookmarkStart w:id="9" w:name="OLE_LINK5"/>
      <w:r>
        <w:rPr>
          <w:rFonts w:hint="eastAsia" w:ascii="宋体" w:hAnsi="宋体" w:eastAsia="宋体" w:cs="宋体"/>
          <w:color w:val="auto"/>
          <w:szCs w:val="20"/>
          <w:highlight w:val="none"/>
          <w:lang w:val="en-US" w:eastAsia="zh-CN" w:bidi="ar-SA"/>
        </w:rPr>
        <w:t>验收由甲方负责实施，甲乙双方验收人员在安装数量和合同价格清单上签字确认。</w:t>
      </w:r>
    </w:p>
    <w:p w14:paraId="7804CD3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DB94E7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3DD55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最终验收：货物经安装调试完成且符合技术要求后，甲方负责在</w:t>
      </w:r>
      <w:r>
        <w:rPr>
          <w:rFonts w:hint="eastAsia" w:ascii="宋体" w:hAnsi="宋体" w:eastAsia="宋体" w:cs="宋体"/>
          <w:color w:val="auto"/>
          <w:szCs w:val="20"/>
          <w:highlight w:val="none"/>
          <w:u w:val="single"/>
          <w:lang w:val="en-US" w:eastAsia="zh-CN" w:bidi="ar-SA"/>
        </w:rPr>
        <w:t>7</w:t>
      </w:r>
      <w:r>
        <w:rPr>
          <w:rFonts w:hint="eastAsia" w:ascii="宋体" w:hAnsi="宋体" w:eastAsia="宋体" w:cs="宋体"/>
          <w:color w:val="auto"/>
          <w:szCs w:val="20"/>
          <w:highlight w:val="none"/>
          <w:lang w:val="en-US" w:eastAsia="zh-CN" w:bidi="ar-SA"/>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9"/>
      <w:bookmarkStart w:id="10" w:name="_Hlk155181772"/>
    </w:p>
    <w:bookmarkEnd w:id="10"/>
    <w:p w14:paraId="1642393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八、质量保证与售后服务</w:t>
      </w:r>
    </w:p>
    <w:p w14:paraId="1C2B7C7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bookmarkStart w:id="11" w:name="OLE_LINK6"/>
      <w:r>
        <w:rPr>
          <w:rFonts w:hint="eastAsia" w:ascii="宋体" w:hAnsi="宋体" w:eastAsia="宋体" w:cs="宋体"/>
          <w:color w:val="auto"/>
          <w:szCs w:val="20"/>
          <w:highlight w:val="none"/>
          <w:lang w:val="en-US" w:eastAsia="zh-CN" w:bidi="ar-SA"/>
        </w:rPr>
        <w:t>乙方</w:t>
      </w:r>
      <w:bookmarkStart w:id="12" w:name="_Hlk154577956"/>
      <w:r>
        <w:rPr>
          <w:rFonts w:hint="eastAsia" w:ascii="宋体" w:hAnsi="宋体" w:eastAsia="宋体" w:cs="宋体"/>
          <w:color w:val="auto"/>
          <w:szCs w:val="20"/>
          <w:highlight w:val="none"/>
          <w:lang w:val="en-US" w:eastAsia="zh-CN" w:bidi="ar-SA"/>
        </w:rPr>
        <w:t>应按采购文件规定的货物性能、技术要求、质量标准向甲方提供</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年</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月后生产的，全新未经使用的，符合国家法律规定和技术规格、质量标准的出厂原装合格产品。</w:t>
      </w:r>
      <w:bookmarkEnd w:id="11"/>
      <w:bookmarkEnd w:id="12"/>
    </w:p>
    <w:p w14:paraId="3C06CC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售后服务</w:t>
      </w:r>
    </w:p>
    <w:p w14:paraId="03AE2F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2.1远程技术支持：乙方应具有稳定的技术支持队伍和完善的服务支持网络，提供</w:t>
      </w:r>
      <w:r>
        <w:rPr>
          <w:rFonts w:hint="eastAsia" w:ascii="宋体" w:hAnsi="宋体" w:eastAsia="宋体" w:cs="宋体"/>
          <w:color w:val="auto"/>
          <w:szCs w:val="20"/>
          <w:highlight w:val="none"/>
          <w:u w:val="single"/>
          <w:lang w:val="en-US" w:eastAsia="zh-CN" w:bidi="ar-SA"/>
        </w:rPr>
        <w:t xml:space="preserve"> 7×24小时 </w:t>
      </w:r>
      <w:r>
        <w:rPr>
          <w:rFonts w:hint="eastAsia" w:ascii="宋体" w:hAnsi="宋体" w:eastAsia="宋体" w:cs="宋体"/>
          <w:color w:val="auto"/>
          <w:szCs w:val="20"/>
          <w:highlight w:val="none"/>
          <w:lang w:val="en-US" w:eastAsia="zh-CN" w:bidi="ar-SA"/>
        </w:rPr>
        <w:t>技术支持服务，及时响应甲方的技术服务支持需求，提出有效的解决方案，解决甲方在货物使用过程中遇到的实际问题。</w:t>
      </w:r>
    </w:p>
    <w:p w14:paraId="5DBA3A7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2.2现场技术支持：对于通过电话、邮件等远程技术支持不能解决的问题，乙方应在</w:t>
      </w:r>
      <w:r>
        <w:rPr>
          <w:rFonts w:hint="eastAsia" w:ascii="宋体" w:hAnsi="宋体" w:eastAsia="宋体" w:cs="宋体"/>
          <w:color w:val="auto"/>
          <w:szCs w:val="20"/>
          <w:highlight w:val="none"/>
          <w:u w:val="single"/>
          <w:lang w:val="en-US" w:eastAsia="zh-CN" w:bidi="ar-SA"/>
        </w:rPr>
        <w:t xml:space="preserve"> 24 </w:t>
      </w:r>
      <w:r>
        <w:rPr>
          <w:rFonts w:hint="eastAsia" w:ascii="宋体" w:hAnsi="宋体" w:eastAsia="宋体" w:cs="宋体"/>
          <w:color w:val="auto"/>
          <w:szCs w:val="20"/>
          <w:highlight w:val="none"/>
          <w:lang w:val="en-US" w:eastAsia="zh-CN" w:bidi="ar-SA"/>
        </w:rPr>
        <w:t>小时内派遣相关人员赶赴现场，</w:t>
      </w:r>
      <w:r>
        <w:rPr>
          <w:rFonts w:hint="eastAsia" w:ascii="宋体" w:hAnsi="宋体" w:eastAsia="宋体" w:cs="宋体"/>
          <w:color w:val="auto"/>
          <w:szCs w:val="20"/>
          <w:highlight w:val="none"/>
          <w:u w:val="single"/>
          <w:lang w:val="en-US" w:eastAsia="zh-CN" w:bidi="ar-SA"/>
        </w:rPr>
        <w:t xml:space="preserve"> 4 </w:t>
      </w:r>
      <w:r>
        <w:rPr>
          <w:rFonts w:hint="eastAsia" w:ascii="宋体" w:hAnsi="宋体" w:eastAsia="宋体" w:cs="宋体"/>
          <w:color w:val="auto"/>
          <w:szCs w:val="20"/>
          <w:highlight w:val="none"/>
          <w:lang w:val="en-US" w:eastAsia="zh-CN" w:bidi="ar-SA"/>
        </w:rPr>
        <w:t>小时内维修完毕；发生紧急抢修事故的，乙方应在接到甲方通知后</w:t>
      </w:r>
      <w:r>
        <w:rPr>
          <w:rFonts w:hint="eastAsia" w:ascii="宋体" w:hAnsi="宋体" w:eastAsia="宋体" w:cs="宋体"/>
          <w:color w:val="auto"/>
          <w:szCs w:val="20"/>
          <w:highlight w:val="none"/>
          <w:u w:val="single"/>
          <w:lang w:val="en-US" w:eastAsia="zh-CN" w:bidi="ar-SA"/>
        </w:rPr>
        <w:t xml:space="preserve"> 12 </w:t>
      </w:r>
      <w:r>
        <w:rPr>
          <w:rFonts w:hint="eastAsia" w:ascii="宋体" w:hAnsi="宋体" w:eastAsia="宋体" w:cs="宋体"/>
          <w:color w:val="auto"/>
          <w:szCs w:val="20"/>
          <w:highlight w:val="none"/>
          <w:lang w:val="en-US" w:eastAsia="zh-CN" w:bidi="ar-SA"/>
        </w:rPr>
        <w:t>小时内到达现场抢修，并于到达现场</w:t>
      </w:r>
      <w:r>
        <w:rPr>
          <w:rFonts w:hint="eastAsia" w:ascii="宋体" w:hAnsi="宋体" w:eastAsia="宋体" w:cs="宋体"/>
          <w:color w:val="auto"/>
          <w:szCs w:val="20"/>
          <w:highlight w:val="none"/>
          <w:u w:val="single"/>
          <w:lang w:val="en-US" w:eastAsia="zh-CN" w:bidi="ar-SA"/>
        </w:rPr>
        <w:t xml:space="preserve"> 2 </w:t>
      </w:r>
      <w:r>
        <w:rPr>
          <w:rFonts w:hint="eastAsia" w:ascii="宋体" w:hAnsi="宋体" w:eastAsia="宋体" w:cs="宋体"/>
          <w:color w:val="auto"/>
          <w:szCs w:val="20"/>
          <w:highlight w:val="none"/>
          <w:lang w:val="en-US" w:eastAsia="zh-CN" w:bidi="ar-SA"/>
        </w:rPr>
        <w:t>小时之内排除故障。乙方未在约定时间内修复的或同一货物经</w:t>
      </w:r>
      <w:r>
        <w:rPr>
          <w:rFonts w:hint="eastAsia" w:ascii="宋体" w:hAnsi="宋体" w:eastAsia="宋体" w:cs="宋体"/>
          <w:color w:val="auto"/>
          <w:szCs w:val="20"/>
          <w:highlight w:val="none"/>
          <w:u w:val="single"/>
          <w:lang w:val="en-US" w:eastAsia="zh-CN" w:bidi="ar-SA"/>
        </w:rPr>
        <w:t xml:space="preserve"> 3 </w:t>
      </w:r>
      <w:r>
        <w:rPr>
          <w:rFonts w:hint="eastAsia" w:ascii="宋体" w:hAnsi="宋体" w:eastAsia="宋体" w:cs="宋体"/>
          <w:color w:val="auto"/>
          <w:szCs w:val="20"/>
          <w:highlight w:val="none"/>
          <w:lang w:val="en-US" w:eastAsia="zh-CN" w:bidi="ar-SA"/>
        </w:rPr>
        <w:t>次维修后仍不能稳定、可靠运行的，甲方有权要求乙方免费更换。</w:t>
      </w:r>
    </w:p>
    <w:p w14:paraId="0C31941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九、保密条款</w:t>
      </w:r>
    </w:p>
    <w:p w14:paraId="4C40485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EA0D78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十、违约责任</w:t>
      </w:r>
    </w:p>
    <w:p w14:paraId="23BD657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甲方无故逾期验收和办理货款支付手续的，每逾期一日，应按逾期付款总额</w:t>
      </w:r>
      <w:r>
        <w:rPr>
          <w:rFonts w:hint="eastAsia" w:ascii="宋体" w:hAnsi="宋体" w:eastAsia="宋体" w:cs="宋体"/>
          <w:color w:val="auto"/>
          <w:szCs w:val="20"/>
          <w:highlight w:val="none"/>
          <w:u w:val="single"/>
          <w:lang w:val="en-US" w:eastAsia="zh-CN" w:bidi="ar-SA"/>
        </w:rPr>
        <w:t>0.3‰</w:t>
      </w:r>
      <w:r>
        <w:rPr>
          <w:rFonts w:hint="eastAsia" w:ascii="宋体" w:hAnsi="宋体" w:eastAsia="宋体" w:cs="宋体"/>
          <w:color w:val="auto"/>
          <w:szCs w:val="20"/>
          <w:highlight w:val="none"/>
          <w:lang w:val="en-US" w:eastAsia="zh-CN" w:bidi="ar-SA"/>
        </w:rPr>
        <w:t>向乙方支付违约金。</w:t>
      </w:r>
    </w:p>
    <w:p w14:paraId="32A302E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乙方逾期交货完工的，每逾期一日，应按合同总价</w:t>
      </w:r>
      <w:r>
        <w:rPr>
          <w:rFonts w:hint="eastAsia" w:ascii="宋体" w:hAnsi="宋体" w:eastAsia="宋体" w:cs="宋体"/>
          <w:color w:val="auto"/>
          <w:szCs w:val="20"/>
          <w:highlight w:val="none"/>
          <w:u w:val="single"/>
          <w:lang w:val="en-US" w:eastAsia="zh-CN" w:bidi="ar-SA"/>
        </w:rPr>
        <w:t>0.3‰</w:t>
      </w:r>
      <w:r>
        <w:rPr>
          <w:rFonts w:hint="eastAsia" w:ascii="宋体" w:hAnsi="宋体" w:eastAsia="宋体" w:cs="宋体"/>
          <w:color w:val="auto"/>
          <w:szCs w:val="20"/>
          <w:highlight w:val="none"/>
          <w:lang w:val="en-US" w:eastAsia="zh-CN" w:bidi="ar-SA"/>
        </w:rPr>
        <w:t>向甲方支付违约金。逾期超过约定日期</w:t>
      </w:r>
      <w:r>
        <w:rPr>
          <w:rFonts w:hint="eastAsia" w:ascii="宋体" w:hAnsi="宋体" w:eastAsia="宋体" w:cs="宋体"/>
          <w:color w:val="auto"/>
          <w:szCs w:val="20"/>
          <w:highlight w:val="none"/>
          <w:u w:val="single"/>
          <w:lang w:val="en-US" w:eastAsia="zh-CN" w:bidi="ar-SA"/>
        </w:rPr>
        <w:t xml:space="preserve"> 10 </w:t>
      </w:r>
      <w:r>
        <w:rPr>
          <w:rFonts w:hint="eastAsia" w:ascii="宋体" w:hAnsi="宋体" w:eastAsia="宋体" w:cs="宋体"/>
          <w:color w:val="auto"/>
          <w:szCs w:val="20"/>
          <w:highlight w:val="none"/>
          <w:lang w:val="en-US" w:eastAsia="zh-CN" w:bidi="ar-SA"/>
        </w:rPr>
        <w:t>个工作日不能交货完工的，甲方有权解除本合同，并要求乙方支付合同总价</w:t>
      </w:r>
      <w:r>
        <w:rPr>
          <w:rFonts w:hint="eastAsia" w:ascii="宋体" w:hAnsi="宋体" w:eastAsia="宋体" w:cs="宋体"/>
          <w:color w:val="auto"/>
          <w:szCs w:val="20"/>
          <w:highlight w:val="none"/>
          <w:u w:val="single"/>
          <w:lang w:val="en-US" w:eastAsia="zh-CN" w:bidi="ar-SA"/>
        </w:rPr>
        <w:t xml:space="preserve"> 5 %</w:t>
      </w:r>
      <w:r>
        <w:rPr>
          <w:rFonts w:hint="eastAsia" w:ascii="宋体" w:hAnsi="宋体" w:eastAsia="宋体" w:cs="宋体"/>
          <w:color w:val="auto"/>
          <w:szCs w:val="20"/>
          <w:highlight w:val="none"/>
          <w:lang w:val="en-US" w:eastAsia="zh-CN" w:bidi="ar-SA"/>
        </w:rPr>
        <w:t>的违约金，违约金不足以弥补甲方损失的，乙方还应负责赔偿。</w:t>
      </w:r>
    </w:p>
    <w:p w14:paraId="38FD279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szCs w:val="20"/>
          <w:highlight w:val="none"/>
          <w:u w:val="single"/>
          <w:lang w:val="en-US" w:eastAsia="zh-CN" w:bidi="ar-SA"/>
        </w:rPr>
        <w:t xml:space="preserve"> 5 %</w:t>
      </w:r>
      <w:r>
        <w:rPr>
          <w:rFonts w:hint="eastAsia" w:ascii="宋体" w:hAnsi="宋体" w:eastAsia="宋体" w:cs="宋体"/>
          <w:color w:val="auto"/>
          <w:szCs w:val="20"/>
          <w:highlight w:val="none"/>
          <w:lang w:val="en-US" w:eastAsia="zh-CN" w:bidi="ar-SA"/>
        </w:rPr>
        <w:t>的违约金，违约金不足以弥补甲方损失的，乙方还应负责赔偿。</w:t>
      </w:r>
    </w:p>
    <w:p w14:paraId="30A190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乙方未能按约定要求履行保修义务的，</w:t>
      </w:r>
      <w:bookmarkStart w:id="13" w:name="_Hlk154755811"/>
      <w:r>
        <w:rPr>
          <w:rFonts w:hint="eastAsia" w:ascii="宋体" w:hAnsi="宋体" w:eastAsia="宋体" w:cs="宋体"/>
          <w:color w:val="auto"/>
          <w:szCs w:val="20"/>
          <w:highlight w:val="none"/>
          <w:lang w:val="en-US" w:eastAsia="zh-CN" w:bidi="ar-SA"/>
        </w:rPr>
        <w:t>每发生一次应向甲方支付</w:t>
      </w:r>
      <w:r>
        <w:rPr>
          <w:rFonts w:hint="eastAsia" w:ascii="宋体" w:hAnsi="宋体" w:eastAsia="宋体" w:cs="宋体"/>
          <w:color w:val="auto"/>
          <w:szCs w:val="20"/>
          <w:highlight w:val="none"/>
          <w:u w:val="single"/>
          <w:lang w:val="en-US" w:eastAsia="zh-CN" w:bidi="ar-SA"/>
        </w:rPr>
        <w:t xml:space="preserve">  2000   </w:t>
      </w:r>
      <w:r>
        <w:rPr>
          <w:rFonts w:hint="eastAsia" w:ascii="宋体" w:hAnsi="宋体" w:eastAsia="宋体" w:cs="宋体"/>
          <w:color w:val="auto"/>
          <w:szCs w:val="20"/>
          <w:highlight w:val="none"/>
          <w:lang w:val="en-US" w:eastAsia="zh-CN" w:bidi="ar-SA"/>
        </w:rPr>
        <w:t>元的违约金，同时，甲方有权委托第三方进行保修，所产生的费用由乙方承担。</w:t>
      </w:r>
      <w:bookmarkEnd w:id="13"/>
      <w:r>
        <w:rPr>
          <w:rFonts w:hint="eastAsia" w:ascii="宋体" w:hAnsi="宋体" w:eastAsia="宋体" w:cs="宋体"/>
          <w:color w:val="auto"/>
          <w:szCs w:val="20"/>
          <w:highlight w:val="none"/>
          <w:lang w:val="en-US" w:eastAsia="zh-CN" w:bidi="ar-SA"/>
        </w:rPr>
        <w:t>若因货物缺陷或乙方服务质量等问题造成甲方或任何人员人身、财产损害的，乙方应承担有关责任并作出相应赔偿。</w:t>
      </w:r>
    </w:p>
    <w:p w14:paraId="59BF84E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5</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 xml:space="preserve">因乙方其他违约行为导致甲方解除合同的，乙方应向甲方支付合同总价 </w:t>
      </w:r>
      <w:r>
        <w:rPr>
          <w:rFonts w:hint="eastAsia" w:ascii="宋体" w:hAnsi="宋体" w:eastAsia="宋体" w:cs="宋体"/>
          <w:color w:val="auto"/>
          <w:szCs w:val="20"/>
          <w:highlight w:val="none"/>
          <w:u w:val="single"/>
          <w:lang w:val="en-US" w:eastAsia="zh-CN" w:bidi="ar-SA"/>
        </w:rPr>
        <w:t>5 %</w:t>
      </w:r>
      <w:r>
        <w:rPr>
          <w:rFonts w:hint="eastAsia" w:ascii="宋体" w:hAnsi="宋体" w:eastAsia="宋体" w:cs="宋体"/>
          <w:color w:val="auto"/>
          <w:szCs w:val="20"/>
          <w:highlight w:val="none"/>
          <w:lang w:val="en-US" w:eastAsia="zh-CN" w:bidi="ar-SA"/>
        </w:rPr>
        <w:t>的违约金，违约金不足以弥补甲方损失的，乙方还应负责赔偿。</w:t>
      </w:r>
    </w:p>
    <w:p w14:paraId="7D660E6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十一、不可抗力</w:t>
      </w:r>
    </w:p>
    <w:p w14:paraId="30000F5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在合同有效期内，任何一方因不可抗力事件导致不能履行合同，则合同履行期可延长，其延长期与不可抗力影响期相同。</w:t>
      </w:r>
    </w:p>
    <w:p w14:paraId="1467D5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不可抗力事件发生后，受不可抗力事件影响的一方应在事件发生后3日内通知对方，并寄送有关权威机构出具的证明。同时应立即尽一切合理努力采取措施，消除影响，减少损失。</w:t>
      </w:r>
    </w:p>
    <w:p w14:paraId="6645AE8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不可抗力事件延续30天以上，双方应通过友好协商，确定是否继续履行合同。</w:t>
      </w:r>
    </w:p>
    <w:p w14:paraId="44C470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本条所述的“不可抗力”依法律规定。</w:t>
      </w:r>
    </w:p>
    <w:p w14:paraId="4105405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十二、法律适用与争议解决</w:t>
      </w:r>
    </w:p>
    <w:p w14:paraId="674A4C1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本合同的订立、解释、履行及争议解决，均适用中华人民共和国法律。</w:t>
      </w:r>
    </w:p>
    <w:p w14:paraId="0AA391F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本合同履行过程中发生争议的，甲乙双方应友好协商；协商不成的，任何一方可向甲方所在地人民法院起诉。</w:t>
      </w:r>
    </w:p>
    <w:p w14:paraId="3E88F61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十三、合同生效及其他</w:t>
      </w:r>
    </w:p>
    <w:p w14:paraId="188870A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本合同经甲、乙双方代表签字并加盖单位公章或合同专用章后生效，甲方的单位公章盖采购中心合同专用章。</w:t>
      </w:r>
    </w:p>
    <w:p w14:paraId="2606650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8A2188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本次采购过程中形成的招标（非招标）文件、投标（响应）文件、澄清承诺、补充协议、附件等</w:t>
      </w:r>
      <w:r>
        <w:rPr>
          <w:rFonts w:hint="eastAsia" w:ascii="宋体" w:hAnsi="宋体" w:eastAsia="宋体" w:cs="宋体"/>
          <w:color w:val="auto"/>
          <w:szCs w:val="20"/>
          <w:highlight w:val="none"/>
          <w:lang w:val="zh-CN" w:eastAsia="zh-CN" w:bidi="ar-SA"/>
        </w:rPr>
        <w:t>为本合同的组成部分，并构成一个整体，需综合解释、相互补充。如果</w:t>
      </w:r>
      <w:r>
        <w:rPr>
          <w:rFonts w:hint="eastAsia" w:ascii="宋体" w:hAnsi="宋体" w:eastAsia="宋体" w:cs="宋体"/>
          <w:color w:val="auto"/>
          <w:szCs w:val="20"/>
          <w:highlight w:val="none"/>
          <w:lang w:val="en-US" w:eastAsia="zh-CN" w:bidi="ar-SA"/>
        </w:rPr>
        <w:t>上述</w:t>
      </w:r>
      <w:r>
        <w:rPr>
          <w:rFonts w:hint="eastAsia" w:ascii="宋体" w:hAnsi="宋体" w:eastAsia="宋体" w:cs="宋体"/>
          <w:color w:val="auto"/>
          <w:szCs w:val="20"/>
          <w:highlight w:val="none"/>
          <w:lang w:val="zh-CN" w:eastAsia="zh-CN" w:bidi="ar-SA"/>
        </w:rPr>
        <w:t>文件内容出现不一致的情形，那么在保证按照采购文件确定的事项的前提下，组成本合同的多个文件的优先适用顺序如下：</w:t>
      </w:r>
    </w:p>
    <w:p w14:paraId="66DB2E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（1）本合同及其补充合同、变更协议；</w:t>
      </w:r>
    </w:p>
    <w:p w14:paraId="7C9F41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（2）中标（成交）通知书；</w:t>
      </w:r>
    </w:p>
    <w:p w14:paraId="6AA52F6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zh-CN" w:eastAsia="zh-CN" w:bidi="ar-SA"/>
        </w:rPr>
      </w:pPr>
      <w:r>
        <w:rPr>
          <w:rFonts w:hint="eastAsia" w:ascii="宋体" w:hAnsi="宋体" w:eastAsia="宋体" w:cs="宋体"/>
          <w:color w:val="auto"/>
          <w:szCs w:val="20"/>
          <w:highlight w:val="none"/>
          <w:lang w:val="en-US" w:eastAsia="zh-CN" w:bidi="ar-SA"/>
        </w:rPr>
        <w:t>（3）投标（</w:t>
      </w:r>
      <w:r>
        <w:rPr>
          <w:rFonts w:hint="eastAsia" w:ascii="宋体" w:hAnsi="宋体" w:eastAsia="宋体" w:cs="宋体"/>
          <w:color w:val="auto"/>
          <w:szCs w:val="20"/>
          <w:highlight w:val="none"/>
          <w:lang w:val="zh-CN" w:eastAsia="zh-CN" w:bidi="ar-SA"/>
        </w:rPr>
        <w:t>响应）文件（含澄清或者说明文件）；</w:t>
      </w:r>
    </w:p>
    <w:p w14:paraId="62BD5FB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zh-CN" w:eastAsia="zh-CN" w:bidi="ar-SA"/>
        </w:rPr>
      </w:pPr>
      <w:r>
        <w:rPr>
          <w:rFonts w:hint="eastAsia" w:ascii="宋体" w:hAnsi="宋体" w:eastAsia="宋体" w:cs="宋体"/>
          <w:color w:val="auto"/>
          <w:szCs w:val="20"/>
          <w:highlight w:val="none"/>
          <w:lang w:val="en-US" w:eastAsia="zh-CN" w:bidi="ar-SA"/>
        </w:rPr>
        <w:t>（4）招标（非招标）</w:t>
      </w:r>
      <w:r>
        <w:rPr>
          <w:rFonts w:hint="eastAsia" w:ascii="宋体" w:hAnsi="宋体" w:eastAsia="宋体" w:cs="宋体"/>
          <w:color w:val="auto"/>
          <w:szCs w:val="20"/>
          <w:highlight w:val="none"/>
          <w:lang w:val="zh-CN" w:eastAsia="zh-CN" w:bidi="ar-SA"/>
        </w:rPr>
        <w:t>文件（含澄清或者修改文件）；</w:t>
      </w:r>
    </w:p>
    <w:p w14:paraId="67207C2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14:paraId="37856F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本合同未尽事宜，遵照《中华人民共和国民法典》有关条文执行。</w:t>
      </w:r>
    </w:p>
    <w:p w14:paraId="0E2C58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pacing w:val="-6"/>
          <w:szCs w:val="20"/>
          <w:highlight w:val="none"/>
          <w:lang w:val="en-US" w:eastAsia="zh-CN" w:bidi="ar-SA"/>
        </w:rPr>
        <w:t>5.</w:t>
      </w:r>
      <w:r>
        <w:rPr>
          <w:rFonts w:hint="eastAsia" w:ascii="宋体" w:hAnsi="宋体" w:eastAsia="宋体" w:cs="宋体"/>
          <w:color w:val="auto"/>
          <w:szCs w:val="20"/>
          <w:highlight w:val="none"/>
          <w:lang w:val="en-US" w:eastAsia="zh-CN" w:bidi="ar-SA"/>
        </w:rPr>
        <w:t xml:space="preserve"> 本合同一式伍份，甲方执叁份，乙方和鉴证方各执壹份，具有同等法律效力。</w:t>
      </w:r>
    </w:p>
    <w:p w14:paraId="7B24739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p>
    <w:p w14:paraId="5D32AEB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合同附件： （附件名称</w:t>
      </w:r>
      <w:r>
        <w:rPr>
          <w:rFonts w:hint="eastAsia" w:ascii="宋体" w:hAnsi="宋体" w:eastAsia="宋体" w:cs="宋体"/>
          <w:color w:val="auto"/>
          <w:kern w:val="2"/>
          <w:sz w:val="21"/>
          <w:highlight w:val="none"/>
          <w:u w:val="single"/>
          <w:lang w:val="en-US" w:eastAsia="zh-CN" w:bidi="ar-SA"/>
        </w:rPr>
        <w:t xml:space="preserve">                        ）</w:t>
      </w:r>
      <w:r>
        <w:rPr>
          <w:rFonts w:hint="eastAsia" w:ascii="宋体" w:hAnsi="宋体" w:eastAsia="宋体" w:cs="宋体"/>
          <w:color w:val="auto"/>
          <w:kern w:val="2"/>
          <w:sz w:val="21"/>
          <w:highlight w:val="none"/>
          <w:lang w:val="en-US" w:eastAsia="zh-CN" w:bidi="ar-SA"/>
        </w:rPr>
        <w:t>（如有）</w:t>
      </w:r>
    </w:p>
    <w:p w14:paraId="16B49E0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p>
    <w:tbl>
      <w:tblPr>
        <w:tblStyle w:val="6"/>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13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7A33D63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甲方：杭州电子科技大学（公章）</w:t>
            </w:r>
          </w:p>
        </w:tc>
        <w:tc>
          <w:tcPr>
            <w:tcW w:w="4176" w:type="dxa"/>
            <w:tcBorders>
              <w:tl2br w:val="nil"/>
              <w:tr2bl w:val="nil"/>
            </w:tcBorders>
            <w:vAlign w:val="center"/>
          </w:tcPr>
          <w:p w14:paraId="769D26D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乙方：（公章）</w:t>
            </w:r>
          </w:p>
        </w:tc>
      </w:tr>
      <w:tr w14:paraId="12B1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592141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法定（授权）代表人：</w:t>
            </w:r>
          </w:p>
          <w:p w14:paraId="3087584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w:t>
            </w:r>
          </w:p>
        </w:tc>
        <w:tc>
          <w:tcPr>
            <w:tcW w:w="4176" w:type="dxa"/>
            <w:tcBorders>
              <w:tl2br w:val="nil"/>
              <w:tr2bl w:val="nil"/>
            </w:tcBorders>
            <w:vAlign w:val="center"/>
          </w:tcPr>
          <w:p w14:paraId="106B223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法定（授权）代表人：</w:t>
            </w:r>
          </w:p>
          <w:p w14:paraId="19AE7AF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w:t>
            </w:r>
          </w:p>
        </w:tc>
      </w:tr>
      <w:tr w14:paraId="2E85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BC283C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地址：杭州下沙高教园区二号大街1158号</w:t>
            </w:r>
          </w:p>
        </w:tc>
        <w:tc>
          <w:tcPr>
            <w:tcW w:w="4176" w:type="dxa"/>
            <w:tcBorders>
              <w:tl2br w:val="nil"/>
              <w:tr2bl w:val="nil"/>
            </w:tcBorders>
            <w:vAlign w:val="center"/>
          </w:tcPr>
          <w:p w14:paraId="6B4E7F9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地址：</w:t>
            </w:r>
            <w:r>
              <w:rPr>
                <w:rFonts w:hint="eastAsia" w:ascii="宋体" w:hAnsi="宋体" w:eastAsia="宋体" w:cs="宋体"/>
                <w:color w:val="auto"/>
                <w:spacing w:val="-6"/>
                <w:szCs w:val="21"/>
                <w:highlight w:val="none"/>
                <w:lang w:val="en-US" w:eastAsia="zh-CN" w:bidi="ar-SA"/>
              </w:rPr>
              <w:tab/>
            </w:r>
            <w:r>
              <w:rPr>
                <w:rFonts w:hint="eastAsia" w:ascii="宋体" w:hAnsi="宋体" w:eastAsia="宋体" w:cs="宋体"/>
                <w:color w:val="auto"/>
                <w:spacing w:val="-6"/>
                <w:szCs w:val="21"/>
                <w:highlight w:val="none"/>
                <w:lang w:val="en-US" w:eastAsia="zh-CN" w:bidi="ar-SA"/>
              </w:rPr>
              <w:tab/>
            </w:r>
          </w:p>
        </w:tc>
      </w:tr>
      <w:tr w14:paraId="059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26D51D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 xml:space="preserve">电话： </w:t>
            </w:r>
          </w:p>
        </w:tc>
        <w:tc>
          <w:tcPr>
            <w:tcW w:w="4176" w:type="dxa"/>
            <w:tcBorders>
              <w:tl2br w:val="nil"/>
              <w:tr2bl w:val="nil"/>
            </w:tcBorders>
            <w:vAlign w:val="center"/>
          </w:tcPr>
          <w:p w14:paraId="3BED60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电话：</w:t>
            </w:r>
            <w:r>
              <w:rPr>
                <w:rFonts w:hint="eastAsia" w:ascii="宋体" w:hAnsi="宋体" w:eastAsia="宋体" w:cs="宋体"/>
                <w:color w:val="auto"/>
                <w:spacing w:val="-6"/>
                <w:szCs w:val="21"/>
                <w:highlight w:val="none"/>
                <w:lang w:val="en-US" w:eastAsia="zh-CN" w:bidi="ar-SA"/>
              </w:rPr>
              <w:tab/>
            </w:r>
          </w:p>
        </w:tc>
      </w:tr>
      <w:tr w14:paraId="19B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E298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 xml:space="preserve">开户银行：工行高新支行 </w:t>
            </w:r>
          </w:p>
        </w:tc>
        <w:tc>
          <w:tcPr>
            <w:tcW w:w="4176" w:type="dxa"/>
            <w:tcBorders>
              <w:tl2br w:val="nil"/>
              <w:tr2bl w:val="nil"/>
            </w:tcBorders>
            <w:vAlign w:val="center"/>
          </w:tcPr>
          <w:p w14:paraId="164764F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开户银行：</w:t>
            </w:r>
            <w:r>
              <w:rPr>
                <w:rFonts w:hint="eastAsia" w:ascii="宋体" w:hAnsi="宋体" w:eastAsia="宋体" w:cs="宋体"/>
                <w:color w:val="auto"/>
                <w:spacing w:val="-6"/>
                <w:szCs w:val="21"/>
                <w:highlight w:val="none"/>
                <w:lang w:val="en-US" w:eastAsia="zh-CN" w:bidi="ar-SA"/>
              </w:rPr>
              <w:tab/>
            </w:r>
          </w:p>
        </w:tc>
      </w:tr>
      <w:tr w14:paraId="12E6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09F0E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帐号：1202026209008806216</w:t>
            </w:r>
          </w:p>
        </w:tc>
        <w:tc>
          <w:tcPr>
            <w:tcW w:w="4176" w:type="dxa"/>
            <w:tcBorders>
              <w:tl2br w:val="nil"/>
              <w:tr2bl w:val="nil"/>
            </w:tcBorders>
            <w:vAlign w:val="center"/>
          </w:tcPr>
          <w:p w14:paraId="1FCF88B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帐号：</w:t>
            </w:r>
          </w:p>
        </w:tc>
      </w:tr>
      <w:tr w14:paraId="4FBE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074F10D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签字日期：      年    月    日</w:t>
            </w:r>
          </w:p>
        </w:tc>
        <w:tc>
          <w:tcPr>
            <w:tcW w:w="4176" w:type="dxa"/>
            <w:tcBorders>
              <w:tl2br w:val="nil"/>
              <w:tr2bl w:val="nil"/>
            </w:tcBorders>
            <w:vAlign w:val="center"/>
          </w:tcPr>
          <w:p w14:paraId="6020677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签字日期：      年    月    日</w:t>
            </w:r>
          </w:p>
        </w:tc>
      </w:tr>
      <w:tr w14:paraId="76D9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391503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合同鉴证方（公章）：</w:t>
            </w:r>
          </w:p>
          <w:p w14:paraId="243E68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代表人：</w:t>
            </w:r>
          </w:p>
          <w:p w14:paraId="174302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w:t>
            </w:r>
          </w:p>
          <w:p w14:paraId="5A7C22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地址：</w:t>
            </w:r>
          </w:p>
          <w:p w14:paraId="627807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电话：</w:t>
            </w:r>
          </w:p>
          <w:p w14:paraId="505A9E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签字日期：      年    月    日</w:t>
            </w:r>
          </w:p>
        </w:tc>
      </w:tr>
    </w:tbl>
    <w:p w14:paraId="5273206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投标文件格式</w:t>
      </w:r>
    </w:p>
    <w:p w14:paraId="3F82928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5FAE98D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投标文件组成</w:t>
      </w:r>
    </w:p>
    <w:p w14:paraId="707C6F6F">
      <w:pPr>
        <w:keepNext w:val="0"/>
        <w:keepLines w:val="0"/>
        <w:widowControl/>
        <w:suppressLineNumbers w:val="0"/>
        <w:spacing w:line="288" w:lineRule="auto"/>
        <w:ind w:left="0" w:firstLine="0"/>
        <w:jc w:val="left"/>
        <w:rPr>
          <w:rFonts w:hint="eastAsia" w:ascii="宋体" w:hAnsi="宋体" w:eastAsia="宋体" w:cs="宋体"/>
          <w:b/>
          <w:bCs/>
          <w:color w:val="auto"/>
          <w:kern w:val="0"/>
          <w:sz w:val="21"/>
          <w:szCs w:val="21"/>
          <w:highlight w:val="none"/>
          <w:lang w:val="en-US" w:eastAsia="zh-CN" w:bidi="ar"/>
        </w:rPr>
      </w:pPr>
    </w:p>
    <w:p w14:paraId="4A8C6D2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评分索引表</w:t>
      </w:r>
    </w:p>
    <w:p w14:paraId="5154D33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78B557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131A2DCE">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（一）符合参加政府采购活动应当具备的一般条件的承诺函</w:t>
      </w:r>
    </w:p>
    <w:p w14:paraId="630EAF1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0D0D3C6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（三）落实政府采购政策需满足的资格要求：</w:t>
      </w:r>
      <w:r>
        <w:rPr>
          <w:rFonts w:hint="eastAsia" w:ascii="宋体" w:hAnsi="宋体" w:cs="宋体"/>
          <w:color w:val="auto"/>
          <w:kern w:val="0"/>
          <w:sz w:val="21"/>
          <w:szCs w:val="21"/>
          <w:highlight w:val="none"/>
          <w:lang w:val="en-US" w:eastAsia="zh-CN" w:bidi="ar"/>
        </w:rPr>
        <w:t>无</w:t>
      </w:r>
    </w:p>
    <w:p w14:paraId="21E97E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（四）本项目的特定资格要求：根据投标邀请“申请人的资格要求”提供。</w:t>
      </w:r>
    </w:p>
    <w:p w14:paraId="66C70F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（如有）联合协议</w:t>
      </w:r>
    </w:p>
    <w:p w14:paraId="5AEBB23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060569A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（一）投标函</w:t>
      </w:r>
    </w:p>
    <w:p w14:paraId="76DD513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（如有）分包意向协议</w:t>
      </w:r>
    </w:p>
    <w:p w14:paraId="789ECA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3C4F860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（三）投标标的清单</w:t>
      </w:r>
    </w:p>
    <w:p w14:paraId="6BA3D8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（四）投标偏离表</w:t>
      </w:r>
    </w:p>
    <w:p w14:paraId="58E58C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（五）评标标准相应的商务和技术资料</w:t>
      </w:r>
    </w:p>
    <w:p w14:paraId="792C08E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7B5EF82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（一）开标一览表</w:t>
      </w:r>
    </w:p>
    <w:p w14:paraId="436D2305">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（如有）《中小企业声明函》</w:t>
      </w:r>
    </w:p>
    <w:p w14:paraId="68795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（如有）关于符合本国产品标准的声明函</w:t>
      </w:r>
    </w:p>
    <w:p w14:paraId="377463D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投标文件格式</w:t>
      </w:r>
    </w:p>
    <w:p w14:paraId="75FE1349">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56480DDD">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23F5901E">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88570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1、供应商应按照招标文件规定</w:t>
      </w:r>
      <w:r>
        <w:rPr>
          <w:rFonts w:hint="eastAsia" w:ascii="宋体" w:hAnsi="宋体" w:eastAsia="宋体" w:cs="宋体"/>
          <w:color w:val="auto"/>
          <w:kern w:val="0"/>
          <w:sz w:val="21"/>
          <w:szCs w:val="21"/>
          <w:highlight w:val="none"/>
          <w:lang w:val="en-US" w:eastAsia="zh-CN" w:bidi="ar"/>
        </w:rPr>
        <w:t>的编制要求编制投标文件；</w:t>
      </w:r>
    </w:p>
    <w:p w14:paraId="27E9411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2、投标文件编制应与响应情况、评标标准相对应，提供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733383E8">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4881667B">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5915A19">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bl>
    <w:p w14:paraId="0104A4D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备注：本表仅为方便评标使用，不作为判别投标文件是否有效的依据。</w:t>
      </w:r>
    </w:p>
    <w:p w14:paraId="569AEE2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351D70D9">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6C9064A3">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0D02B91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（一）符合参加政府采购活动应当具备的一般条件的承诺函</w:t>
      </w:r>
    </w:p>
    <w:p w14:paraId="01BB6F86">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0A3262D1">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3C6DFFE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政府采购活动，郑重承诺：</w:t>
      </w:r>
    </w:p>
    <w:p w14:paraId="47379DB2">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（一）具备《中华人民共和国政府采购法》第二十二条第一款规定的条件：</w:t>
      </w:r>
    </w:p>
    <w:p w14:paraId="4B97B395">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6C26A90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6A6408D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22B9A53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6F17E44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5、参加政府采购活动前三年内，在经营活动中没有重大违法记录；</w:t>
      </w:r>
    </w:p>
    <w:p w14:paraId="19E7212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0EABADD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1DCAAB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1B1959B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1、单位负责人为同一人或者存在直接控股、管理关系的不同供应商参加同一合同项下的政府采购活动的；</w:t>
      </w:r>
    </w:p>
    <w:p w14:paraId="4DCD20D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p>
    <w:p w14:paraId="4E3A886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3、政府购买服务的项目，公益一类事业单位、使用事业编制且由财政拨款保障的群团组织不得作为承接主体。</w:t>
      </w:r>
    </w:p>
    <w:p w14:paraId="4E2F24E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7C10888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          （▲联合体投标的，为联合体成员各方）</w:t>
      </w:r>
    </w:p>
    <w:p w14:paraId="0B4B40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66374A0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7BD034D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7D0273C9">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p>
    <w:p w14:paraId="1CE9131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（▲联合体投标的，联合体成员各方均需提供）</w:t>
      </w:r>
    </w:p>
    <w:p w14:paraId="18AA457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D85A15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4FCF955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141BC8C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2BAE3D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7A4C2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342F1E2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48314A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347673F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（三）落实政府采购政策需满足的资格要求：根据投标邀请“申请人的资格要求”提供。如：《中小企业声明函》（附件1）、《联合协议》（附件4）、《分包意向协议》（附件5）等。</w:t>
      </w:r>
    </w:p>
    <w:p w14:paraId="576C9BF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C5DAB7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r>
        <w:rPr>
          <w:rFonts w:hint="eastAsia" w:ascii="宋体" w:hAnsi="宋体" w:eastAsia="宋体" w:cs="宋体"/>
          <w:b/>
          <w:bCs/>
          <w:i w:val="0"/>
          <w:iCs w:val="0"/>
          <w:color w:val="auto"/>
          <w:kern w:val="0"/>
          <w:sz w:val="21"/>
          <w:szCs w:val="21"/>
          <w:highlight w:val="none"/>
          <w:lang w:val="en-US" w:eastAsia="zh-CN" w:bidi="ar"/>
        </w:rPr>
        <w:t>四</w:t>
      </w:r>
      <w:r>
        <w:rPr>
          <w:rFonts w:hint="eastAsia" w:ascii="宋体" w:hAnsi="宋体" w:eastAsia="宋体" w:cs="宋体"/>
          <w:b/>
          <w:bCs/>
          <w:color w:val="auto"/>
          <w:kern w:val="0"/>
          <w:sz w:val="21"/>
          <w:szCs w:val="21"/>
          <w:highlight w:val="none"/>
          <w:lang w:val="en-US" w:eastAsia="zh-CN" w:bidi="ar"/>
        </w:rPr>
        <w:t>）本项目的特定资格要求</w:t>
      </w:r>
    </w:p>
    <w:p w14:paraId="1DDA0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根据投标邀请“申请人的资格要求”提供。</w:t>
      </w:r>
    </w:p>
    <w:p w14:paraId="47AF894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6C7B5A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（如有）联合协议。仅适用于：供应商以“联合体”形式投标（响应）的情形。《联合协议》（附件4）</w:t>
      </w:r>
    </w:p>
    <w:p w14:paraId="6285C8C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A9B67E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A28AB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（一）投标函</w:t>
      </w:r>
    </w:p>
    <w:p w14:paraId="4597BDC5">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7BD7398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1535B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采购的有关活动，并对此项目进行投标。为此：</w:t>
      </w:r>
    </w:p>
    <w:p w14:paraId="7AC67E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（一）我方的投标文件包括资格文件、商务和技术文件、报价文件。</w:t>
      </w:r>
    </w:p>
    <w:p w14:paraId="715050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（二）我方承诺投标有效期从投标截止日起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天（不少于90天），本投标文件在投标有效期满之前均具有约束力。</w:t>
      </w:r>
    </w:p>
    <w:p w14:paraId="6897D92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（三）我方承诺除投标偏离表列出的偏离外，我方响应招标文件的全部要求。对投标文件中材料的真实性、合法性负责。</w:t>
      </w:r>
    </w:p>
    <w:p w14:paraId="18F6EA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（四）如我方中标，我方承诺：</w:t>
      </w:r>
    </w:p>
    <w:p w14:paraId="618A23A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1、在收到中标通知书后，在中标通知书规定的期限内与你方签订合同；</w:t>
      </w:r>
    </w:p>
    <w:p w14:paraId="261E03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D5DB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3、按照招标文件要求交纳采购代理服务费等应付费用；</w:t>
      </w:r>
    </w:p>
    <w:p w14:paraId="639E91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4、按照招标文件要求提交履约保证金；</w:t>
      </w:r>
    </w:p>
    <w:p w14:paraId="51176C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0A90044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投诉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w:t>
      </w:r>
      <w:r>
        <w:rPr>
          <w:rFonts w:hint="eastAsia" w:ascii="宋体" w:hAnsi="宋体" w:cs="宋体"/>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w:t>
      </w:r>
    </w:p>
    <w:p w14:paraId="74A5C15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481B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47FE5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ACFEB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A9AE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0F259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D1150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BD528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66AB38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0763AE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2126E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bl>
    <w:p w14:paraId="7C3E01D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235DC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50D6938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144EB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05011A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0D2FCF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174D746">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（如有）分包意向协议。</w:t>
      </w:r>
    </w:p>
    <w:p w14:paraId="797C0749">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p>
    <w:p w14:paraId="63079AFC">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注：</w:t>
      </w:r>
    </w:p>
    <w:p w14:paraId="6FD5000E">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1.仅适用于：中标（成交）后以分包方式履行合同的，提供《分包意向协议》（附件5）；</w:t>
      </w:r>
    </w:p>
    <w:p w14:paraId="2EB3552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2.分包内容，应在采购文件规定的“允许分包”范围之内。</w:t>
      </w:r>
    </w:p>
    <w:p w14:paraId="1794664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2225D02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545134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253564F4">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3E23A00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政府采购投标有关的一切事项，其法律后果由我方承担。</w:t>
      </w:r>
    </w:p>
    <w:p w14:paraId="2F294EC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6D772B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5C75427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828E2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r>
        <w:rPr>
          <w:rFonts w:hint="eastAsia" w:ascii="宋体" w:hAnsi="宋体" w:eastAsia="宋体" w:cs="宋体"/>
          <w:color w:val="auto"/>
          <w:kern w:val="0"/>
          <w:sz w:val="21"/>
          <w:szCs w:val="21"/>
          <w:highlight w:val="none"/>
          <w:u w:val="single"/>
          <w:lang w:val="en-US" w:eastAsia="zh-CN" w:bidi="ar"/>
        </w:rPr>
        <w:t>（联合体投标的，为联合体成员各方）</w:t>
      </w:r>
    </w:p>
    <w:p w14:paraId="2AE72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2FB491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21CC08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350441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1、供应商委派不在本单位缴纳社保的人员作为授权代表的，应当在投标文件中，说明具体原因、授权代表缴纳社保的单位，并附列该授权代表缴纳社保清单。</w:t>
      </w:r>
    </w:p>
    <w:p w14:paraId="22DA694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2、供应商是联合体的，联合体各成员均应在“授权委托书”上盖章（电子签名/公章）</w:t>
      </w:r>
    </w:p>
    <w:p w14:paraId="3D66EB4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C8F9A16">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7E2B44B">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本人参加投标</w:t>
      </w:r>
      <w:r>
        <w:rPr>
          <w:rFonts w:hint="eastAsia" w:ascii="宋体" w:hAnsi="宋体" w:eastAsia="宋体" w:cs="宋体"/>
          <w:color w:val="auto"/>
          <w:kern w:val="0"/>
          <w:sz w:val="21"/>
          <w:szCs w:val="21"/>
          <w:highlight w:val="none"/>
          <w:u w:val="single"/>
          <w:lang w:val="en-US" w:eastAsia="zh-CN" w:bidi="ar"/>
        </w:rPr>
        <w:t>）</w:t>
      </w:r>
    </w:p>
    <w:p w14:paraId="4B25A9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1571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AC807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7F91DFE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E47B8B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附：</w:t>
      </w:r>
    </w:p>
    <w:p w14:paraId="7A1CC98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1.按照【第三章  投标人须知】要求提供相关身份证明材料；</w:t>
      </w:r>
    </w:p>
    <w:p w14:paraId="12B1D04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2.相关说明（如有）。</w:t>
      </w:r>
    </w:p>
    <w:p w14:paraId="75ADFA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（三）投标标的清单</w:t>
      </w:r>
    </w:p>
    <w:p w14:paraId="7BBE4B3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5AA51F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具身智能实验室设备</w:t>
      </w:r>
    </w:p>
    <w:p w14:paraId="52575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330000263030150000765-QSZBB260370ZHGK</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4C3B2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AC874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FD1D8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75A4FC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CFB78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382B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1164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2AC3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102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D08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EE106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DB4C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50AB3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E56DB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19F89DA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5D24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4FF4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5E5C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443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B1A3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BFEA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78878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24EDCC">
            <w:pPr>
              <w:rPr>
                <w:rFonts w:hint="eastAsia" w:ascii="宋体" w:hAnsi="宋体" w:eastAsia="宋体" w:cs="宋体"/>
                <w:color w:val="auto"/>
                <w:sz w:val="21"/>
                <w:szCs w:val="21"/>
                <w:highlight w:val="none"/>
              </w:rPr>
            </w:pPr>
          </w:p>
        </w:tc>
      </w:tr>
    </w:tbl>
    <w:p w14:paraId="55CFEFA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C66CA1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7DB67B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54D32E3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B76D05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07EF2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0CF7BE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09FD4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3.联合体其他成员承担的部分、分包单位承担的部分，应在表中列明。</w:t>
      </w:r>
    </w:p>
    <w:p w14:paraId="7C21226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4.“制造商”按单个标的整体的生产企业确定，与组成标的部件或材料制造商无关。</w:t>
      </w:r>
    </w:p>
    <w:p w14:paraId="4A5A8EF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（四）投标偏离表</w:t>
      </w:r>
    </w:p>
    <w:p w14:paraId="33AE4F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具身智能实验室设备</w:t>
      </w:r>
    </w:p>
    <w:p w14:paraId="073AC5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330000263030150000765-QSZBB260370ZHGK</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4AC87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bl>
    <w:p w14:paraId="79A3CBC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E7F1C0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5D3251B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B461E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524BB1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08B475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1.供应商对招标文件要求有不同的投标的，应在投标偏离表中列明；</w:t>
      </w:r>
    </w:p>
    <w:p w14:paraId="19BCA9B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或与其一致）。说明是指对招标文件要求存在不同之处的解释说明。</w:t>
      </w:r>
    </w:p>
    <w:p w14:paraId="6957404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3.如供应商提供的“投标偏离表”响应情况与产品技术支持材料、投标样品（如有）不一致，且无法合理解释的，视为与事实不符。</w:t>
      </w:r>
    </w:p>
    <w:p w14:paraId="2A81AEF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（五）评标标准相应的商务和技术资料</w:t>
      </w:r>
    </w:p>
    <w:p w14:paraId="227B5BD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32EC868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D9D73D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按招标文件【第四章  评标方法和评标标准】及评审因素相应的内容，逐项提供商务和技术资料。</w:t>
      </w:r>
    </w:p>
    <w:p w14:paraId="459E81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2、评标</w:t>
      </w:r>
      <w:r>
        <w:rPr>
          <w:rFonts w:hint="eastAsia" w:ascii="宋体" w:hAnsi="宋体" w:cs="宋体"/>
          <w:color w:val="auto"/>
          <w:kern w:val="0"/>
          <w:sz w:val="21"/>
          <w:szCs w:val="21"/>
          <w:highlight w:val="none"/>
          <w:lang w:val="en-US" w:eastAsia="zh-CN" w:bidi="ar"/>
        </w:rPr>
        <w:t>委员会</w:t>
      </w:r>
      <w:r>
        <w:rPr>
          <w:rFonts w:hint="eastAsia" w:ascii="宋体" w:hAnsi="宋体" w:eastAsia="宋体" w:cs="宋体"/>
          <w:color w:val="auto"/>
          <w:kern w:val="0"/>
          <w:sz w:val="21"/>
          <w:szCs w:val="21"/>
          <w:highlight w:val="none"/>
          <w:lang w:val="en-US" w:eastAsia="zh-CN" w:bidi="ar"/>
        </w:rPr>
        <w:t>依据供应商在投标文件中提供的商务和技术资料进行商务和技术评分。</w:t>
      </w:r>
    </w:p>
    <w:p w14:paraId="2BBFA70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7546E21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DF1E16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（一）开标一览表</w:t>
      </w:r>
    </w:p>
    <w:p w14:paraId="27E55A0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0E4B5A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具身智能实验室设备</w:t>
      </w:r>
    </w:p>
    <w:p w14:paraId="6EAC623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330000263030150000765-QSZBB260370ZHGK</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B8D9A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67900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F9D62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502E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规格型号</w:t>
            </w:r>
          </w:p>
          <w:p w14:paraId="687D0D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6E3E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D2C5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70F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002B66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4D249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207D8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6159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D40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3EA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CC14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5889FB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389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0C03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4EA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B81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0DEB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E6049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61438B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88F43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1F95F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70B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8A89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C9DF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98A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1BFE0FA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ABF5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18203C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D6A2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FCE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3B0C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DEC3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93DA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9B276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7B0F409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08318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05F7E33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C062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8171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B3771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0CE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1BA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BF6CB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05CF58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7F09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投标报价</w:t>
            </w:r>
            <w:r>
              <w:rPr>
                <w:rFonts w:hint="eastAsia" w:ascii="宋体" w:hAnsi="宋体" w:eastAsia="宋体" w:cs="宋体"/>
                <w:i w:val="0"/>
                <w:iCs w:val="0"/>
                <w:color w:val="auto"/>
                <w:kern w:val="0"/>
                <w:sz w:val="21"/>
                <w:szCs w:val="21"/>
                <w:highlight w:val="none"/>
                <w:lang w:val="en-US" w:eastAsia="zh-CN" w:bidi="ar"/>
              </w:rPr>
              <w:t>（计价单位：人民币元）</w:t>
            </w:r>
          </w:p>
          <w:p w14:paraId="609EF9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总价（小写）：________________</w:t>
            </w:r>
          </w:p>
          <w:p w14:paraId="59837F2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1BE67B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FF6F76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2EEF71B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1B45392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150EA8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注：</w:t>
      </w:r>
    </w:p>
    <w:p w14:paraId="0AE010C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1.供应商应按招标文件规定的要求填写；</w:t>
      </w:r>
    </w:p>
    <w:p w14:paraId="3A6CC4A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2.联合体其他成员承担的部分、分包单位承担的部分，应在表中列明。</w:t>
      </w:r>
    </w:p>
    <w:p w14:paraId="2241ACE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3.“制造商”按单个标的整体的生产企业确定，与组成标的部件或材料制造商无关。</w:t>
      </w:r>
    </w:p>
    <w:p w14:paraId="5621765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附件1：中小企业声明函</w:t>
      </w:r>
    </w:p>
    <w:p w14:paraId="1F803F5A">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中小企业声明函（</w:t>
      </w:r>
      <w:r>
        <w:rPr>
          <w:rFonts w:hint="eastAsia" w:ascii="宋体" w:hAnsi="宋体" w:eastAsia="宋体" w:cs="宋体"/>
          <w:b/>
          <w:bCs/>
          <w:i w:val="0"/>
          <w:iCs w:val="0"/>
          <w:color w:val="auto"/>
          <w:spacing w:val="-6"/>
          <w:kern w:val="0"/>
          <w:sz w:val="21"/>
          <w:szCs w:val="21"/>
          <w:highlight w:val="none"/>
          <w:lang w:val="en-US" w:eastAsia="zh-CN" w:bidi="ar"/>
        </w:rPr>
        <w:t>货物</w:t>
      </w:r>
      <w:r>
        <w:rPr>
          <w:rFonts w:hint="eastAsia" w:ascii="宋体" w:hAnsi="宋体" w:eastAsia="宋体" w:cs="宋体"/>
          <w:b/>
          <w:bCs/>
          <w:color w:val="auto"/>
          <w:spacing w:val="-6"/>
          <w:kern w:val="0"/>
          <w:sz w:val="21"/>
          <w:szCs w:val="21"/>
          <w:highlight w:val="none"/>
          <w:lang w:val="en-US" w:eastAsia="zh-CN" w:bidi="ar"/>
        </w:rPr>
        <w:t>）</w:t>
      </w:r>
    </w:p>
    <w:p w14:paraId="686B3C96">
      <w:pPr>
        <w:keepNext w:val="0"/>
        <w:keepLines w:val="0"/>
        <w:widowControl/>
        <w:suppressLineNumbers w:val="0"/>
        <w:spacing w:line="288" w:lineRule="auto"/>
        <w:ind w:left="0" w:firstLine="495"/>
        <w:jc w:val="left"/>
        <w:rPr>
          <w:rFonts w:hint="eastAsia" w:ascii="宋体" w:hAnsi="宋体" w:eastAsia="宋体" w:cs="宋体"/>
          <w:color w:val="auto"/>
          <w:kern w:val="0"/>
          <w:sz w:val="21"/>
          <w:szCs w:val="21"/>
          <w:highlight w:val="none"/>
          <w:lang w:val="en-US" w:eastAsia="zh-CN" w:bidi="ar"/>
        </w:rPr>
      </w:pPr>
    </w:p>
    <w:p w14:paraId="1F440F00">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本公司（联合体）郑重声明，根据《政府采购促进中小企业发展管理办法》（财库﹝2020﹞46号）的规定，本公司（联合体）参加</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）的（项目名称：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w:t>
      </w:r>
      <w:r>
        <w:rPr>
          <w:rFonts w:hint="eastAsia" w:ascii="宋体" w:hAnsi="宋体" w:eastAsia="宋体" w:cs="宋体"/>
          <w:i w:val="0"/>
          <w:iCs w:val="0"/>
          <w:color w:val="auto"/>
          <w:kern w:val="0"/>
          <w:sz w:val="21"/>
          <w:szCs w:val="21"/>
          <w:highlight w:val="none"/>
          <w:lang w:val="en-US" w:eastAsia="zh-CN" w:bidi="ar"/>
        </w:rPr>
        <w:t>提供的货物全部由符合政策要求的中小企业制造。</w:t>
      </w:r>
    </w:p>
    <w:p w14:paraId="6C43959A">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相关企业（含联合体中的中小企业、签订分包意向协议的中小企业）的具体情况如下：</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12"/>
        <w:gridCol w:w="1393"/>
        <w:gridCol w:w="1241"/>
        <w:gridCol w:w="2104"/>
        <w:gridCol w:w="1172"/>
        <w:gridCol w:w="1161"/>
        <w:gridCol w:w="1161"/>
        <w:gridCol w:w="1152"/>
      </w:tblGrid>
      <w:tr w14:paraId="4C19BC7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00D53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序号</w:t>
            </w:r>
          </w:p>
        </w:tc>
        <w:tc>
          <w:tcPr>
            <w:tcW w:w="144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A3B7A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标的名称</w:t>
            </w:r>
          </w:p>
        </w:tc>
        <w:tc>
          <w:tcPr>
            <w:tcW w:w="12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FAB6D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1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27A054">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制造商</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2C74F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w:t>
            </w:r>
          </w:p>
          <w:p w14:paraId="624E3016">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（人）</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D25AE7">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w:t>
            </w:r>
          </w:p>
          <w:p w14:paraId="25AEC9B7">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9FEB6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w:t>
            </w:r>
          </w:p>
          <w:p w14:paraId="08D52B0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5BC70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企业类型</w:t>
            </w:r>
          </w:p>
        </w:tc>
      </w:tr>
      <w:tr w14:paraId="59BB34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668A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0FD3B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0D1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3775C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6CBE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DD290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BD78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DC397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r>
      <w:tr w14:paraId="12CDCF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48CF6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8F865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ADE73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4B48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A6A2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549F5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F0CF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1634C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r>
      <w:tr w14:paraId="3EFF6F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61BD9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53C6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A175F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BA909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FCEDA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33B9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77C02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4D9B3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r>
      <w:tr w14:paraId="4941EF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A145C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CB7AE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DE5BD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E9365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0C462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6F867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50D78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11633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r>
    </w:tbl>
    <w:p w14:paraId="1A81D7CC">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以上企业，不属于大企业的分支机构，不存在控股股东为大企业的情形，也不存在与大企业的负责人为同一人的情形。</w:t>
      </w:r>
    </w:p>
    <w:p w14:paraId="434FDA6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本企业对上述声明内容的真实性负责。如有虚假，将依法承担相应责任。</w:t>
      </w:r>
    </w:p>
    <w:p w14:paraId="1DB84A9F">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07E888A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302107D1">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2AA383E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676BA29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说明：</w:t>
      </w:r>
    </w:p>
    <w:p w14:paraId="5D8340B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1.标的名称，按照【采购需求】中明确的标的填写；</w:t>
      </w:r>
    </w:p>
    <w:p w14:paraId="7BF6F2F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2.所属行业，按照【采购需求】中明确的标的“所属行业”填写；</w:t>
      </w:r>
    </w:p>
    <w:p w14:paraId="098E3DD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3.制造商：货物由中小企业制造，即货物由中小企业生产且使用该中小企业商号或者注册商标；</w:t>
      </w:r>
    </w:p>
    <w:p w14:paraId="086943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4.从业人员、营业收入、资产总额填报上一年度数据，无上一年度数据的新成立企业可不填报。</w:t>
      </w:r>
    </w:p>
    <w:p w14:paraId="4AFF8439">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5.企业类型（包括新成立企业），按照《中小企业划型标准规定》（工信部联企业〔2011〕300号）规定和【采购需求】中明确的标的“所属行业”，选择“中型、小型</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微型”其中之一；</w:t>
      </w:r>
    </w:p>
    <w:p w14:paraId="513B5EC7">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6.采购文件中明确的标的是能够独立发挥功能的产品，配件、辅料不作为标的，不需要在《中小企业声明函》里填列。</w:t>
      </w:r>
    </w:p>
    <w:p w14:paraId="5838D007">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color w:val="auto"/>
          <w:sz w:val="28"/>
          <w:szCs w:val="28"/>
          <w:highlight w:val="none"/>
        </w:rPr>
        <w:t>附件2：属于监狱企业的证明文件</w:t>
      </w:r>
    </w:p>
    <w:p w14:paraId="02088152">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（仅适用于：供应商属于监狱企业）</w:t>
      </w:r>
    </w:p>
    <w:p w14:paraId="66817B1B">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E410F81">
      <w:pPr>
        <w:keepNext w:val="0"/>
        <w:keepLines w:val="0"/>
        <w:widowControl/>
        <w:suppressLineNumbers w:val="0"/>
        <w:spacing w:line="288" w:lineRule="auto"/>
        <w:ind w:left="0" w:firstLine="373"/>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14:paraId="554E0CB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02B789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065F694D">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4F82C2A">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二、在政府采购活动中，监狱企业视同小型、微型企业，享受预留份额、评审中价格扣除等政府采购促进中小企业发展的政府采购政策。</w:t>
      </w:r>
    </w:p>
    <w:p w14:paraId="0FDF30E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附件3：残疾人福利性单位声明函</w:t>
      </w:r>
    </w:p>
    <w:p w14:paraId="065CFBB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（仅适用于：供应商属于残疾人福利性单位）</w:t>
      </w:r>
    </w:p>
    <w:p w14:paraId="645E64E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6A4F107B">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本单位郑重声明，根据《财政部民政部中国残疾人联合会关于促进残疾人就业政府采购政策的通知》（财库</w:t>
      </w:r>
      <w:r>
        <w:rPr>
          <w:rFonts w:hint="eastAsia" w:ascii="宋体" w:hAnsi="宋体" w:eastAsia="宋体" w:cs="宋体"/>
          <w:color w:val="auto"/>
          <w:kern w:val="0"/>
          <w:sz w:val="21"/>
          <w:szCs w:val="21"/>
          <w:highlight w:val="none"/>
          <w:lang w:val="en-US" w:eastAsia="zh-CN" w:bidi="ar"/>
        </w:rPr>
        <w:t>〔2017〕141</w:t>
      </w:r>
      <w:r>
        <w:rPr>
          <w:rFonts w:hint="eastAsia" w:ascii="宋体" w:hAnsi="宋体" w:eastAsia="宋体" w:cs="宋体"/>
          <w:color w:val="auto"/>
          <w:spacing w:val="6"/>
          <w:kern w:val="0"/>
          <w:sz w:val="21"/>
          <w:szCs w:val="21"/>
          <w:highlight w:val="none"/>
          <w:lang w:val="en-US" w:eastAsia="zh-CN" w:bidi="ar"/>
        </w:rPr>
        <w:t>号）的规定，</w:t>
      </w:r>
      <w:r>
        <w:rPr>
          <w:rFonts w:hint="eastAsia" w:ascii="宋体" w:hAnsi="宋体" w:eastAsia="宋体" w:cs="宋体"/>
          <w:b/>
          <w:bCs/>
          <w:color w:val="auto"/>
          <w:spacing w:val="6"/>
          <w:kern w:val="0"/>
          <w:sz w:val="21"/>
          <w:szCs w:val="21"/>
          <w:highlight w:val="none"/>
          <w:lang w:val="en-US" w:eastAsia="zh-CN" w:bidi="ar"/>
        </w:rPr>
        <w:t>本单位为符合条件的残疾人福利性单位</w:t>
      </w:r>
      <w:r>
        <w:rPr>
          <w:rFonts w:hint="eastAsia" w:ascii="宋体" w:hAnsi="宋体" w:eastAsia="宋体" w:cs="宋体"/>
          <w:color w:val="auto"/>
          <w:spacing w:val="6"/>
          <w:kern w:val="0"/>
          <w:sz w:val="21"/>
          <w:szCs w:val="21"/>
          <w:highlight w:val="none"/>
          <w:lang w:val="en-US" w:eastAsia="zh-CN" w:bidi="ar"/>
        </w:rPr>
        <w:t>，且本单位参加（采购人）单位的（项目名称）项目采购活动提供本单位制造的货物，或者提供其他残疾人福利性单位制造的货物（不包括使用非残疾人福利性单位注册商标的货物）。</w:t>
      </w:r>
    </w:p>
    <w:p w14:paraId="0BB2FFA3">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本单位对上述声明的真实性负责。如有虚假，将依法承担相应责任。</w:t>
      </w:r>
    </w:p>
    <w:p w14:paraId="7C9FF528">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单位名称（盖章）：</w:t>
      </w:r>
    </w:p>
    <w:p w14:paraId="3C3ACDAE">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日期：</w:t>
      </w:r>
    </w:p>
    <w:p w14:paraId="24795388">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662CBD5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18511B2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一、享受政府采购支持政策的残疾人福利性单位应当同时满足以下条件：</w:t>
      </w:r>
    </w:p>
    <w:p w14:paraId="43280521">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（一）安置的残疾人占本单位在职职工人数的比例不低于25%（含25%），并且安置的残疾人人数不少于10人（含10人）；</w:t>
      </w:r>
    </w:p>
    <w:p w14:paraId="69971B7A">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（二）依法与安置的每位残疾人签订了一年以上（含一年）的劳动合同或服务协议；</w:t>
      </w:r>
    </w:p>
    <w:p w14:paraId="5AFA1134">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（三）为安置的每位残疾人按月足额缴纳了基本养老保险、基本医疗保险、失业保险、工伤保险和生育保险等社会保险费；</w:t>
      </w:r>
    </w:p>
    <w:p w14:paraId="06CF194C">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（四）通过银行等金融机构向安置的每位残疾人，按月支付了不低于单位所在区县适用的经省级人民政府批准的月最低工资标准的工资；</w:t>
      </w:r>
    </w:p>
    <w:p w14:paraId="1FB55657">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（五）提供本单位制造的货物、承担的工程或者服务（以下简称产品），或者提供其他残疾人福利性单位制造的货物（不包括使用非残疾人福利性单位注册商标的货物）。</w:t>
      </w:r>
    </w:p>
    <w:p w14:paraId="75C16749">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0F8D005">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二、符合条件的残疾人福利性单位在参加政府采购活动时，应当提供财库[2017]141号文件规定的《残疾人福利性单位声明函》，并对声明的真实性负责。</w:t>
      </w:r>
    </w:p>
    <w:p w14:paraId="5A0B08B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三、在政府采购活动中，残疾人福利性单位视同小型、微型企业，享受预留份额、评审中价格扣除等促进中小企业发展的政府采购政策。</w:t>
      </w:r>
    </w:p>
    <w:p w14:paraId="3D821469">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残疾人福利性单位属于小型、微型企业的，不重复享受政策。</w:t>
      </w:r>
    </w:p>
    <w:p w14:paraId="27B8DE9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附件4：联合协议</w:t>
      </w:r>
    </w:p>
    <w:p w14:paraId="02577746">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联合协议</w:t>
      </w:r>
    </w:p>
    <w:p w14:paraId="07DA94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D4F0A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（联合体所有成员名称）</w:t>
      </w:r>
      <w:r>
        <w:rPr>
          <w:rFonts w:hint="eastAsia" w:ascii="宋体" w:hAnsi="宋体" w:eastAsia="宋体" w:cs="宋体"/>
          <w:color w:val="auto"/>
          <w:kern w:val="0"/>
          <w:sz w:val="21"/>
          <w:szCs w:val="21"/>
          <w:highlight w:val="none"/>
          <w:lang w:val="en-US" w:eastAsia="zh-CN" w:bidi="ar"/>
        </w:rPr>
        <w:t>自愿组成一个联合体，以一个供应商的身份参加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w:t>
      </w:r>
    </w:p>
    <w:p w14:paraId="2CFEEE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一、各方一致决定，</w:t>
      </w:r>
      <w:r>
        <w:rPr>
          <w:rFonts w:hint="eastAsia" w:ascii="宋体" w:hAnsi="宋体" w:eastAsia="宋体" w:cs="宋体"/>
          <w:color w:val="auto"/>
          <w:kern w:val="0"/>
          <w:sz w:val="21"/>
          <w:szCs w:val="21"/>
          <w:highlight w:val="none"/>
          <w:u w:val="single"/>
          <w:lang w:val="en-US" w:eastAsia="zh-CN" w:bidi="ar"/>
        </w:rPr>
        <w:t>（某联合体成员名称）</w:t>
      </w:r>
      <w:r>
        <w:rPr>
          <w:rFonts w:hint="eastAsia" w:ascii="宋体" w:hAnsi="宋体" w:eastAsia="宋体" w:cs="宋体"/>
          <w:color w:val="auto"/>
          <w:kern w:val="0"/>
          <w:sz w:val="21"/>
          <w:szCs w:val="21"/>
          <w:highlight w:val="none"/>
          <w:lang w:val="en-US" w:eastAsia="zh-CN" w:bidi="ar"/>
        </w:rPr>
        <w:t>为联合体牵头人，代表所有联合体成员负责</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和合同实施阶段的主办、协调工作。</w:t>
      </w:r>
    </w:p>
    <w:p w14:paraId="451026F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二、所有联合体成员各方签署授权书，授权书载明的授权代表根据采购文件规定及</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内容而对采购人、采购代理机构所作的任何合法承诺，包括书面澄清及相应等均对联合</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各方产生约束力。</w:t>
      </w:r>
    </w:p>
    <w:p w14:paraId="138F65F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三、本次联合</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中，分工如下：</w:t>
      </w:r>
    </w:p>
    <w:p w14:paraId="4B4FB7F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（联合体成员1）</w:t>
      </w:r>
      <w:r>
        <w:rPr>
          <w:rFonts w:hint="eastAsia" w:ascii="宋体" w:hAnsi="宋体" w:eastAsia="宋体" w:cs="宋体"/>
          <w:color w:val="auto"/>
          <w:kern w:val="0"/>
          <w:sz w:val="21"/>
          <w:szCs w:val="21"/>
          <w:highlight w:val="none"/>
          <w:lang w:val="en-US" w:eastAsia="zh-CN" w:bidi="ar"/>
        </w:rPr>
        <w:t>承担的工作和义务为：        ；</w:t>
      </w:r>
    </w:p>
    <w:p w14:paraId="34DE8E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（联合体成员2）</w:t>
      </w:r>
      <w:r>
        <w:rPr>
          <w:rFonts w:hint="eastAsia" w:ascii="宋体" w:hAnsi="宋体" w:eastAsia="宋体" w:cs="宋体"/>
          <w:color w:val="auto"/>
          <w:kern w:val="0"/>
          <w:sz w:val="21"/>
          <w:szCs w:val="21"/>
          <w:highlight w:val="none"/>
          <w:lang w:val="en-US" w:eastAsia="zh-CN" w:bidi="ar"/>
        </w:rPr>
        <w:t>承担的工作和义务为：        ；</w:t>
      </w:r>
    </w:p>
    <w:p w14:paraId="71D98A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6C35DA7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四、联合体成员中小企业合同份额。</w:t>
      </w:r>
    </w:p>
    <w:p w14:paraId="7B8A0B8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12AE275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（联合体成员X，……）</w:t>
      </w:r>
      <w:r>
        <w:rPr>
          <w:rFonts w:hint="eastAsia" w:ascii="宋体" w:hAnsi="宋体" w:eastAsia="宋体" w:cs="宋体"/>
          <w:color w:val="auto"/>
          <w:kern w:val="0"/>
          <w:sz w:val="21"/>
          <w:szCs w:val="21"/>
          <w:highlight w:val="none"/>
          <w:lang w:val="en-US" w:eastAsia="zh-CN" w:bidi="ar"/>
        </w:rPr>
        <w:t>提供的全部货物由小微企业制造，其合同份额占到合同总金额【    %】以上；</w:t>
      </w:r>
    </w:p>
    <w:p w14:paraId="066BD9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725B8BE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五、如果</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，联合体各成员方共同与采购人签订合同，并就采购合同约定的事项对采购人承担连带责任。</w:t>
      </w:r>
    </w:p>
    <w:p w14:paraId="60F0979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六、有关本次联合</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的其他事宜：</w:t>
      </w:r>
    </w:p>
    <w:p w14:paraId="14B1EF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1、联合体各方不再单独参加或者与其他供应商另外组成联合体参加同一合同项下的政府采购活动。</w:t>
      </w:r>
    </w:p>
    <w:p w14:paraId="0755CAA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2、联合体中有同类资质的各方按照联合体分工承担相同工作的，按照资质等级较低的供应商确定资质等级。</w:t>
      </w:r>
    </w:p>
    <w:p w14:paraId="72EC7B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3、本协议提交采购人、采购代理机构后，联合体各方不得以任何形式对上述内容进行修改或撤销。</w:t>
      </w:r>
    </w:p>
    <w:p w14:paraId="5BE042D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147798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联合体成员（各方）名称(电子签名/公章)：</w:t>
      </w:r>
    </w:p>
    <w:p w14:paraId="265BFF0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B38A24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41DC9CDC">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p>
    <w:p w14:paraId="258F6D64">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1C81F588">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3F2D3E1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2、以联合体形式</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的，提供联合协议；本项目不接受联合体</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或者供应商不以联合体形式</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的，则不需要提供。</w:t>
      </w:r>
    </w:p>
    <w:p w14:paraId="762E81E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3、要求以联合体形式参加的项目或采购包，供应商按采购公告“申请人的资格要求”中规定的联合协议中中小企业、小微企业合同金额应当达到的比例要求填写。</w:t>
      </w:r>
    </w:p>
    <w:p w14:paraId="72DFD35A">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4、未预留份额专门面向中小企业采购的采购项目，以及预留份额中的非预留部分采购包，接受联合体</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的，联合协议约定小微企业的合同份额占到合同总金额30%以上的，对联合体报价按采购文件确定的比例给予扣除。供应商拟享受以上价格扣除政策的，填写有关内容。</w:t>
      </w:r>
    </w:p>
    <w:p w14:paraId="5FF47AAB">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457AB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附件5：分包意向协议</w:t>
      </w:r>
    </w:p>
    <w:p w14:paraId="6A1CB01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分包意向协议</w:t>
      </w:r>
    </w:p>
    <w:p w14:paraId="49BFEB55">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21"/>
          <w:szCs w:val="21"/>
          <w:highlight w:val="none"/>
        </w:rPr>
      </w:pPr>
    </w:p>
    <w:p w14:paraId="6BCCF3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我方若成为</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供应商，将依法采取分包方式履行合同。</w:t>
      </w:r>
      <w:r>
        <w:rPr>
          <w:rFonts w:hint="eastAsia" w:ascii="宋体" w:hAnsi="宋体" w:eastAsia="宋体" w:cs="宋体"/>
          <w:color w:val="auto"/>
          <w:kern w:val="0"/>
          <w:sz w:val="21"/>
          <w:szCs w:val="21"/>
          <w:highlight w:val="none"/>
          <w:u w:val="single"/>
          <w:lang w:val="en-US" w:eastAsia="zh-CN" w:bidi="ar"/>
        </w:rPr>
        <w:t>（供应商名称）</w:t>
      </w:r>
      <w:r>
        <w:rPr>
          <w:rFonts w:hint="eastAsia" w:ascii="宋体" w:hAnsi="宋体" w:eastAsia="宋体" w:cs="宋体"/>
          <w:color w:val="auto"/>
          <w:kern w:val="0"/>
          <w:sz w:val="21"/>
          <w:szCs w:val="21"/>
          <w:highlight w:val="none"/>
          <w:lang w:val="en-US" w:eastAsia="zh-CN" w:bidi="ar"/>
        </w:rPr>
        <w:t>与</w:t>
      </w:r>
      <w:r>
        <w:rPr>
          <w:rFonts w:hint="eastAsia" w:ascii="宋体" w:hAnsi="宋体" w:eastAsia="宋体" w:cs="宋体"/>
          <w:color w:val="auto"/>
          <w:kern w:val="0"/>
          <w:sz w:val="21"/>
          <w:szCs w:val="21"/>
          <w:highlight w:val="none"/>
          <w:u w:val="single"/>
          <w:lang w:val="en-US" w:eastAsia="zh-CN" w:bidi="ar"/>
        </w:rPr>
        <w:t>（所有分包供应商名称）</w:t>
      </w:r>
      <w:r>
        <w:rPr>
          <w:rFonts w:hint="eastAsia" w:ascii="宋体" w:hAnsi="宋体" w:eastAsia="宋体" w:cs="宋体"/>
          <w:color w:val="auto"/>
          <w:kern w:val="0"/>
          <w:sz w:val="21"/>
          <w:szCs w:val="21"/>
          <w:highlight w:val="none"/>
          <w:lang w:val="en-US" w:eastAsia="zh-CN" w:bidi="ar"/>
        </w:rPr>
        <w:t>达成分包意向协议。</w:t>
      </w:r>
    </w:p>
    <w:p w14:paraId="649CF18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一、分包的标的及数量</w:t>
      </w:r>
    </w:p>
    <w:p w14:paraId="199F39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我方将</w:t>
      </w:r>
      <w:r>
        <w:rPr>
          <w:rFonts w:hint="eastAsia" w:ascii="宋体" w:hAnsi="宋体" w:eastAsia="宋体" w:cs="宋体"/>
          <w:color w:val="auto"/>
          <w:kern w:val="0"/>
          <w:sz w:val="21"/>
          <w:szCs w:val="21"/>
          <w:highlight w:val="none"/>
          <w:u w:val="single"/>
          <w:lang w:val="en-US" w:eastAsia="zh-CN" w:bidi="ar"/>
        </w:rPr>
        <w:t>（XX工作内容）</w:t>
      </w:r>
      <w:r>
        <w:rPr>
          <w:rFonts w:hint="eastAsia" w:ascii="宋体" w:hAnsi="宋体" w:eastAsia="宋体" w:cs="宋体"/>
          <w:color w:val="auto"/>
          <w:kern w:val="0"/>
          <w:sz w:val="21"/>
          <w:szCs w:val="21"/>
          <w:highlight w:val="none"/>
          <w:lang w:val="en-US" w:eastAsia="zh-CN" w:bidi="ar"/>
        </w:rPr>
        <w:t>分包给</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具备承担分包内容相应资质条件且不得再次分包；</w:t>
      </w:r>
    </w:p>
    <w:p w14:paraId="246FE37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2AEE58C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二、分包供应商中小企业合同份额</w:t>
      </w:r>
    </w:p>
    <w:p w14:paraId="0FEA89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7D9F6E2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（分包供应商X，……）</w:t>
      </w:r>
      <w:r>
        <w:rPr>
          <w:rFonts w:hint="eastAsia" w:ascii="宋体" w:hAnsi="宋体" w:eastAsia="宋体" w:cs="宋体"/>
          <w:color w:val="auto"/>
          <w:kern w:val="0"/>
          <w:sz w:val="21"/>
          <w:szCs w:val="21"/>
          <w:highlight w:val="none"/>
          <w:lang w:val="en-US" w:eastAsia="zh-CN" w:bidi="ar"/>
        </w:rPr>
        <w:t>提供的货物全部由小微企业制造，其合同份额占到合同总金额【  %】以上。</w:t>
      </w:r>
    </w:p>
    <w:p w14:paraId="44EC704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3D1205E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三、分包工作履行期限、地点、方式</w:t>
      </w:r>
    </w:p>
    <w:p w14:paraId="1538208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EE48FB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四、质量</w:t>
      </w:r>
    </w:p>
    <w:p w14:paraId="4D3FDA6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63689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五、价款或者报酬</w:t>
      </w:r>
    </w:p>
    <w:p w14:paraId="4484D82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A3E62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六、违约责任</w:t>
      </w:r>
    </w:p>
    <w:p w14:paraId="07AB828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DC9114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七、争议解决的办法</w:t>
      </w:r>
    </w:p>
    <w:p w14:paraId="25118DD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577CD2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627E0CD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479E395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分包供应商名称（电子签名/公章）：</w:t>
      </w:r>
    </w:p>
    <w:p w14:paraId="295E55F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584511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1A31F3D3">
      <w:pPr>
        <w:keepNext w:val="0"/>
        <w:keepLines w:val="0"/>
        <w:widowControl/>
        <w:suppressLineNumbers w:val="0"/>
        <w:spacing w:line="288" w:lineRule="auto"/>
        <w:ind w:left="0" w:right="420" w:firstLine="420"/>
        <w:jc w:val="left"/>
        <w:rPr>
          <w:rFonts w:hint="eastAsia" w:ascii="宋体" w:hAnsi="宋体" w:eastAsia="宋体" w:cs="宋体"/>
          <w:color w:val="auto"/>
          <w:sz w:val="21"/>
          <w:szCs w:val="21"/>
          <w:highlight w:val="none"/>
        </w:rPr>
      </w:pPr>
    </w:p>
    <w:p w14:paraId="122ADD0A">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23550240">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5450DB0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后以分包方式履行合同的，提供分包意向协议；采购人不同意分包或者供应商</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后不以分包方式履行合同的，则不需要提供。</w:t>
      </w:r>
    </w:p>
    <w:p w14:paraId="4DB8FB0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3、要求合同分包形式参加的项目或采购包，供应商按采购公告“申请人的资格要求”中规定的分包意向协议中中小企业、小微企业合同金额应当达到的比例要求填写。</w:t>
      </w:r>
    </w:p>
    <w:p w14:paraId="3294B3D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允许分包的，分包意向协议约定小微企业的合同份额占到合同总金额30%以上的，对大中型企业的报价按采购文件确定的比例给予扣除。供应商拟享受以上价格扣除政策的，填写有关内容。</w:t>
      </w:r>
    </w:p>
    <w:p w14:paraId="41157519">
      <w:pPr>
        <w:pStyle w:val="3"/>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附件6：业务专用章使用说明函</w:t>
      </w:r>
    </w:p>
    <w:p w14:paraId="3703E55E">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120D058E">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1D3493DE">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470856F6">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505034D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5F4D3BF">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6FCF686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60511909">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2E94C66">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FCD2D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219274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FB0903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F77CCA6">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75CE43A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BDB843B">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E7EA185">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jc w:val="left"/>
              <w:rPr>
                <w:rFonts w:hint="eastAsia" w:ascii="宋体" w:hAnsi="宋体" w:eastAsia="宋体" w:cs="宋体"/>
                <w:color w:val="auto"/>
                <w:sz w:val="21"/>
                <w:szCs w:val="21"/>
                <w:highlight w:val="none"/>
              </w:rPr>
            </w:pPr>
          </w:p>
        </w:tc>
      </w:tr>
    </w:tbl>
    <w:p w14:paraId="48A01C61">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412B61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附件7：质疑函范本及制作说明</w:t>
      </w:r>
    </w:p>
    <w:p w14:paraId="17B485C7">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85FFFD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117FC7F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046C0E6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2695FB7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5AA037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2927C2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3E9984D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7691B6FC">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4833A33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3B1DE9E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4E80CF8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20766F6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B691155">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4E2B8C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270FA4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100CAF3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0E0224D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4643EAB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7D4488D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5A05909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694359FF">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32C8FE8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5B68E81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9077DB9">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7304A2CE">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403AF39">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2979F7BE">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6B3ECF0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14BB7A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F05889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3.质疑供应商若对项目的某一分包进行质疑，质疑函中应列明具体分包号。</w:t>
      </w:r>
    </w:p>
    <w:p w14:paraId="376394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66D4DC2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61706D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7B4E9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7.在浙江省政府采购云平台提起质疑的，按照平台相关规定执行。</w:t>
      </w:r>
    </w:p>
    <w:p w14:paraId="67593A4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附件8：投诉书范本及制作说明</w:t>
      </w:r>
    </w:p>
    <w:p w14:paraId="37FDDE61">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投诉书</w:t>
      </w:r>
    </w:p>
    <w:p w14:paraId="6D656F39">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一、投诉相关主体基本情况</w:t>
      </w:r>
    </w:p>
    <w:p w14:paraId="4D2AF54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w:t>
      </w:r>
    </w:p>
    <w:p w14:paraId="2CFB85A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1A538F2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法定代表人/主要负责人：</w:t>
      </w:r>
    </w:p>
    <w:p w14:paraId="1800791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438EDA8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授权代表：联系电话：</w:t>
      </w:r>
    </w:p>
    <w:p w14:paraId="78527FF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C3CB27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被投诉人1：</w:t>
      </w:r>
    </w:p>
    <w:p w14:paraId="2C48FF3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57FF4D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79495B5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被投诉人2：</w:t>
      </w:r>
    </w:p>
    <w:p w14:paraId="40ECAA3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39DF5B0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相关供应商：</w:t>
      </w:r>
    </w:p>
    <w:p w14:paraId="78AD594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C611F3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56A8105">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47DC276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二、投诉项目基本情况</w:t>
      </w:r>
    </w:p>
    <w:p w14:paraId="601167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采购项目名称：</w:t>
      </w:r>
    </w:p>
    <w:p w14:paraId="4CE1BE5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采购项目编号：包号：</w:t>
      </w:r>
    </w:p>
    <w:p w14:paraId="3491D64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4F21EF2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代理机构名称：</w:t>
      </w:r>
    </w:p>
    <w:p w14:paraId="6C392C2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采购文件公告:是/否公告期限：</w:t>
      </w:r>
    </w:p>
    <w:p w14:paraId="3D9672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采购结果公告:是/否公告期限：</w:t>
      </w:r>
    </w:p>
    <w:p w14:paraId="60C00471">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26A5A61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三、质疑基本情况</w:t>
      </w:r>
    </w:p>
    <w:p w14:paraId="7CDA01E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投诉人于年月日,向提出质疑，质疑事项为：</w:t>
      </w:r>
    </w:p>
    <w:p w14:paraId="312312B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76D9D1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采购人/代理机构于年月日,就质疑事项作出了答复/没有在法定期限内作出答复。</w:t>
      </w:r>
    </w:p>
    <w:p w14:paraId="1A82E9A1">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794056D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四、投诉事项具体内容</w:t>
      </w:r>
    </w:p>
    <w:p w14:paraId="1BD02FD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投诉事项1：</w:t>
      </w:r>
    </w:p>
    <w:p w14:paraId="4DF8195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148E465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544DCB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投诉事项2：</w:t>
      </w:r>
    </w:p>
    <w:p w14:paraId="56D10CD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607390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五、与投诉事项相关的投诉请求</w:t>
      </w:r>
    </w:p>
    <w:p w14:paraId="5B8E60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6855833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081A725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4A5CB4AE">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1B8BBD1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026950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投诉书制作说明：</w:t>
      </w:r>
    </w:p>
    <w:p w14:paraId="735A2F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1.投诉人提起投诉时，应当提交投诉书和必要的证明材料，并按照被投诉人和与投诉事项有关的供应商数量提供投诉书副本。</w:t>
      </w:r>
    </w:p>
    <w:p w14:paraId="3417D9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4CAFCA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3.投诉人若对项目的某一分包进行投诉，投诉书应列明具体分包号。</w:t>
      </w:r>
    </w:p>
    <w:p w14:paraId="3279879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4.投诉书应简要列明质疑事项，质疑函、质疑答复等作为附件材料提供。</w:t>
      </w:r>
    </w:p>
    <w:p w14:paraId="25D8E0D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5.投诉书的投诉事项应具体、明确，并有必要的事实依据和法律依据。</w:t>
      </w:r>
    </w:p>
    <w:p w14:paraId="707E8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6.投诉书的投诉请求应与投诉事项相关。</w:t>
      </w:r>
    </w:p>
    <w:p w14:paraId="2269EB4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7.投诉人为自然人的，投诉书应当由本人签字；投诉人为法人或者其他组织的，投诉书应当由法定代表人、主要负责人，或者其授权代表签字或者盖章，并加盖公章。</w:t>
      </w:r>
    </w:p>
    <w:p w14:paraId="06FF37A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8.在浙江省政府采购云平台提起投诉的，按照平台相关规定执行。</w:t>
      </w:r>
    </w:p>
    <w:p w14:paraId="555F44D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03AE2B7">
      <w:pPr>
        <w:pStyle w:val="3"/>
        <w:keepNext w:val="0"/>
        <w:keepLines w:val="0"/>
        <w:pageBreakBefore w:val="0"/>
        <w:widowControl/>
        <w:suppressLineNumbers w:val="0"/>
        <w:kinsoku/>
        <w:wordWrap/>
        <w:overflowPunct/>
        <w:topLinePunct w:val="0"/>
        <w:autoSpaceDN/>
        <w:bidi w:val="0"/>
        <w:adjustRightInd/>
        <w:snapToGrid/>
        <w:spacing w:beforeAutospacing="0" w:afterAutospacing="0" w:line="288" w:lineRule="auto"/>
        <w:ind w:left="0"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附件9：关于符合本国产品标准的声明函</w:t>
      </w:r>
    </w:p>
    <w:p w14:paraId="09B090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kern w:val="0"/>
          <w:sz w:val="21"/>
          <w:szCs w:val="21"/>
          <w:highlight w:val="none"/>
          <w:vertAlign w:val="baseline"/>
          <w:lang w:val="en-US" w:eastAsia="zh-CN" w:bidi="ar"/>
        </w:rPr>
        <w:t>关于符合本国产品标准的声明函</w:t>
      </w:r>
    </w:p>
    <w:p w14:paraId="4DBF050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B9D4F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本公司（单位）郑重声明，根据《国务院办公厅关于在政府采购中实施本国产品标准及相关政策的通知》（国办发〔2025〕34号）的规定，本公司（单位）提供的以下产品属于本国产品。具体情况如下：</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00"/>
        <w:gridCol w:w="1433"/>
        <w:gridCol w:w="1414"/>
        <w:gridCol w:w="1133"/>
        <w:gridCol w:w="2080"/>
        <w:gridCol w:w="1568"/>
        <w:gridCol w:w="1568"/>
      </w:tblGrid>
      <w:tr w14:paraId="73E3634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6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B99E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序号</w:t>
            </w:r>
          </w:p>
        </w:tc>
        <w:tc>
          <w:tcPr>
            <w:tcW w:w="13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4340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产品名称①</w:t>
            </w:r>
          </w:p>
        </w:tc>
        <w:tc>
          <w:tcPr>
            <w:tcW w:w="134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1E6B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生产厂名②</w:t>
            </w:r>
          </w:p>
        </w:tc>
        <w:tc>
          <w:tcPr>
            <w:tcW w:w="10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3D407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生产厂址</w:t>
            </w:r>
          </w:p>
        </w:tc>
        <w:tc>
          <w:tcPr>
            <w:tcW w:w="19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88828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中国境内生产的组件成本占比≥（规定比例）③</w:t>
            </w:r>
          </w:p>
        </w:tc>
        <w:tc>
          <w:tcPr>
            <w:tcW w:w="149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6208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在中国境内生产的（关键组件）④</w:t>
            </w:r>
          </w:p>
        </w:tc>
        <w:tc>
          <w:tcPr>
            <w:tcW w:w="149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F8CE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在中国境内完成的（关键工序）⑤</w:t>
            </w:r>
          </w:p>
        </w:tc>
      </w:tr>
      <w:tr w14:paraId="3B4B4FC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6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BE3C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1</w:t>
            </w:r>
          </w:p>
        </w:tc>
        <w:tc>
          <w:tcPr>
            <w:tcW w:w="13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3CB1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34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D42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0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A41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97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0D34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299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2895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r>
      <w:tr w14:paraId="550EC6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6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807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2</w:t>
            </w:r>
          </w:p>
        </w:tc>
        <w:tc>
          <w:tcPr>
            <w:tcW w:w="13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E14B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34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E7FB9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0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E1A2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97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40AD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E4F5E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A132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r>
      <w:tr w14:paraId="29A7A12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6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647BF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w:t>
            </w:r>
          </w:p>
        </w:tc>
        <w:tc>
          <w:tcPr>
            <w:tcW w:w="13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4FFA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34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F1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0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CAD8F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97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635D5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D263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B0AD1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r>
    </w:tbl>
    <w:p w14:paraId="4F853F28">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8526F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本公司（单位）对上述声明内容的真实性负责。如有虚假，愿承担相应法律责任。</w:t>
      </w:r>
    </w:p>
    <w:p w14:paraId="1B5DD7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公司（单位）名称（盖章）：</w:t>
      </w:r>
    </w:p>
    <w:p w14:paraId="090A76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u w:val="single"/>
          <w:vertAlign w:val="baseline"/>
          <w:lang w:val="en-US" w:eastAsia="zh-CN" w:bidi="ar"/>
        </w:rPr>
        <w:t>日期：    年  月  日</w:t>
      </w:r>
    </w:p>
    <w:p w14:paraId="258E87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p>
    <w:p w14:paraId="40DF3D3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注释：</w:t>
      </w:r>
    </w:p>
    <w:p w14:paraId="60C3410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①产品如有型号，请在“产品名称”栏一并填写。</w:t>
      </w:r>
    </w:p>
    <w:p w14:paraId="7730995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②生产厂名与厂址应与生产厂营业执照载明的相关信息保持一致。</w:t>
      </w:r>
    </w:p>
    <w:p w14:paraId="3AA585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③该产品的中国境内生产的组件成本占比相关要求实施前，“规定比例”栏可不填，下同。</w:t>
      </w:r>
    </w:p>
    <w:p w14:paraId="0E5903F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④该产品的关键组件要求实施前，“关键组件”栏可不填，下同。</w:t>
      </w:r>
    </w:p>
    <w:p w14:paraId="248B0D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⑤该产品的关键工序要求实施前，“关键工序”栏可不填，下同。</w:t>
      </w:r>
    </w:p>
    <w:p w14:paraId="138CCBC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475432B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kern w:val="0"/>
          <w:sz w:val="21"/>
          <w:szCs w:val="21"/>
          <w:highlight w:val="none"/>
          <w:vertAlign w:val="baseline"/>
          <w:lang w:val="en-US" w:eastAsia="zh-CN" w:bidi="ar"/>
        </w:rPr>
        <w:t>中国境内生产的组件成本核算基本规则</w:t>
      </w:r>
    </w:p>
    <w:p w14:paraId="5375C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5602CF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vertAlign w:val="baseline"/>
          <w:lang w:val="en-US" w:eastAsia="zh-CN"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EC1C3C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一、产品的一级组件是指直接组成产品的组件。产品的二级组件是指直接组成产品一级组件的组件。一级组件不可分解的，视同二级组件。</w:t>
      </w:r>
    </w:p>
    <w:p w14:paraId="592715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二、二级组件在中国境内生产的，其全部成本计入中国境内生产的组件成本；二级组件不在中国境内生产的，其成本不计入中国境内生产的组件成本。</w:t>
      </w:r>
    </w:p>
    <w:p w14:paraId="7D942A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三、产品总成本和组件成本以相关会计核算数据、采购合同、进货记录等为基础进行计算。</w:t>
      </w:r>
    </w:p>
    <w:p w14:paraId="233581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四、需要对成本核算规则予以进一步明确的其他有关事项，由财政部会同有关部门另行规定。</w:t>
      </w:r>
    </w:p>
    <w:p w14:paraId="4BEA8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baseline"/>
        </w:rPr>
        <w:br w:type="page"/>
      </w:r>
      <w:r>
        <w:rPr>
          <w:rFonts w:hint="eastAsia" w:ascii="宋体" w:hAnsi="宋体" w:eastAsia="宋体" w:cs="宋体"/>
          <w:b/>
          <w:bCs/>
          <w:color w:val="auto"/>
          <w:kern w:val="0"/>
          <w:sz w:val="21"/>
          <w:szCs w:val="21"/>
          <w:highlight w:val="none"/>
          <w:vertAlign w:val="baseline"/>
          <w:lang w:val="en-US" w:eastAsia="zh-CN" w:bidi="ar"/>
        </w:rPr>
        <w:t>关于本国产品成本比例的声明函</w:t>
      </w:r>
    </w:p>
    <w:p w14:paraId="0D2CED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6DFDE2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郑重声明，根据《国务院办公厅关于在政府采购中实施本国产品标准及相关政策的通知》（国办发〔2025〕34号）的规定，本公司（单位）提供的符合本国产品标准的产品成本之和占提供的全部产品成本之和的比例达到</w:t>
      </w:r>
      <w:r>
        <w:rPr>
          <w:rFonts w:hint="eastAsia" w:ascii="宋体" w:hAnsi="宋体" w:eastAsia="宋体" w:cs="宋体"/>
          <w:i w:val="0"/>
          <w:iCs w:val="0"/>
          <w:caps w:val="0"/>
          <w:color w:val="auto"/>
          <w:spacing w:val="0"/>
          <w:kern w:val="0"/>
          <w:sz w:val="21"/>
          <w:szCs w:val="21"/>
          <w:highlight w:val="none"/>
          <w:u w:val="single"/>
          <w:vertAlign w:val="baseline"/>
          <w:lang w:val="en-US" w:eastAsia="zh-CN" w:bidi="ar"/>
        </w:rPr>
        <w:t xml:space="preserve">    </w:t>
      </w:r>
      <w:r>
        <w:rPr>
          <w:rFonts w:hint="eastAsia" w:ascii="宋体" w:hAnsi="宋体" w:eastAsia="宋体" w:cs="宋体"/>
          <w:i w:val="0"/>
          <w:iCs w:val="0"/>
          <w:caps w:val="0"/>
          <w:color w:val="auto"/>
          <w:spacing w:val="0"/>
          <w:kern w:val="0"/>
          <w:sz w:val="21"/>
          <w:szCs w:val="21"/>
          <w:highlight w:val="none"/>
          <w:vertAlign w:val="baseline"/>
          <w:lang w:val="en-US" w:eastAsia="zh-CN" w:bidi="ar"/>
        </w:rPr>
        <w:t>%。</w:t>
      </w:r>
    </w:p>
    <w:p w14:paraId="539A971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本公司（单位）对上述声明内容的真实性负责。如有虚假，愿承担相应法律责任。</w:t>
      </w:r>
    </w:p>
    <w:p w14:paraId="1DA222F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4AE5EF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公司（单位）名称（盖章）：</w:t>
      </w:r>
    </w:p>
    <w:p w14:paraId="2D51C1B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i w:val="0"/>
          <w:iCs w:val="0"/>
          <w:caps w:val="0"/>
          <w:color w:val="auto"/>
          <w:spacing w:val="0"/>
          <w:kern w:val="0"/>
          <w:sz w:val="21"/>
          <w:szCs w:val="21"/>
          <w:highlight w:val="none"/>
          <w:vertAlign w:val="baseline"/>
          <w:lang w:val="en-US" w:eastAsia="zh-CN" w:bidi="ar"/>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日期：    年  月  日</w:t>
      </w:r>
    </w:p>
    <w:p w14:paraId="74A8C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right="0"/>
        <w:jc w:val="center"/>
        <w:textAlignment w:val="baseline"/>
        <w:outlineLvl w:val="2"/>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br w:type="page"/>
      </w:r>
      <w:r>
        <w:rPr>
          <w:rFonts w:hint="eastAsia" w:ascii="宋体" w:hAnsi="宋体" w:eastAsia="宋体" w:cs="宋体"/>
          <w:b/>
          <w:bCs/>
          <w:color w:val="auto"/>
          <w:kern w:val="0"/>
          <w:sz w:val="28"/>
          <w:szCs w:val="28"/>
          <w:highlight w:val="none"/>
          <w:lang w:val="en-US" w:eastAsia="zh-CN" w:bidi="ar"/>
        </w:rPr>
        <w:t>中小企业划型标准规定</w:t>
      </w:r>
    </w:p>
    <w:p w14:paraId="3474F0D5">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中小企业划型标准（参考数据表）</w:t>
      </w:r>
    </w:p>
    <w:p w14:paraId="1BDC2C8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92"/>
        <w:gridCol w:w="2078"/>
        <w:gridCol w:w="2022"/>
        <w:gridCol w:w="2015"/>
        <w:gridCol w:w="1889"/>
      </w:tblGrid>
      <w:tr w14:paraId="57FA1B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93D74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83415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2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9A447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1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2A7E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31E30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9DD22C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E0BD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农、林、牧、渔业</w:t>
            </w: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D3032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7F140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w:t>
            </w:r>
          </w:p>
        </w:tc>
        <w:tc>
          <w:tcPr>
            <w:tcW w:w="2015"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49F1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C3EB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4093A2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AF596">
            <w:pPr>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793DA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0636C2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25D17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F4313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72693A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9DA7C">
            <w:pPr>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86609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1475A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F132AB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5141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D97B9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267225">
            <w:pPr>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5CE831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CB635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064D2E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7B81C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E0C715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7A023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C33A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73147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A0120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7D620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BE97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ADD55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A4777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4607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225D5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24D1C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6FBA5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2E77BF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9C010">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9A0F7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58836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2ED29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A72E1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133E29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9F64E">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B0484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B2373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570D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C0C96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4BCE92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45C421">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4F2C6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87C55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71383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793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AC27AD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42DA190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6D034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FA47D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F91E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2979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D4DB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5C8E61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53ED8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建筑业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F1CB5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5F69EC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072C9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35F1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EB7EA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54F0AE">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897C5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221B8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715B7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8B61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42AF42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B38A58">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8304EF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14713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06400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5C943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1112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C75B3C">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1A0B4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1FBBC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BEB30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0C723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882B70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B5DE4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ACBA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6EA4B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7C71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7325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BBB5C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F636B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467E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批发业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C0E4D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41166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8557F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869B2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F490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86CE5">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90117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3B88C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2EB99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2B741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06DD5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17D6B4">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44DA8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99A76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9DEB6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1DEB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6E47F1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B703A0">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27291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E1823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6A0BF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36B20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661D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CA938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CBD4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0ABB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E0D65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BF82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932B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B57DDD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65" w:hRule="atLeast"/>
        </w:trPr>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69FEF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零售业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42B95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A40DF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7D890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9FB81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4E688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07B39F">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EFE96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5386C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A2C48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97838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755673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89572C">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745CC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BC8DB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DA44E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306C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AF12FF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FFC79B">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5BF5B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8CE7B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1F1ED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8D499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2A7C02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B49BEC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7AE3A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1F48A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7C8F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C9AD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5898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BA6E6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DDAD3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交通运输业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A616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0EFDD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FFE9D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881FF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C09CF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B85950">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11999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ABAE4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7EE71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42075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27144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CB822">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9111A3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CC5F4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03776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ABCE9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79EBB3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6A71DE">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3906D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AEA98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CB801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BFF6A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951756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C495F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FD0B9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7B4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FEC0D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1530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7A91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73C4D6E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E4BA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仓储业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B5E56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ADC52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2569E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3C76E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5AE8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06A1CD">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20A1E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E8DB0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5AD8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CA34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91319B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0579BC">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DE7C3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BF7A6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244EC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D35F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F8D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BAA35">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5E9C1B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E0E38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85DB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B1999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F9F127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59CD10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63F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8637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D7D5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29E54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A7A8D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F40941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91C90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邮政业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A7919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AA3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522629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4839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F6A41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43903B">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FE62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2CC81E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4246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5405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34A5E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3CFB2D">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827E2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35E9E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09DC4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F2311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31743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247173">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823AC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A4ADA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1EA3C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9E933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64BC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5293E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5530F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7E215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AFE0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00AF9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453B5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5C6A9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0A68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住宿业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6F74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E7D473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7C3AE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AD1C3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11EBF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610B9">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E52C7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56752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EAB6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579D8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68527D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A5A9B">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69C99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A8C5A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DA02BD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8046E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208D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64EFC">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03C8D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9EBA0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16D66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7DB6D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3D06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67A6E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FEC8A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B388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AABF5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F7C9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A9B22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2DF42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E891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餐饮业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F022B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42BB0C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8C1EB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5B16C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5C55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F8211">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6B8A5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9747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E37EE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FB159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36348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18FD06">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D4904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B04861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E4BF5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9945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63188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01A882">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557692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90979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A83D6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12E36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2B6B8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D767C3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09BB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2023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ACC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026EA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4661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1F56ABF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D127C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信息传输业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D13A7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8A44D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57B07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14F9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030147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665D1D">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CBDE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C4678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D0AC25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05DF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184B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1B3C1">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351232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76DCC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C1AB0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7970A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A281B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AEF045">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4BE0C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466DE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18F4C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2F3D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A4449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8EDA1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0ED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E612D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54B6A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979A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E629D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E1DAD1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E96F2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软件和信息技术服务业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7441E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F0279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1AE00B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F0533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6A9E8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4F9E19">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8157E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570CA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C659F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1AA0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3C1B2AF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F19A4">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57FFB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682DC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BE923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9A2ED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4A428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BFF11">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E66A6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2059E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8F3B5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87B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13B73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6EF043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DC11A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03911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B58FF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64C3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E09DE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B799E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22701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房地产开发经营</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A1D93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D390C5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38EA6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B392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376E7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E8F17">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755CA6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B153D6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375FB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5C8A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877BF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699183">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2FE2B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0B215F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2C0D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8E4DC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3F639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51526F">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72117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2DAC9C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00912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25DE5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640ACA3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FAB34D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A1422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2D0B4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2899A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3D4BC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604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89A04A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7CAA2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物业管理</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1CFAD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38D7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C5E71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3CAD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A22B7F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DCEE8A">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8D0F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2C7ECF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AE4A3B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C3C9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FEE0E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BC233">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94455D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E2531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2B3D1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BB1A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5D5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F7B28">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50111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CFD4A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C7A82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A6674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2B10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2482D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7D918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287F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EED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EB7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89CF8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2ED4D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DE4F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租赁和商务服务业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45977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6427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1C116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且≥120000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FD465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E548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2CC57">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C9F37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FD6EA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CBDC62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99A0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070301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5F8C4">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C46C1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2F19C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6521D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DAE8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33C02E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ED0C23">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74C9ED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FEEA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82B91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24D1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628852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19FA86E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CCC70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4C40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B3B0E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9F49E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B0E79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7DD01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D5C2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其他未列明行业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92FF7D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C7F2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462C2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223A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645FA0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BAF64">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9B9C3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B2BC6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BDCF7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8C68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EFE1C1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3D898">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265A9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61D3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762B0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5E1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43BB3CE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B9E98">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DDEF96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387911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0C104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3F81B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76A953D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10FA9D5">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中小企业划型标准规定</w:t>
      </w:r>
    </w:p>
    <w:p w14:paraId="02AC6AB2">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EF489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一、根据《中华人民共和国中小企业促进法》和《国务院关于进一步促进中小企业发展的若干意见》(国发〔2009〕36号)，制定本规定。</w:t>
      </w:r>
    </w:p>
    <w:p w14:paraId="099764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二、中小企业划分为中型、小型、微型三种类型，具体标准根据企业从业人员、营业收入、资产总额等指标，结合行业特点制定。</w:t>
      </w:r>
    </w:p>
    <w:p w14:paraId="563CD14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27D1C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四、各行业划型标准为：</w:t>
      </w:r>
    </w:p>
    <w:p w14:paraId="2EB7D1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4A44C95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1D3F78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564C9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6963E4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C1463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C72984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94F3E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A1633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0BB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0CCBCF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AC55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D82809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7D909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0C1D70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407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（十六）其他未列明行业。从业人员300人以下的为中小微型企业。其中，从业人员100人及以上的为中型企业；从业人员10人及以上的为小型企业；从业人员10人以下的为微型企业。</w:t>
      </w:r>
    </w:p>
    <w:p w14:paraId="6D94C8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五、企业类型的划分以统计部门的统计数据为依据。</w:t>
      </w:r>
    </w:p>
    <w:p w14:paraId="6EC258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六、本规定适用于在中华人民共和国境内依法设立的各类所有制和各种组织形式的企业。个体工商户和本规定以外的行业，参照本规定进行划型。</w:t>
      </w:r>
    </w:p>
    <w:p w14:paraId="1625FF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35DE1D2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八、本规定由工业和信息化部、国家统计局会同有关部门根据《国民经济行业分类》修订情况和企业发展变化情况适时修订。</w:t>
      </w:r>
    </w:p>
    <w:p w14:paraId="5A94E17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九、本规定由工业和信息化部、国家统计局会同有关部门负责解释。</w:t>
      </w:r>
    </w:p>
    <w:p w14:paraId="4CF367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十、本规定自发布之日起执行，原国家经贸委、原国家计委、财政部和国家统计局2003年颁布的《中小企业标准暂行规定》同时废止。</w:t>
      </w: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4401">
    <w:pPr>
      <w:pStyle w:val="4"/>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41FB6D2">
                <w:pPr>
                  <w:pStyle w:val="4"/>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5"/>
      <w:jc w:val="center"/>
    </w:pPr>
    <w:r>
      <w:rPr>
        <w:rFonts w:hint="eastAsia" w:eastAsiaTheme="minorEastAsia"/>
        <w:lang w:eastAsia="zh-CN"/>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hdrShapeDefaults>
    <o:shapelayout v:ext="edit">
      <o:idmap v:ext="edit" data="2"/>
    </o:shapelayout>
  </w:hdrShapeDefaults>
  <w:compat>
    <w:doNotExpandShiftReturn/>
    <w:useFELayout/>
    <w:splitPgBreakAndParaMark/>
    <w:compatSetting w:name="compatibilityMode" w:uri="http://schemas.microsoft.com/office/word" w:val="12"/>
  </w:compat>
  <w:rsids>
    <w:rsidRoot w:val="00000000"/>
    <w:rsid w:val="00E775CB"/>
    <w:rsid w:val="03C137B7"/>
    <w:rsid w:val="05CE49C6"/>
    <w:rsid w:val="06F96F5E"/>
    <w:rsid w:val="0CC26EAF"/>
    <w:rsid w:val="0F024638"/>
    <w:rsid w:val="104651D5"/>
    <w:rsid w:val="11AF6E25"/>
    <w:rsid w:val="15D22D02"/>
    <w:rsid w:val="196E061F"/>
    <w:rsid w:val="1C3B4576"/>
    <w:rsid w:val="2623635A"/>
    <w:rsid w:val="2A996B5B"/>
    <w:rsid w:val="3BE1672C"/>
    <w:rsid w:val="3BE30ABD"/>
    <w:rsid w:val="3E0D3390"/>
    <w:rsid w:val="40DD7177"/>
    <w:rsid w:val="42095809"/>
    <w:rsid w:val="444B08CD"/>
    <w:rsid w:val="445714E3"/>
    <w:rsid w:val="44DF168D"/>
    <w:rsid w:val="503A35E5"/>
    <w:rsid w:val="50CC1778"/>
    <w:rsid w:val="51B573C7"/>
    <w:rsid w:val="5BD00A2C"/>
    <w:rsid w:val="5C1F74CA"/>
    <w:rsid w:val="62C83819"/>
    <w:rsid w:val="631F344B"/>
    <w:rsid w:val="6A811388"/>
    <w:rsid w:val="6A9F399C"/>
    <w:rsid w:val="72E07B82"/>
    <w:rsid w:val="73F36EE0"/>
    <w:rsid w:val="767E369F"/>
    <w:rsid w:val="78613F13"/>
    <w:rsid w:val="7DC25C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61</Pages>
  <Words>3184</Words>
  <Characters>3660</Characters>
  <TotalTime>0</TotalTime>
  <ScaleCrop>false</ScaleCrop>
  <LinksUpToDate>false</LinksUpToDate>
  <CharactersWithSpaces>3678</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2026-08-25T05:22:28Z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2052-12.1.0.28043</vt:lpwstr>
  </property>
  <property fmtid="{D5CDD505-2E9C-101B-9397-08002B2CF9AE}" pid="4" name="ICV">
    <vt:lpwstr>709D5DBBB6684A02BDAB91568877A99B_12</vt:lpwstr>
  </property>
</Properties>
</file>