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1B5F2D">
      <w:pPr>
        <w:adjustRightInd w:val="0"/>
        <w:snapToGrid w:val="0"/>
        <w:spacing w:line="288" w:lineRule="auto"/>
        <w:rPr>
          <w:rFonts w:ascii="楷体" w:hAnsi="楷体" w:eastAsia="楷体" w:cs="Times New Roman"/>
          <w:b/>
          <w:color w:val="auto"/>
          <w:spacing w:val="-6"/>
          <w:sz w:val="44"/>
          <w:szCs w:val="44"/>
          <w:highlight w:val="none"/>
        </w:rPr>
      </w:pPr>
    </w:p>
    <w:p w14:paraId="37A0ECE7">
      <w:pPr>
        <w:adjustRightInd w:val="0"/>
        <w:snapToGrid w:val="0"/>
        <w:spacing w:line="288" w:lineRule="auto"/>
        <w:rPr>
          <w:rFonts w:ascii="楷体" w:hAnsi="楷体" w:eastAsia="楷体" w:cs="Times New Roman"/>
          <w:b/>
          <w:color w:val="auto"/>
          <w:spacing w:val="-6"/>
          <w:sz w:val="44"/>
          <w:szCs w:val="44"/>
          <w:highlight w:val="none"/>
        </w:rPr>
      </w:pPr>
    </w:p>
    <w:p w14:paraId="3BB3FDF2">
      <w:pPr>
        <w:adjustRightInd w:val="0"/>
        <w:snapToGrid w:val="0"/>
        <w:spacing w:line="288" w:lineRule="auto"/>
        <w:rPr>
          <w:rFonts w:ascii="楷体" w:hAnsi="楷体" w:eastAsia="楷体" w:cs="Times New Roman"/>
          <w:b/>
          <w:color w:val="auto"/>
          <w:spacing w:val="-6"/>
          <w:sz w:val="44"/>
          <w:szCs w:val="44"/>
          <w:highlight w:val="none"/>
        </w:rPr>
      </w:pPr>
    </w:p>
    <w:p w14:paraId="7BB8BAFA">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浙江省人防指挥工程管理所</w:t>
      </w:r>
    </w:p>
    <w:p w14:paraId="2D13D489">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前山山坡坡道边坡加固治理工程项目</w:t>
      </w:r>
    </w:p>
    <w:p w14:paraId="443F2AD7">
      <w:pPr>
        <w:adjustRightInd w:val="0"/>
        <w:snapToGrid w:val="0"/>
        <w:spacing w:line="288" w:lineRule="auto"/>
        <w:jc w:val="center"/>
        <w:rPr>
          <w:rFonts w:ascii="楷体" w:hAnsi="楷体" w:eastAsia="楷体" w:cs="楷体"/>
          <w:b/>
          <w:bCs/>
          <w:color w:val="auto"/>
          <w:sz w:val="48"/>
          <w:szCs w:val="48"/>
          <w:highlight w:val="none"/>
        </w:rPr>
      </w:pPr>
    </w:p>
    <w:p w14:paraId="1100E0DF">
      <w:pPr>
        <w:adjustRightInd w:val="0"/>
        <w:snapToGrid w:val="0"/>
        <w:spacing w:line="288" w:lineRule="auto"/>
        <w:jc w:val="center"/>
        <w:rPr>
          <w:rFonts w:ascii="楷体" w:hAnsi="楷体" w:eastAsia="楷体" w:cs="楷体"/>
          <w:b/>
          <w:bCs/>
          <w:color w:val="auto"/>
          <w:sz w:val="48"/>
          <w:szCs w:val="48"/>
          <w:highlight w:val="none"/>
        </w:rPr>
      </w:pPr>
    </w:p>
    <w:p w14:paraId="3CB625B8">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14:paraId="5C92B96B">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14:paraId="113F3FE8">
      <w:pPr>
        <w:adjustRightInd w:val="0"/>
        <w:snapToGrid w:val="0"/>
        <w:spacing w:line="288" w:lineRule="auto"/>
        <w:jc w:val="center"/>
        <w:rPr>
          <w:rFonts w:ascii="楷体" w:hAnsi="楷体" w:eastAsia="楷体" w:cs="楷体"/>
          <w:b/>
          <w:bCs/>
          <w:color w:val="auto"/>
          <w:sz w:val="36"/>
          <w:szCs w:val="36"/>
          <w:highlight w:val="none"/>
        </w:rPr>
      </w:pPr>
    </w:p>
    <w:p w14:paraId="47712BD0">
      <w:pPr>
        <w:adjustRightInd w:val="0"/>
        <w:snapToGrid w:val="0"/>
        <w:spacing w:line="288" w:lineRule="auto"/>
        <w:jc w:val="center"/>
        <w:rPr>
          <w:rFonts w:ascii="楷体" w:hAnsi="楷体" w:eastAsia="楷体" w:cs="楷体"/>
          <w:b/>
          <w:bCs/>
          <w:color w:val="auto"/>
          <w:sz w:val="36"/>
          <w:szCs w:val="36"/>
          <w:highlight w:val="none"/>
        </w:rPr>
      </w:pPr>
    </w:p>
    <w:p w14:paraId="65BADAE1">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前山山坡坡道边坡加固治理工程项目</w:t>
      </w:r>
    </w:p>
    <w:p w14:paraId="4C8200C1">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QSZBC250288ZGCSL</w:t>
      </w:r>
    </w:p>
    <w:p w14:paraId="21896B52">
      <w:pPr>
        <w:adjustRightInd w:val="0"/>
        <w:snapToGrid w:val="0"/>
        <w:spacing w:line="288" w:lineRule="auto"/>
        <w:rPr>
          <w:rFonts w:hint="default" w:ascii="楷体" w:hAnsi="楷体" w:eastAsia="楷体" w:cs="楷体"/>
          <w:b/>
          <w:bCs/>
          <w:color w:val="auto"/>
          <w:sz w:val="30"/>
          <w:szCs w:val="30"/>
          <w:highlight w:val="none"/>
          <w:lang w:val="en-US"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浙江省人防指挥工程管理所</w:t>
      </w:r>
    </w:p>
    <w:p w14:paraId="51854E07">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14:paraId="5C0901D4">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采购计划文号：[2025]76646号</w:t>
      </w:r>
    </w:p>
    <w:p w14:paraId="06B97BA0">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14:paraId="0C361317">
      <w:pPr>
        <w:adjustRightInd w:val="0"/>
        <w:snapToGrid w:val="0"/>
        <w:spacing w:line="288" w:lineRule="auto"/>
        <w:rPr>
          <w:rFonts w:ascii="楷体" w:hAnsi="楷体" w:eastAsia="楷体" w:cs="楷体"/>
          <w:b/>
          <w:bCs/>
          <w:color w:val="auto"/>
          <w:sz w:val="30"/>
          <w:szCs w:val="30"/>
          <w:highlight w:val="none"/>
        </w:rPr>
      </w:pPr>
    </w:p>
    <w:p w14:paraId="355FE049">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14:paraId="0C99EAA4">
      <w:pPr>
        <w:adjustRightInd w:val="0"/>
        <w:snapToGrid w:val="0"/>
        <w:spacing w:line="288" w:lineRule="auto"/>
        <w:rPr>
          <w:rFonts w:ascii="楷体" w:hAnsi="楷体" w:eastAsia="楷体" w:cs="楷体"/>
          <w:b/>
          <w:bCs/>
          <w:color w:val="auto"/>
          <w:sz w:val="30"/>
          <w:szCs w:val="30"/>
          <w:highlight w:val="none"/>
        </w:rPr>
      </w:pPr>
    </w:p>
    <w:p w14:paraId="2088E3AC">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14:paraId="5D1761DD">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14:paraId="71CCE109">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14:paraId="1B466B60">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14:paraId="4618CB57">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14:paraId="275497AC">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14:paraId="09855006">
      <w:pPr>
        <w:widowControl/>
        <w:jc w:val="left"/>
        <w:rPr>
          <w:color w:val="auto"/>
          <w:highlight w:val="none"/>
        </w:rPr>
      </w:pPr>
    </w:p>
    <w:p w14:paraId="5786CA19">
      <w:pPr>
        <w:widowControl/>
        <w:jc w:val="left"/>
        <w:rPr>
          <w:color w:val="auto"/>
          <w:highlight w:val="none"/>
        </w:rPr>
      </w:pPr>
    </w:p>
    <w:p w14:paraId="7F2FF094">
      <w:pPr>
        <w:bidi w:val="0"/>
        <w:rPr>
          <w:rFonts w:ascii="宋体" w:hAnsi="宋体" w:eastAsia="宋体" w:cs="宋体"/>
          <w:color w:val="auto"/>
          <w:kern w:val="2"/>
          <w:sz w:val="24"/>
          <w:szCs w:val="24"/>
          <w:highlight w:val="none"/>
          <w:lang w:val="en-US" w:eastAsia="zh-CN" w:bidi="ar-SA"/>
        </w:rPr>
      </w:pPr>
    </w:p>
    <w:p w14:paraId="32BD9BFE">
      <w:pPr>
        <w:bidi w:val="0"/>
        <w:rPr>
          <w:color w:val="auto"/>
          <w:highlight w:val="none"/>
          <w:lang w:val="en-US" w:eastAsia="zh-CN"/>
        </w:rPr>
      </w:pPr>
    </w:p>
    <w:p w14:paraId="7DB782C0">
      <w:pPr>
        <w:bidi w:val="0"/>
        <w:rPr>
          <w:color w:val="auto"/>
          <w:highlight w:val="none"/>
          <w:lang w:val="en-US" w:eastAsia="zh-CN"/>
        </w:rPr>
      </w:pPr>
    </w:p>
    <w:p w14:paraId="6EB0CB3A">
      <w:pPr>
        <w:bidi w:val="0"/>
        <w:rPr>
          <w:color w:val="auto"/>
          <w:highlight w:val="none"/>
          <w:lang w:val="en-US" w:eastAsia="zh-CN"/>
        </w:rPr>
      </w:pPr>
    </w:p>
    <w:p w14:paraId="4153D58D">
      <w:pPr>
        <w:bidi w:val="0"/>
        <w:rPr>
          <w:color w:val="auto"/>
          <w:highlight w:val="none"/>
          <w:lang w:val="en-US" w:eastAsia="zh-CN"/>
        </w:rPr>
      </w:pPr>
    </w:p>
    <w:p w14:paraId="7E369384">
      <w:pPr>
        <w:bidi w:val="0"/>
        <w:rPr>
          <w:color w:val="auto"/>
          <w:highlight w:val="none"/>
          <w:lang w:val="en-US" w:eastAsia="zh-CN"/>
        </w:rPr>
      </w:pPr>
    </w:p>
    <w:p w14:paraId="4F39A7B0">
      <w:pPr>
        <w:bidi w:val="0"/>
        <w:rPr>
          <w:color w:val="auto"/>
          <w:highlight w:val="none"/>
          <w:lang w:val="en-US" w:eastAsia="zh-CN"/>
        </w:rPr>
      </w:pPr>
    </w:p>
    <w:p w14:paraId="33CB2167">
      <w:pPr>
        <w:bidi w:val="0"/>
        <w:rPr>
          <w:color w:val="auto"/>
          <w:highlight w:val="none"/>
          <w:lang w:val="en-US" w:eastAsia="zh-CN"/>
        </w:rPr>
      </w:pPr>
    </w:p>
    <w:p w14:paraId="15836B92">
      <w:pPr>
        <w:bidi w:val="0"/>
        <w:rPr>
          <w:color w:val="auto"/>
          <w:highlight w:val="none"/>
          <w:lang w:val="en-US" w:eastAsia="zh-CN"/>
        </w:rPr>
      </w:pPr>
    </w:p>
    <w:p w14:paraId="0974ABD5">
      <w:pPr>
        <w:bidi w:val="0"/>
        <w:rPr>
          <w:color w:val="auto"/>
          <w:highlight w:val="none"/>
          <w:lang w:val="en-US" w:eastAsia="zh-CN"/>
        </w:rPr>
      </w:pPr>
    </w:p>
    <w:p w14:paraId="0FAAD2C3">
      <w:pPr>
        <w:bidi w:val="0"/>
        <w:rPr>
          <w:color w:val="auto"/>
          <w:highlight w:val="none"/>
          <w:lang w:val="en-US" w:eastAsia="zh-CN"/>
        </w:rPr>
      </w:pPr>
    </w:p>
    <w:p w14:paraId="6C4DA393">
      <w:pPr>
        <w:bidi w:val="0"/>
        <w:rPr>
          <w:color w:val="auto"/>
          <w:highlight w:val="none"/>
          <w:lang w:val="en-US" w:eastAsia="zh-CN"/>
        </w:rPr>
      </w:pPr>
    </w:p>
    <w:p w14:paraId="2CD3D38B">
      <w:pPr>
        <w:bidi w:val="0"/>
        <w:rPr>
          <w:color w:val="auto"/>
          <w:highlight w:val="none"/>
          <w:lang w:val="en-US" w:eastAsia="zh-CN"/>
        </w:rPr>
      </w:pPr>
    </w:p>
    <w:p w14:paraId="4F7F8FCE">
      <w:pPr>
        <w:bidi w:val="0"/>
        <w:rPr>
          <w:color w:val="auto"/>
          <w:highlight w:val="none"/>
          <w:lang w:val="en-US" w:eastAsia="zh-CN"/>
        </w:rPr>
      </w:pPr>
    </w:p>
    <w:p w14:paraId="6DABA96F">
      <w:pPr>
        <w:tabs>
          <w:tab w:val="left" w:pos="6412"/>
        </w:tabs>
        <w:bidi w:val="0"/>
        <w:jc w:val="left"/>
        <w:rPr>
          <w:color w:val="auto"/>
          <w:highlight w:val="none"/>
          <w:lang w:val="en-US" w:eastAsia="zh-CN"/>
        </w:rPr>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r>
        <w:rPr>
          <w:rFonts w:hint="eastAsia"/>
          <w:color w:val="auto"/>
          <w:highlight w:val="none"/>
          <w:lang w:val="en-US" w:eastAsia="zh-CN"/>
        </w:rPr>
        <w:tab/>
      </w:r>
    </w:p>
    <w:p w14:paraId="57A7A314">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14:paraId="649E4FDB">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14:paraId="28773575">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前山山坡坡道边坡加固治理工程项目</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w:t>
      </w:r>
      <w:r>
        <w:rPr>
          <w:rFonts w:hint="eastAsia"/>
          <w:b/>
          <w:color w:val="auto"/>
          <w:sz w:val="21"/>
          <w:szCs w:val="21"/>
          <w:highlight w:val="none"/>
          <w:u w:val="single"/>
          <w:lang w:eastAsia="zh-CN"/>
        </w:rPr>
        <w:t>202</w:t>
      </w:r>
      <w:r>
        <w:rPr>
          <w:rFonts w:hint="eastAsia"/>
          <w:b/>
          <w:color w:val="auto"/>
          <w:sz w:val="21"/>
          <w:szCs w:val="21"/>
          <w:highlight w:val="none"/>
          <w:u w:val="single"/>
          <w:lang w:val="en-US" w:eastAsia="zh-CN"/>
        </w:rPr>
        <w:t>5</w:t>
      </w:r>
      <w:r>
        <w:rPr>
          <w:rFonts w:hint="eastAsia"/>
          <w:b/>
          <w:color w:val="auto"/>
          <w:sz w:val="21"/>
          <w:szCs w:val="21"/>
          <w:highlight w:val="none"/>
          <w:u w:val="single"/>
          <w:lang w:eastAsia="zh-CN"/>
        </w:rPr>
        <w:t>年</w:t>
      </w:r>
      <w:r>
        <w:rPr>
          <w:rFonts w:hint="eastAsia"/>
          <w:b/>
          <w:color w:val="auto"/>
          <w:sz w:val="21"/>
          <w:szCs w:val="21"/>
          <w:highlight w:val="none"/>
          <w:u w:val="single"/>
          <w:lang w:val="en-US" w:eastAsia="zh-CN"/>
        </w:rPr>
        <w:t>12</w:t>
      </w:r>
      <w:r>
        <w:rPr>
          <w:rFonts w:hint="eastAsia"/>
          <w:b/>
          <w:color w:val="auto"/>
          <w:sz w:val="21"/>
          <w:szCs w:val="21"/>
          <w:highlight w:val="none"/>
          <w:u w:val="single"/>
          <w:lang w:eastAsia="zh-CN"/>
        </w:rPr>
        <w:t>月</w:t>
      </w:r>
      <w:r>
        <w:rPr>
          <w:rFonts w:hint="eastAsia"/>
          <w:b/>
          <w:color w:val="auto"/>
          <w:sz w:val="21"/>
          <w:szCs w:val="21"/>
          <w:highlight w:val="none"/>
          <w:u w:val="single"/>
          <w:lang w:val="en-US" w:eastAsia="zh-CN"/>
        </w:rPr>
        <w:t>2</w:t>
      </w:r>
      <w:r>
        <w:rPr>
          <w:rFonts w:hint="eastAsia"/>
          <w:b/>
          <w:color w:val="auto"/>
          <w:sz w:val="21"/>
          <w:szCs w:val="21"/>
          <w:highlight w:val="none"/>
          <w:u w:val="single"/>
          <w:lang w:eastAsia="zh-CN"/>
        </w:rPr>
        <w:t>日</w:t>
      </w:r>
      <w:r>
        <w:rPr>
          <w:rFonts w:hint="eastAsia"/>
          <w:b/>
          <w:color w:val="auto"/>
          <w:sz w:val="21"/>
          <w:szCs w:val="21"/>
          <w:highlight w:val="none"/>
          <w:u w:val="single"/>
          <w:lang w:val="en-US" w:eastAsia="zh-CN"/>
        </w:rPr>
        <w:t>9</w:t>
      </w:r>
      <w:r>
        <w:rPr>
          <w:rFonts w:hint="eastAsia"/>
          <w:b/>
          <w:color w:val="auto"/>
          <w:sz w:val="21"/>
          <w:szCs w:val="21"/>
          <w:highlight w:val="none"/>
          <w:u w:val="single"/>
          <w:lang w:eastAsia="zh-CN"/>
        </w:rPr>
        <w:t>:</w:t>
      </w:r>
      <w:r>
        <w:rPr>
          <w:rFonts w:hint="eastAsia"/>
          <w:b/>
          <w:color w:val="auto"/>
          <w:sz w:val="21"/>
          <w:szCs w:val="21"/>
          <w:highlight w:val="none"/>
          <w:u w:val="single"/>
          <w:lang w:val="en-US" w:eastAsia="zh-CN"/>
        </w:rPr>
        <w:t>0</w:t>
      </w:r>
      <w:r>
        <w:rPr>
          <w:rFonts w:hint="eastAsia"/>
          <w:b/>
          <w:color w:val="auto"/>
          <w:sz w:val="21"/>
          <w:szCs w:val="21"/>
          <w:highlight w:val="none"/>
          <w:u w:val="single"/>
          <w:lang w:eastAsia="zh-CN"/>
        </w:rPr>
        <w:t>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14:paraId="431A5754">
      <w:pPr>
        <w:adjustRightInd w:val="0"/>
        <w:snapToGrid w:val="0"/>
        <w:spacing w:line="288" w:lineRule="auto"/>
        <w:rPr>
          <w:b/>
          <w:color w:val="auto"/>
          <w:sz w:val="21"/>
          <w:szCs w:val="21"/>
          <w:highlight w:val="none"/>
        </w:rPr>
      </w:pPr>
      <w:bookmarkStart w:id="0" w:name="_Toc35393790"/>
      <w:bookmarkStart w:id="1" w:name="_Toc28359002"/>
      <w:bookmarkStart w:id="2" w:name="_Toc35393621"/>
      <w:bookmarkStart w:id="3" w:name="_Toc28359079"/>
      <w:bookmarkStart w:id="4" w:name="_Hlk24379207"/>
      <w:r>
        <w:rPr>
          <w:rFonts w:hint="eastAsia"/>
          <w:b/>
          <w:color w:val="auto"/>
          <w:sz w:val="21"/>
          <w:szCs w:val="21"/>
          <w:highlight w:val="none"/>
        </w:rPr>
        <w:t>一、项目基本情况</w:t>
      </w:r>
      <w:bookmarkEnd w:id="0"/>
      <w:bookmarkEnd w:id="1"/>
      <w:bookmarkEnd w:id="2"/>
      <w:bookmarkEnd w:id="3"/>
    </w:p>
    <w:p w14:paraId="3CA224D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QSZBC250288ZGCSL</w:t>
      </w:r>
    </w:p>
    <w:p w14:paraId="6A670901">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前山山坡坡道边坡加固治理工程项目</w:t>
      </w:r>
    </w:p>
    <w:p w14:paraId="1314767B">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14:paraId="6AD6965D">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w:t>
      </w:r>
      <w:r>
        <w:rPr>
          <w:rFonts w:hint="eastAsia"/>
          <w:color w:val="auto"/>
          <w:sz w:val="21"/>
          <w:szCs w:val="21"/>
          <w:highlight w:val="none"/>
          <w:lang w:val="en-US" w:eastAsia="zh-CN"/>
        </w:rPr>
        <w:t>48万元</w:t>
      </w:r>
    </w:p>
    <w:p w14:paraId="136FD852">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w:t>
      </w:r>
      <w:r>
        <w:rPr>
          <w:rFonts w:hint="eastAsia"/>
          <w:color w:val="auto"/>
          <w:sz w:val="21"/>
          <w:szCs w:val="21"/>
          <w:highlight w:val="none"/>
          <w:lang w:val="en-US" w:eastAsia="zh-CN"/>
        </w:rPr>
        <w:t>48万元</w:t>
      </w:r>
    </w:p>
    <w:p w14:paraId="256E75F1">
      <w:pPr>
        <w:adjustRightInd w:val="0"/>
        <w:snapToGrid w:val="0"/>
        <w:spacing w:line="288" w:lineRule="auto"/>
        <w:ind w:firstLine="420" w:firstLineChars="200"/>
        <w:rPr>
          <w:rFonts w:hint="eastAsia" w:eastAsia="宋体"/>
          <w:color w:val="auto"/>
          <w:spacing w:val="-6"/>
          <w:sz w:val="21"/>
          <w:szCs w:val="21"/>
          <w:highlight w:val="none"/>
          <w:lang w:val="en-US" w:eastAsia="zh-CN"/>
        </w:rPr>
      </w:pPr>
      <w:r>
        <w:rPr>
          <w:color w:val="auto"/>
          <w:sz w:val="21"/>
          <w:szCs w:val="21"/>
          <w:highlight w:val="none"/>
        </w:rPr>
        <w:t>6.</w:t>
      </w:r>
      <w:r>
        <w:rPr>
          <w:rFonts w:hint="eastAsia"/>
          <w:color w:val="auto"/>
          <w:sz w:val="21"/>
          <w:szCs w:val="21"/>
          <w:highlight w:val="none"/>
        </w:rPr>
        <w:t>合同履约期限：</w:t>
      </w:r>
      <w:r>
        <w:rPr>
          <w:rFonts w:hint="eastAsia" w:ascii="宋体" w:hAnsi="宋体" w:eastAsia="宋体" w:cs="宋体"/>
          <w:color w:val="auto"/>
          <w:sz w:val="21"/>
          <w:szCs w:val="21"/>
          <w:highlight w:val="none"/>
          <w:lang w:val="en-US" w:eastAsia="zh-CN"/>
        </w:rPr>
        <w:t>合同签订后，</w:t>
      </w:r>
      <w:r>
        <w:rPr>
          <w:rFonts w:hint="eastAsia" w:cs="宋体"/>
          <w:color w:val="auto"/>
          <w:sz w:val="21"/>
          <w:szCs w:val="21"/>
          <w:highlight w:val="none"/>
          <w:lang w:val="en-US" w:eastAsia="zh-CN"/>
        </w:rPr>
        <w:t>90天</w:t>
      </w:r>
      <w:r>
        <w:rPr>
          <w:rFonts w:hint="eastAsia" w:ascii="宋体" w:hAnsi="宋体" w:eastAsia="宋体" w:cs="宋体"/>
          <w:color w:val="auto"/>
          <w:sz w:val="21"/>
          <w:szCs w:val="21"/>
          <w:highlight w:val="none"/>
          <w:lang w:val="en-US" w:eastAsia="zh-CN"/>
        </w:rPr>
        <w:t>内完成</w:t>
      </w:r>
    </w:p>
    <w:p w14:paraId="79F582D0">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本项目（是）接受联合体响应。</w:t>
      </w:r>
    </w:p>
    <w:p w14:paraId="28F1FA58">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2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838"/>
        <w:gridCol w:w="903"/>
        <w:gridCol w:w="905"/>
        <w:gridCol w:w="3982"/>
      </w:tblGrid>
      <w:tr w14:paraId="54619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1993" w:type="pct"/>
            <w:tcBorders>
              <w:right w:val="single" w:color="auto" w:sz="4" w:space="0"/>
              <w:tl2br w:val="nil"/>
              <w:tr2bl w:val="nil"/>
            </w:tcBorders>
            <w:vAlign w:val="center"/>
          </w:tcPr>
          <w:p w14:paraId="7CFDE4F9">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469" w:type="pct"/>
            <w:tcBorders>
              <w:tl2br w:val="nil"/>
              <w:tr2bl w:val="nil"/>
            </w:tcBorders>
            <w:vAlign w:val="center"/>
          </w:tcPr>
          <w:p w14:paraId="519C554C">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470" w:type="pct"/>
            <w:tcBorders>
              <w:tl2br w:val="nil"/>
              <w:tr2bl w:val="nil"/>
            </w:tcBorders>
            <w:vAlign w:val="center"/>
          </w:tcPr>
          <w:p w14:paraId="330F2979">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2068" w:type="pct"/>
            <w:tcBorders>
              <w:right w:val="single" w:color="auto" w:sz="4" w:space="0"/>
              <w:tl2br w:val="nil"/>
              <w:tr2bl w:val="nil"/>
            </w:tcBorders>
            <w:vAlign w:val="center"/>
          </w:tcPr>
          <w:p w14:paraId="6F1C9131">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简要技术需求或服务要求</w:t>
            </w:r>
          </w:p>
        </w:tc>
      </w:tr>
      <w:tr w14:paraId="227B7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1993" w:type="pct"/>
            <w:tcBorders>
              <w:right w:val="single" w:color="auto" w:sz="4" w:space="0"/>
              <w:tl2br w:val="nil"/>
              <w:tr2bl w:val="nil"/>
            </w:tcBorders>
            <w:vAlign w:val="center"/>
          </w:tcPr>
          <w:p w14:paraId="5A495E93">
            <w:pPr>
              <w:adjustRightInd w:val="0"/>
              <w:snapToGrid w:val="0"/>
              <w:spacing w:line="288" w:lineRule="auto"/>
              <w:jc w:val="center"/>
              <w:rPr>
                <w:rFonts w:hint="eastAsia" w:eastAsia="宋体"/>
                <w:bCs/>
                <w:color w:val="auto"/>
                <w:sz w:val="21"/>
                <w:szCs w:val="21"/>
                <w:highlight w:val="none"/>
                <w:lang w:eastAsia="zh-CN"/>
              </w:rPr>
            </w:pPr>
            <w:r>
              <w:rPr>
                <w:rFonts w:hint="eastAsia"/>
                <w:bCs/>
                <w:color w:val="auto"/>
                <w:sz w:val="21"/>
                <w:szCs w:val="21"/>
                <w:highlight w:val="none"/>
                <w:lang w:eastAsia="zh-CN"/>
              </w:rPr>
              <w:t>前山山坡坡道边坡加固治理工程项目</w:t>
            </w:r>
          </w:p>
        </w:tc>
        <w:tc>
          <w:tcPr>
            <w:tcW w:w="469" w:type="pct"/>
            <w:tcBorders>
              <w:tl2br w:val="nil"/>
              <w:tr2bl w:val="nil"/>
            </w:tcBorders>
            <w:vAlign w:val="center"/>
          </w:tcPr>
          <w:p w14:paraId="42131934">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470" w:type="pct"/>
            <w:tcBorders>
              <w:tl2br w:val="nil"/>
              <w:tr2bl w:val="nil"/>
            </w:tcBorders>
            <w:vAlign w:val="center"/>
          </w:tcPr>
          <w:p w14:paraId="0205356E">
            <w:pPr>
              <w:adjustRightInd w:val="0"/>
              <w:snapToGrid w:val="0"/>
              <w:spacing w:line="288" w:lineRule="auto"/>
              <w:jc w:val="center"/>
              <w:rPr>
                <w:bCs/>
                <w:color w:val="auto"/>
                <w:sz w:val="21"/>
                <w:szCs w:val="21"/>
                <w:highlight w:val="none"/>
              </w:rPr>
            </w:pPr>
            <w:r>
              <w:rPr>
                <w:rFonts w:hint="eastAsia"/>
                <w:bCs/>
                <w:color w:val="auto"/>
                <w:sz w:val="21"/>
                <w:szCs w:val="21"/>
                <w:highlight w:val="none"/>
              </w:rPr>
              <w:t>项</w:t>
            </w:r>
          </w:p>
        </w:tc>
        <w:tc>
          <w:tcPr>
            <w:tcW w:w="2068" w:type="pct"/>
            <w:tcBorders>
              <w:right w:val="single" w:color="auto" w:sz="4" w:space="0"/>
              <w:tl2br w:val="nil"/>
              <w:tr2bl w:val="nil"/>
            </w:tcBorders>
            <w:vAlign w:val="center"/>
          </w:tcPr>
          <w:p w14:paraId="563F5CFE">
            <w:pPr>
              <w:adjustRightInd w:val="0"/>
              <w:snapToGrid w:val="0"/>
              <w:spacing w:line="288" w:lineRule="auto"/>
              <w:jc w:val="left"/>
              <w:rPr>
                <w:bCs/>
                <w:color w:val="auto"/>
                <w:sz w:val="21"/>
                <w:szCs w:val="21"/>
                <w:highlight w:val="none"/>
              </w:rPr>
            </w:pPr>
            <w:r>
              <w:rPr>
                <w:rFonts w:hint="eastAsia"/>
                <w:bCs/>
                <w:color w:val="auto"/>
                <w:sz w:val="21"/>
                <w:szCs w:val="21"/>
                <w:highlight w:val="none"/>
              </w:rPr>
              <w:t>具体详见</w:t>
            </w:r>
            <w:r>
              <w:rPr>
                <w:rFonts w:hint="eastAsia"/>
                <w:bCs/>
                <w:color w:val="auto"/>
                <w:sz w:val="21"/>
                <w:szCs w:val="21"/>
                <w:highlight w:val="none"/>
                <w:lang w:val="en-US" w:eastAsia="zh-CN"/>
              </w:rPr>
              <w:t>磋商文件、</w:t>
            </w:r>
            <w:r>
              <w:rPr>
                <w:rFonts w:hint="eastAsia"/>
                <w:bCs/>
                <w:color w:val="auto"/>
                <w:sz w:val="21"/>
                <w:szCs w:val="21"/>
                <w:highlight w:val="none"/>
              </w:rPr>
              <w:t>工程量清单</w:t>
            </w:r>
            <w:r>
              <w:rPr>
                <w:rFonts w:hint="eastAsia"/>
                <w:bCs/>
                <w:color w:val="auto"/>
                <w:sz w:val="21"/>
                <w:szCs w:val="21"/>
                <w:highlight w:val="none"/>
                <w:lang w:eastAsia="zh-CN"/>
              </w:rPr>
              <w:t>、</w:t>
            </w:r>
            <w:r>
              <w:rPr>
                <w:rFonts w:hint="eastAsia"/>
                <w:bCs/>
                <w:color w:val="auto"/>
                <w:sz w:val="21"/>
                <w:szCs w:val="21"/>
                <w:highlight w:val="none"/>
                <w:lang w:val="en-US" w:eastAsia="zh-CN"/>
              </w:rPr>
              <w:t>图纸</w:t>
            </w:r>
            <w:r>
              <w:rPr>
                <w:rFonts w:hint="eastAsia"/>
                <w:bCs/>
                <w:color w:val="auto"/>
                <w:sz w:val="21"/>
                <w:szCs w:val="21"/>
                <w:highlight w:val="none"/>
              </w:rPr>
              <w:t>。</w:t>
            </w:r>
          </w:p>
        </w:tc>
      </w:tr>
    </w:tbl>
    <w:p w14:paraId="2C5D904D">
      <w:pPr>
        <w:adjustRightInd w:val="0"/>
        <w:snapToGrid w:val="0"/>
        <w:spacing w:line="288" w:lineRule="auto"/>
        <w:rPr>
          <w:b/>
          <w:color w:val="auto"/>
          <w:sz w:val="21"/>
          <w:szCs w:val="21"/>
          <w:highlight w:val="none"/>
        </w:rPr>
      </w:pPr>
      <w:bookmarkStart w:id="5" w:name="_Toc28359080"/>
      <w:bookmarkStart w:id="6" w:name="_Toc28359003"/>
      <w:bookmarkStart w:id="7" w:name="_Toc35393622"/>
      <w:bookmarkStart w:id="8" w:name="_Toc35393791"/>
      <w:r>
        <w:rPr>
          <w:rFonts w:hint="eastAsia"/>
          <w:b/>
          <w:color w:val="auto"/>
          <w:sz w:val="21"/>
          <w:szCs w:val="21"/>
          <w:highlight w:val="none"/>
        </w:rPr>
        <w:t>二、申请人的资格要求：</w:t>
      </w:r>
      <w:bookmarkEnd w:id="5"/>
      <w:bookmarkEnd w:id="6"/>
      <w:bookmarkEnd w:id="7"/>
      <w:bookmarkEnd w:id="8"/>
    </w:p>
    <w:p w14:paraId="4C7D0FB7">
      <w:pPr>
        <w:adjustRightInd w:val="0"/>
        <w:snapToGrid w:val="0"/>
        <w:spacing w:line="288" w:lineRule="auto"/>
        <w:ind w:firstLine="420" w:firstLineChars="200"/>
        <w:rPr>
          <w:rFonts w:cs="Times New Roman"/>
          <w:bCs/>
          <w:color w:val="auto"/>
          <w:sz w:val="21"/>
          <w:szCs w:val="21"/>
          <w:highlight w:val="none"/>
        </w:rPr>
      </w:pPr>
      <w:bookmarkStart w:id="9" w:name="_Toc28359004"/>
      <w:bookmarkStart w:id="10" w:name="_Toc28359081"/>
      <w:r>
        <w:rPr>
          <w:rFonts w:hint="eastAsia" w:cs="Times New Roman"/>
          <w:bCs/>
          <w:color w:val="auto"/>
          <w:sz w:val="21"/>
          <w:szCs w:val="21"/>
          <w:highlight w:val="none"/>
        </w:rPr>
        <w:t>1.满足《中华人民共和国政府采购法》第二十二条规定，未被“信用中国”（</w:t>
      </w:r>
      <w:r>
        <w:rPr>
          <w:rFonts w:cs="Times New Roman"/>
          <w:bCs/>
          <w:color w:val="auto"/>
          <w:sz w:val="21"/>
          <w:szCs w:val="21"/>
          <w:highlight w:val="none"/>
        </w:rPr>
        <w:t>www.creditchina.gov.cn</w:t>
      </w:r>
      <w:r>
        <w:rPr>
          <w:rFonts w:hint="eastAsia" w:cs="Times New Roman"/>
          <w:bCs/>
          <w:color w:val="auto"/>
          <w:sz w:val="21"/>
          <w:szCs w:val="21"/>
          <w:highlight w:val="none"/>
        </w:rPr>
        <w:t>）</w:t>
      </w:r>
      <w:r>
        <w:rPr>
          <w:rFonts w:cs="Times New Roman"/>
          <w:bCs/>
          <w:color w:val="auto"/>
          <w:sz w:val="21"/>
          <w:szCs w:val="21"/>
          <w:highlight w:val="none"/>
        </w:rPr>
        <w:t>、中国政府采购网（www.ccgp.gov.cn）列入失信被执行人、重大税收违法案件当事人名单、政府采购严重违法失信行为记录名单。</w:t>
      </w:r>
    </w:p>
    <w:p w14:paraId="3167355A">
      <w:pPr>
        <w:adjustRightInd w:val="0"/>
        <w:snapToGrid w:val="0"/>
        <w:spacing w:line="288" w:lineRule="auto"/>
        <w:ind w:firstLine="422" w:firstLineChars="200"/>
        <w:rPr>
          <w:rFonts w:cs="Times New Roman"/>
          <w:b/>
          <w:bCs/>
          <w:color w:val="auto"/>
          <w:sz w:val="21"/>
          <w:szCs w:val="21"/>
          <w:highlight w:val="none"/>
        </w:rPr>
      </w:pPr>
      <w:r>
        <w:rPr>
          <w:rFonts w:hint="eastAsia" w:cs="Times New Roman"/>
          <w:b/>
          <w:bCs/>
          <w:color w:val="auto"/>
          <w:sz w:val="21"/>
          <w:szCs w:val="21"/>
          <w:highlight w:val="none"/>
        </w:rPr>
        <w:t>2.落实政府采购政策需满足的资格要求：本项目整体专门面向中小企业采购，需按要求提交《中小企业声明函》。</w:t>
      </w:r>
    </w:p>
    <w:p w14:paraId="3F241705">
      <w:pPr>
        <w:adjustRightInd w:val="0"/>
        <w:snapToGrid w:val="0"/>
        <w:spacing w:line="288" w:lineRule="auto"/>
        <w:ind w:firstLine="422" w:firstLineChars="200"/>
        <w:rPr>
          <w:rFonts w:cs="Times New Roman"/>
          <w:b/>
          <w:bCs/>
          <w:color w:val="auto"/>
          <w:sz w:val="21"/>
          <w:szCs w:val="21"/>
          <w:highlight w:val="none"/>
        </w:rPr>
      </w:pPr>
      <w:r>
        <w:rPr>
          <w:rFonts w:cs="Times New Roman"/>
          <w:b/>
          <w:bCs/>
          <w:color w:val="auto"/>
          <w:sz w:val="21"/>
          <w:szCs w:val="21"/>
          <w:highlight w:val="none"/>
        </w:rPr>
        <w:t>工程由中小企业承建，即工程施工单位为中小企业；</w:t>
      </w:r>
      <w:bookmarkStart w:id="636" w:name="_GoBack"/>
      <w:bookmarkEnd w:id="636"/>
    </w:p>
    <w:p w14:paraId="62DDA332">
      <w:pPr>
        <w:adjustRightInd w:val="0"/>
        <w:snapToGrid w:val="0"/>
        <w:spacing w:line="288" w:lineRule="auto"/>
        <w:ind w:firstLine="422" w:firstLineChars="200"/>
        <w:rPr>
          <w:rFonts w:cs="Times New Roman"/>
          <w:b/>
          <w:bCs/>
          <w:color w:val="auto"/>
          <w:sz w:val="21"/>
          <w:szCs w:val="21"/>
          <w:highlight w:val="none"/>
        </w:rPr>
      </w:pPr>
      <w:r>
        <w:rPr>
          <w:rFonts w:hint="eastAsia" w:cs="Times New Roman"/>
          <w:b/>
          <w:bCs/>
          <w:color w:val="auto"/>
          <w:sz w:val="21"/>
          <w:szCs w:val="21"/>
          <w:highlight w:val="none"/>
        </w:rPr>
        <w:t>监狱企业、残疾人福利性单位视同小型、微型企业；</w:t>
      </w:r>
    </w:p>
    <w:p w14:paraId="6C38B139">
      <w:pPr>
        <w:adjustRightInd w:val="0"/>
        <w:snapToGrid w:val="0"/>
        <w:spacing w:line="288" w:lineRule="auto"/>
        <w:ind w:firstLine="422" w:firstLineChars="200"/>
        <w:rPr>
          <w:rFonts w:cs="Times New Roman"/>
          <w:b/>
          <w:bCs/>
          <w:color w:val="auto"/>
          <w:sz w:val="21"/>
          <w:szCs w:val="21"/>
          <w:highlight w:val="none"/>
        </w:rPr>
      </w:pPr>
      <w:r>
        <w:rPr>
          <w:rFonts w:hint="eastAsia" w:cs="Times New Roman"/>
          <w:b/>
          <w:bCs/>
          <w:color w:val="auto"/>
          <w:sz w:val="21"/>
          <w:szCs w:val="21"/>
          <w:highlight w:val="none"/>
        </w:rPr>
        <w:t>本项目属性为：</w:t>
      </w:r>
      <w:r>
        <w:rPr>
          <w:rFonts w:cs="Times New Roman"/>
          <w:b/>
          <w:bCs/>
          <w:color w:val="auto"/>
          <w:sz w:val="21"/>
          <w:szCs w:val="21"/>
          <w:highlight w:val="none"/>
        </w:rPr>
        <w:t>工程</w:t>
      </w:r>
    </w:p>
    <w:p w14:paraId="7C935F0B">
      <w:pPr>
        <w:adjustRightInd w:val="0"/>
        <w:snapToGrid w:val="0"/>
        <w:spacing w:line="288" w:lineRule="auto"/>
        <w:ind w:firstLine="422" w:firstLineChars="200"/>
        <w:rPr>
          <w:rFonts w:cs="Times New Roman"/>
          <w:b/>
          <w:bCs/>
          <w:color w:val="auto"/>
          <w:sz w:val="21"/>
          <w:szCs w:val="21"/>
          <w:highlight w:val="none"/>
        </w:rPr>
      </w:pPr>
      <w:r>
        <w:rPr>
          <w:rFonts w:hint="eastAsia" w:cs="Times New Roman"/>
          <w:b/>
          <w:bCs/>
          <w:color w:val="auto"/>
          <w:sz w:val="21"/>
          <w:szCs w:val="21"/>
          <w:highlight w:val="none"/>
        </w:rPr>
        <w:t>采购标的对应的中小企业划分标准所属行业：建筑业。</w:t>
      </w:r>
    </w:p>
    <w:p w14:paraId="2CCB7065">
      <w:pPr>
        <w:adjustRightInd w:val="0"/>
        <w:snapToGrid w:val="0"/>
        <w:spacing w:line="288" w:lineRule="auto"/>
        <w:ind w:firstLine="422" w:firstLineChars="200"/>
        <w:rPr>
          <w:rFonts w:cs="Times New Roman"/>
          <w:b/>
          <w:bCs/>
          <w:color w:val="auto"/>
          <w:sz w:val="21"/>
          <w:szCs w:val="21"/>
          <w:highlight w:val="none"/>
        </w:rPr>
      </w:pPr>
      <w:r>
        <w:rPr>
          <w:rFonts w:hint="eastAsia" w:cs="Times New Roman"/>
          <w:b/>
          <w:bCs/>
          <w:color w:val="auto"/>
          <w:sz w:val="21"/>
          <w:szCs w:val="21"/>
          <w:highlight w:val="none"/>
        </w:rPr>
        <w:t>中小企业划型标准：营业收入</w:t>
      </w:r>
      <w:r>
        <w:rPr>
          <w:rFonts w:cs="Times New Roman"/>
          <w:b/>
          <w:bCs/>
          <w:color w:val="auto"/>
          <w:sz w:val="21"/>
          <w:szCs w:val="21"/>
          <w:highlight w:val="none"/>
        </w:rPr>
        <w:t>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1F9D582">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3.本项目的特定资格要求：</w:t>
      </w:r>
    </w:p>
    <w:p w14:paraId="224647A8">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lang w:eastAsia="zh-CN"/>
        </w:rPr>
        <w:t>供应商具有地质灾害治理工程施工乙级或以上资质</w:t>
      </w:r>
      <w:r>
        <w:rPr>
          <w:rFonts w:hint="eastAsia"/>
          <w:color w:val="auto"/>
          <w:sz w:val="21"/>
          <w:szCs w:val="21"/>
          <w:highlight w:val="none"/>
        </w:rPr>
        <w:t>；</w:t>
      </w:r>
    </w:p>
    <w:p w14:paraId="63925339">
      <w:pPr>
        <w:adjustRightInd w:val="0"/>
        <w:snapToGrid w:val="0"/>
        <w:spacing w:line="288" w:lineRule="auto"/>
        <w:ind w:firstLine="420" w:firstLineChars="200"/>
        <w:rPr>
          <w:rFonts w:hint="eastAsia"/>
          <w:color w:val="auto"/>
          <w:sz w:val="21"/>
          <w:szCs w:val="21"/>
          <w:highlight w:val="none"/>
          <w:lang w:eastAsia="zh-CN"/>
        </w:rPr>
      </w:pPr>
      <w:r>
        <w:rPr>
          <w:rFonts w:hint="eastAsia"/>
          <w:color w:val="auto"/>
          <w:sz w:val="21"/>
          <w:szCs w:val="21"/>
          <w:highlight w:val="none"/>
        </w:rPr>
        <w:t>（2）供应商具有有效期内的企业安全生产许可证</w:t>
      </w:r>
      <w:r>
        <w:rPr>
          <w:rFonts w:hint="eastAsia"/>
          <w:color w:val="auto"/>
          <w:sz w:val="21"/>
          <w:szCs w:val="21"/>
          <w:highlight w:val="none"/>
          <w:lang w:eastAsia="zh-CN"/>
        </w:rPr>
        <w:t>；</w:t>
      </w:r>
    </w:p>
    <w:p w14:paraId="0A34BE70">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lang w:val="en-US" w:eastAsia="zh-CN"/>
        </w:rPr>
        <w:t>（3）供应商自2022年10月1日以来（时间以竣工验收备案时间为准）以来承担过地质灾害治理工程施工类似业绩1份（响应文件中提供合同及竣工验收记录）；</w:t>
      </w:r>
    </w:p>
    <w:p w14:paraId="5707C144">
      <w:pPr>
        <w:adjustRightInd w:val="0"/>
        <w:snapToGrid w:val="0"/>
        <w:spacing w:line="288" w:lineRule="auto"/>
        <w:rPr>
          <w:b/>
          <w:color w:val="auto"/>
          <w:sz w:val="21"/>
          <w:szCs w:val="21"/>
          <w:highlight w:val="none"/>
        </w:rPr>
      </w:pPr>
      <w:bookmarkStart w:id="11" w:name="_Toc35393623"/>
      <w:bookmarkStart w:id="12" w:name="_Toc35393792"/>
      <w:r>
        <w:rPr>
          <w:rFonts w:hint="eastAsia"/>
          <w:b/>
          <w:color w:val="auto"/>
          <w:sz w:val="21"/>
          <w:szCs w:val="21"/>
          <w:highlight w:val="none"/>
        </w:rPr>
        <w:t>三、获取（下载）采购文件</w:t>
      </w:r>
      <w:bookmarkEnd w:id="9"/>
      <w:bookmarkEnd w:id="10"/>
      <w:bookmarkEnd w:id="11"/>
      <w:bookmarkEnd w:id="12"/>
    </w:p>
    <w:p w14:paraId="61F9000B">
      <w:pPr>
        <w:adjustRightInd w:val="0"/>
        <w:snapToGrid w:val="0"/>
        <w:spacing w:line="288" w:lineRule="auto"/>
        <w:ind w:firstLine="420" w:firstLineChars="200"/>
        <w:rPr>
          <w:color w:val="auto"/>
          <w:sz w:val="21"/>
          <w:szCs w:val="21"/>
          <w:highlight w:val="none"/>
        </w:rPr>
      </w:pPr>
      <w:bookmarkStart w:id="13" w:name="_Toc35393793"/>
      <w:bookmarkStart w:id="14" w:name="_Toc28359005"/>
      <w:bookmarkStart w:id="15" w:name="_Toc35393624"/>
      <w:bookmarkStart w:id="16" w:name="_Toc28359082"/>
      <w:r>
        <w:rPr>
          <w:rFonts w:hint="eastAsia"/>
          <w:color w:val="auto"/>
          <w:sz w:val="21"/>
          <w:szCs w:val="21"/>
          <w:highlight w:val="none"/>
        </w:rPr>
        <w:t>时间：</w:t>
      </w:r>
      <w:r>
        <w:rPr>
          <w:rFonts w:hint="eastAsia"/>
          <w:color w:val="auto"/>
          <w:sz w:val="21"/>
          <w:szCs w:val="21"/>
          <w:highlight w:val="none"/>
          <w:lang w:eastAsia="zh-CN"/>
        </w:rPr>
        <w:t>202</w:t>
      </w:r>
      <w:r>
        <w:rPr>
          <w:rFonts w:hint="eastAsia"/>
          <w:color w:val="auto"/>
          <w:sz w:val="21"/>
          <w:szCs w:val="21"/>
          <w:highlight w:val="none"/>
          <w:lang w:val="en-US" w:eastAsia="zh-CN"/>
        </w:rPr>
        <w:t>5</w:t>
      </w:r>
      <w:r>
        <w:rPr>
          <w:rFonts w:hint="eastAsia"/>
          <w:color w:val="auto"/>
          <w:sz w:val="21"/>
          <w:szCs w:val="21"/>
          <w:highlight w:val="none"/>
          <w:lang w:eastAsia="zh-CN"/>
        </w:rPr>
        <w:t>年</w:t>
      </w:r>
      <w:r>
        <w:rPr>
          <w:rFonts w:hint="eastAsia"/>
          <w:color w:val="auto"/>
          <w:sz w:val="21"/>
          <w:szCs w:val="21"/>
          <w:highlight w:val="none"/>
          <w:lang w:val="en-US" w:eastAsia="zh-CN"/>
        </w:rPr>
        <w:t>11</w:t>
      </w:r>
      <w:r>
        <w:rPr>
          <w:rFonts w:hint="eastAsia"/>
          <w:color w:val="auto"/>
          <w:sz w:val="21"/>
          <w:szCs w:val="21"/>
          <w:highlight w:val="none"/>
          <w:lang w:eastAsia="zh-CN"/>
        </w:rPr>
        <w:t>月</w:t>
      </w:r>
      <w:r>
        <w:rPr>
          <w:rFonts w:hint="eastAsia"/>
          <w:color w:val="auto"/>
          <w:sz w:val="21"/>
          <w:szCs w:val="21"/>
          <w:highlight w:val="none"/>
          <w:lang w:val="en-US" w:eastAsia="zh-CN"/>
        </w:rPr>
        <w:t>19</w:t>
      </w:r>
      <w:r>
        <w:rPr>
          <w:rFonts w:hint="eastAsia"/>
          <w:color w:val="auto"/>
          <w:sz w:val="21"/>
          <w:szCs w:val="21"/>
          <w:highlight w:val="none"/>
          <w:lang w:eastAsia="zh-CN"/>
        </w:rPr>
        <w:t>日</w:t>
      </w:r>
      <w:r>
        <w:rPr>
          <w:rFonts w:hint="eastAsia"/>
          <w:color w:val="auto"/>
          <w:sz w:val="21"/>
          <w:szCs w:val="21"/>
          <w:highlight w:val="none"/>
        </w:rPr>
        <w:t>至</w:t>
      </w:r>
      <w:r>
        <w:rPr>
          <w:rFonts w:hint="eastAsia"/>
          <w:color w:val="auto"/>
          <w:sz w:val="21"/>
          <w:szCs w:val="21"/>
          <w:highlight w:val="none"/>
          <w:lang w:eastAsia="zh-CN"/>
        </w:rPr>
        <w:t>202</w:t>
      </w:r>
      <w:r>
        <w:rPr>
          <w:rFonts w:hint="eastAsia"/>
          <w:color w:val="auto"/>
          <w:sz w:val="21"/>
          <w:szCs w:val="21"/>
          <w:highlight w:val="none"/>
          <w:lang w:val="en-US" w:eastAsia="zh-CN"/>
        </w:rPr>
        <w:t>5</w:t>
      </w:r>
      <w:r>
        <w:rPr>
          <w:rFonts w:hint="eastAsia"/>
          <w:color w:val="auto"/>
          <w:sz w:val="21"/>
          <w:szCs w:val="21"/>
          <w:highlight w:val="none"/>
          <w:lang w:eastAsia="zh-CN"/>
        </w:rPr>
        <w:t>年</w:t>
      </w:r>
      <w:r>
        <w:rPr>
          <w:rFonts w:hint="eastAsia"/>
          <w:color w:val="auto"/>
          <w:sz w:val="21"/>
          <w:szCs w:val="21"/>
          <w:highlight w:val="none"/>
          <w:lang w:val="en-US" w:eastAsia="zh-CN"/>
        </w:rPr>
        <w:t>12</w:t>
      </w:r>
      <w:r>
        <w:rPr>
          <w:rFonts w:hint="eastAsia"/>
          <w:color w:val="auto"/>
          <w:sz w:val="21"/>
          <w:szCs w:val="21"/>
          <w:highlight w:val="none"/>
          <w:lang w:eastAsia="zh-CN"/>
        </w:rPr>
        <w:t>月</w:t>
      </w:r>
      <w:r>
        <w:rPr>
          <w:rFonts w:hint="eastAsia"/>
          <w:color w:val="auto"/>
          <w:sz w:val="21"/>
          <w:szCs w:val="21"/>
          <w:highlight w:val="none"/>
          <w:lang w:val="en-US" w:eastAsia="zh-CN"/>
        </w:rPr>
        <w:t>2</w:t>
      </w:r>
      <w:r>
        <w:rPr>
          <w:rFonts w:hint="eastAsia"/>
          <w:color w:val="auto"/>
          <w:sz w:val="21"/>
          <w:szCs w:val="21"/>
          <w:highlight w:val="none"/>
          <w:lang w:eastAsia="zh-CN"/>
        </w:rPr>
        <w:t>日</w:t>
      </w:r>
      <w:r>
        <w:rPr>
          <w:rFonts w:hint="eastAsia"/>
          <w:color w:val="auto"/>
          <w:sz w:val="21"/>
          <w:szCs w:val="21"/>
          <w:highlight w:val="none"/>
        </w:rPr>
        <w:t>，每天上午00:00至12:00，下午12:00至23:59（北京时间，线上获取法定节假日均可，线下获取文件法定节假日除外）</w:t>
      </w:r>
    </w:p>
    <w:p w14:paraId="5E4D486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w:t>
      </w:r>
      <w:r>
        <w:rPr>
          <w:color w:val="auto"/>
          <w:sz w:val="21"/>
          <w:szCs w:val="21"/>
          <w:highlight w:val="none"/>
        </w:rPr>
        <w:t>https://www.zcygov.cn</w:t>
      </w:r>
      <w:r>
        <w:rPr>
          <w:rFonts w:hint="eastAsia"/>
          <w:color w:val="auto"/>
          <w:sz w:val="21"/>
          <w:szCs w:val="21"/>
          <w:highlight w:val="none"/>
        </w:rPr>
        <w:t>）</w:t>
      </w:r>
    </w:p>
    <w:p w14:paraId="2AC07B6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w:t>
      </w:r>
      <w:r>
        <w:rPr>
          <w:rFonts w:hint="eastAsia"/>
          <w:color w:val="auto"/>
          <w:sz w:val="21"/>
          <w:szCs w:val="21"/>
          <w:highlight w:val="none"/>
        </w:rPr>
        <w:t>）</w:t>
      </w:r>
      <w:r>
        <w:rPr>
          <w:color w:val="auto"/>
          <w:sz w:val="21"/>
          <w:szCs w:val="21"/>
          <w:highlight w:val="none"/>
        </w:rPr>
        <w:t>在线申请获取采购文件（进入“项目采购”应用，在获取采购文件菜单中选择项目，申请获取采购文件）</w:t>
      </w:r>
    </w:p>
    <w:p w14:paraId="6A26630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14:paraId="4D9AA24C">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14:paraId="26EDDA2A">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w:t>
      </w:r>
      <w:r>
        <w:rPr>
          <w:rFonts w:hint="eastAsia"/>
          <w:bCs/>
          <w:color w:val="auto"/>
          <w:sz w:val="21"/>
          <w:szCs w:val="21"/>
          <w:highlight w:val="none"/>
          <w:lang w:val="en-US" w:eastAsia="zh-CN"/>
        </w:rPr>
        <w:t>5</w:t>
      </w:r>
      <w:r>
        <w:rPr>
          <w:rFonts w:hint="eastAsia"/>
          <w:bCs/>
          <w:color w:val="auto"/>
          <w:sz w:val="21"/>
          <w:szCs w:val="21"/>
          <w:highlight w:val="none"/>
          <w:lang w:eastAsia="zh-CN"/>
        </w:rPr>
        <w:t>年</w:t>
      </w:r>
      <w:r>
        <w:rPr>
          <w:rFonts w:hint="eastAsia"/>
          <w:bCs/>
          <w:color w:val="auto"/>
          <w:sz w:val="21"/>
          <w:szCs w:val="21"/>
          <w:highlight w:val="none"/>
          <w:lang w:val="en-US" w:eastAsia="zh-CN"/>
        </w:rPr>
        <w:t>12</w:t>
      </w:r>
      <w:r>
        <w:rPr>
          <w:rFonts w:hint="eastAsia"/>
          <w:bCs/>
          <w:color w:val="auto"/>
          <w:sz w:val="21"/>
          <w:szCs w:val="21"/>
          <w:highlight w:val="none"/>
          <w:lang w:eastAsia="zh-CN"/>
        </w:rPr>
        <w:t>月</w:t>
      </w:r>
      <w:r>
        <w:rPr>
          <w:rFonts w:hint="eastAsia"/>
          <w:bCs/>
          <w:color w:val="auto"/>
          <w:sz w:val="21"/>
          <w:szCs w:val="21"/>
          <w:highlight w:val="none"/>
          <w:lang w:val="en-US" w:eastAsia="zh-CN"/>
        </w:rPr>
        <w:t>2</w:t>
      </w:r>
      <w:r>
        <w:rPr>
          <w:rFonts w:hint="eastAsia"/>
          <w:bCs/>
          <w:color w:val="auto"/>
          <w:sz w:val="21"/>
          <w:szCs w:val="21"/>
          <w:highlight w:val="none"/>
          <w:lang w:eastAsia="zh-CN"/>
        </w:rPr>
        <w:t>日</w:t>
      </w:r>
      <w:r>
        <w:rPr>
          <w:rFonts w:hint="eastAsia"/>
          <w:bCs/>
          <w:color w:val="auto"/>
          <w:sz w:val="21"/>
          <w:szCs w:val="21"/>
          <w:highlight w:val="none"/>
          <w:lang w:val="en-US" w:eastAsia="zh-CN"/>
        </w:rPr>
        <w:t>9</w:t>
      </w:r>
      <w:r>
        <w:rPr>
          <w:rFonts w:hint="eastAsia"/>
          <w:bCs/>
          <w:color w:val="auto"/>
          <w:sz w:val="21"/>
          <w:szCs w:val="21"/>
          <w:highlight w:val="none"/>
          <w:lang w:eastAsia="zh-CN"/>
        </w:rPr>
        <w:t>:</w:t>
      </w:r>
      <w:r>
        <w:rPr>
          <w:rFonts w:hint="eastAsia"/>
          <w:bCs/>
          <w:color w:val="auto"/>
          <w:sz w:val="21"/>
          <w:szCs w:val="21"/>
          <w:highlight w:val="none"/>
          <w:lang w:val="en-US" w:eastAsia="zh-CN"/>
        </w:rPr>
        <w:t>0</w:t>
      </w:r>
      <w:r>
        <w:rPr>
          <w:rFonts w:hint="eastAsia"/>
          <w:bCs/>
          <w:color w:val="auto"/>
          <w:sz w:val="21"/>
          <w:szCs w:val="21"/>
          <w:highlight w:val="none"/>
          <w:lang w:eastAsia="zh-CN"/>
        </w:rPr>
        <w:t>0:00</w:t>
      </w:r>
      <w:r>
        <w:rPr>
          <w:rFonts w:hint="eastAsia"/>
          <w:bCs/>
          <w:color w:val="auto"/>
          <w:sz w:val="21"/>
          <w:szCs w:val="21"/>
          <w:highlight w:val="none"/>
        </w:rPr>
        <w:t>（北京时间）</w:t>
      </w:r>
    </w:p>
    <w:p w14:paraId="32859416">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14:paraId="6FAC6F3B">
      <w:pPr>
        <w:adjustRightInd w:val="0"/>
        <w:snapToGrid w:val="0"/>
        <w:spacing w:line="288" w:lineRule="auto"/>
        <w:rPr>
          <w:b/>
          <w:color w:val="auto"/>
          <w:sz w:val="21"/>
          <w:szCs w:val="21"/>
          <w:highlight w:val="none"/>
        </w:rPr>
      </w:pPr>
      <w:bookmarkStart w:id="17" w:name="_Toc28359007"/>
      <w:bookmarkStart w:id="18" w:name="_Toc35393794"/>
      <w:bookmarkStart w:id="19" w:name="_Toc28359084"/>
      <w:bookmarkStart w:id="20" w:name="_Toc35393625"/>
      <w:r>
        <w:rPr>
          <w:rFonts w:hint="eastAsia"/>
          <w:b/>
          <w:color w:val="auto"/>
          <w:sz w:val="21"/>
          <w:szCs w:val="21"/>
          <w:highlight w:val="none"/>
        </w:rPr>
        <w:t>五、响应文件开启</w:t>
      </w:r>
    </w:p>
    <w:p w14:paraId="1DDB0CC7">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w:t>
      </w:r>
      <w:r>
        <w:rPr>
          <w:rFonts w:hint="eastAsia"/>
          <w:bCs/>
          <w:color w:val="auto"/>
          <w:sz w:val="21"/>
          <w:szCs w:val="21"/>
          <w:highlight w:val="none"/>
          <w:lang w:val="en-US" w:eastAsia="zh-CN"/>
        </w:rPr>
        <w:t>5</w:t>
      </w:r>
      <w:r>
        <w:rPr>
          <w:rFonts w:hint="eastAsia"/>
          <w:bCs/>
          <w:color w:val="auto"/>
          <w:sz w:val="21"/>
          <w:szCs w:val="21"/>
          <w:highlight w:val="none"/>
          <w:lang w:eastAsia="zh-CN"/>
        </w:rPr>
        <w:t>年</w:t>
      </w:r>
      <w:r>
        <w:rPr>
          <w:rFonts w:hint="eastAsia"/>
          <w:bCs/>
          <w:color w:val="auto"/>
          <w:sz w:val="21"/>
          <w:szCs w:val="21"/>
          <w:highlight w:val="none"/>
          <w:lang w:val="en-US" w:eastAsia="zh-CN"/>
        </w:rPr>
        <w:t>12</w:t>
      </w:r>
      <w:r>
        <w:rPr>
          <w:rFonts w:hint="eastAsia"/>
          <w:bCs/>
          <w:color w:val="auto"/>
          <w:sz w:val="21"/>
          <w:szCs w:val="21"/>
          <w:highlight w:val="none"/>
          <w:lang w:eastAsia="zh-CN"/>
        </w:rPr>
        <w:t>月</w:t>
      </w:r>
      <w:r>
        <w:rPr>
          <w:rFonts w:hint="eastAsia"/>
          <w:bCs/>
          <w:color w:val="auto"/>
          <w:sz w:val="21"/>
          <w:szCs w:val="21"/>
          <w:highlight w:val="none"/>
          <w:lang w:val="en-US" w:eastAsia="zh-CN"/>
        </w:rPr>
        <w:t>2</w:t>
      </w:r>
      <w:r>
        <w:rPr>
          <w:rFonts w:hint="eastAsia"/>
          <w:bCs/>
          <w:color w:val="auto"/>
          <w:sz w:val="21"/>
          <w:szCs w:val="21"/>
          <w:highlight w:val="none"/>
          <w:lang w:eastAsia="zh-CN"/>
        </w:rPr>
        <w:t>日</w:t>
      </w:r>
      <w:r>
        <w:rPr>
          <w:rFonts w:hint="eastAsia"/>
          <w:bCs/>
          <w:color w:val="auto"/>
          <w:sz w:val="21"/>
          <w:szCs w:val="21"/>
          <w:highlight w:val="none"/>
          <w:lang w:val="en-US" w:eastAsia="zh-CN"/>
        </w:rPr>
        <w:t>9</w:t>
      </w:r>
      <w:r>
        <w:rPr>
          <w:rFonts w:hint="eastAsia"/>
          <w:bCs/>
          <w:color w:val="auto"/>
          <w:sz w:val="21"/>
          <w:szCs w:val="21"/>
          <w:highlight w:val="none"/>
          <w:lang w:eastAsia="zh-CN"/>
        </w:rPr>
        <w:t>:</w:t>
      </w:r>
      <w:r>
        <w:rPr>
          <w:rFonts w:hint="eastAsia"/>
          <w:bCs/>
          <w:color w:val="auto"/>
          <w:sz w:val="21"/>
          <w:szCs w:val="21"/>
          <w:highlight w:val="none"/>
          <w:lang w:val="en-US" w:eastAsia="zh-CN"/>
        </w:rPr>
        <w:t>0</w:t>
      </w:r>
      <w:r>
        <w:rPr>
          <w:rFonts w:hint="eastAsia"/>
          <w:bCs/>
          <w:color w:val="auto"/>
          <w:sz w:val="21"/>
          <w:szCs w:val="21"/>
          <w:highlight w:val="none"/>
          <w:lang w:eastAsia="zh-CN"/>
        </w:rPr>
        <w:t>0:00</w:t>
      </w:r>
      <w:r>
        <w:rPr>
          <w:rFonts w:hint="eastAsia"/>
          <w:bCs/>
          <w:color w:val="auto"/>
          <w:sz w:val="21"/>
          <w:szCs w:val="21"/>
          <w:highlight w:val="none"/>
        </w:rPr>
        <w:t>（北京时间）</w:t>
      </w:r>
    </w:p>
    <w:p w14:paraId="79527B3F">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/杭州市西湖区玉古路173号中田大厦21楼（求是招标会议室</w:t>
      </w:r>
      <w:r>
        <w:rPr>
          <w:rFonts w:hint="eastAsia" w:cs="Times New Roman"/>
          <w:color w:val="auto"/>
          <w:sz w:val="21"/>
          <w:szCs w:val="21"/>
          <w:highlight w:val="none"/>
          <w:lang w:val="en-US" w:eastAsia="zh-CN"/>
        </w:rPr>
        <w:t>2</w:t>
      </w:r>
      <w:r>
        <w:rPr>
          <w:rFonts w:hint="eastAsia" w:cs="Times New Roman"/>
          <w:color w:val="auto"/>
          <w:sz w:val="21"/>
          <w:szCs w:val="21"/>
          <w:highlight w:val="none"/>
        </w:rPr>
        <w:t>）</w:t>
      </w:r>
    </w:p>
    <w:p w14:paraId="6689F1F7">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14:paraId="0F17C3CE">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14:paraId="1DC40230">
      <w:pPr>
        <w:adjustRightInd w:val="0"/>
        <w:snapToGrid w:val="0"/>
        <w:spacing w:line="288" w:lineRule="auto"/>
        <w:rPr>
          <w:b/>
          <w:color w:val="auto"/>
          <w:sz w:val="21"/>
          <w:szCs w:val="21"/>
          <w:highlight w:val="none"/>
        </w:rPr>
      </w:pPr>
      <w:bookmarkStart w:id="21" w:name="_Toc35393795"/>
      <w:bookmarkStart w:id="22" w:name="_Toc35393626"/>
      <w:r>
        <w:rPr>
          <w:rFonts w:hint="eastAsia"/>
          <w:b/>
          <w:color w:val="auto"/>
          <w:sz w:val="21"/>
          <w:szCs w:val="21"/>
          <w:highlight w:val="none"/>
        </w:rPr>
        <w:t>七、其他补充事宜</w:t>
      </w:r>
      <w:bookmarkEnd w:id="21"/>
      <w:bookmarkEnd w:id="22"/>
    </w:p>
    <w:p w14:paraId="53CFAFF4">
      <w:pPr>
        <w:adjustRightInd w:val="0"/>
        <w:snapToGrid w:val="0"/>
        <w:spacing w:line="288" w:lineRule="auto"/>
        <w:ind w:firstLine="420" w:firstLineChars="200"/>
        <w:rPr>
          <w:rFonts w:cs="Times New Roman"/>
          <w:color w:val="auto"/>
          <w:sz w:val="21"/>
          <w:szCs w:val="21"/>
          <w:highlight w:val="none"/>
        </w:rPr>
      </w:pPr>
      <w:bookmarkStart w:id="23" w:name="_Hlk97039575"/>
      <w:bookmarkStart w:id="24" w:name="_Toc35393627"/>
      <w:bookmarkStart w:id="25" w:name="_Toc35393796"/>
      <w:bookmarkStart w:id="26" w:name="_Toc28359008"/>
      <w:bookmarkStart w:id="27" w:name="_Toc28359085"/>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14:paraId="4D6A2FE1">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6F73F79F">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5837D666">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14:paraId="3271D622">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w:t>
      </w:r>
      <w:r>
        <w:rPr>
          <w:rFonts w:hint="eastAsia" w:cs="Times New Roman"/>
          <w:color w:val="auto"/>
          <w:sz w:val="21"/>
          <w:szCs w:val="21"/>
          <w:highlight w:val="none"/>
        </w:rPr>
        <w:t>支持科技创新、</w:t>
      </w:r>
      <w:r>
        <w:rPr>
          <w:rFonts w:cs="Times New Roman"/>
          <w:color w:val="auto"/>
          <w:sz w:val="21"/>
          <w:szCs w:val="21"/>
          <w:highlight w:val="none"/>
        </w:rPr>
        <w:t>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bookmarkEnd w:id="23"/>
    <w:p w14:paraId="22A7C509">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8"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p w14:paraId="4EF204BA">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4"/>
      <w:bookmarkEnd w:id="25"/>
      <w:bookmarkEnd w:id="26"/>
      <w:bookmarkEnd w:id="27"/>
    </w:p>
    <w:p w14:paraId="30ACDDE6">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1、采购人名称：</w:t>
      </w:r>
      <w:r>
        <w:rPr>
          <w:rFonts w:hint="eastAsia"/>
          <w:color w:val="auto"/>
          <w:sz w:val="21"/>
          <w:szCs w:val="21"/>
          <w:highlight w:val="none"/>
          <w:lang w:eastAsia="zh-CN"/>
        </w:rPr>
        <w:t>浙江省人防指挥工程管理所</w:t>
      </w:r>
    </w:p>
    <w:p w14:paraId="5B2AEA74">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地址：浙江省杭州市保俶路宝石一路四号</w:t>
      </w:r>
    </w:p>
    <w:p w14:paraId="7697241E">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传真：/</w:t>
      </w:r>
    </w:p>
    <w:p w14:paraId="2F49BDF1">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项目联系人（询问）</w:t>
      </w:r>
      <w:r>
        <w:rPr>
          <w:rFonts w:hint="eastAsia"/>
          <w:color w:val="auto"/>
          <w:sz w:val="21"/>
          <w:szCs w:val="21"/>
          <w:highlight w:val="none"/>
          <w:lang w:val="en-US" w:eastAsia="zh-CN"/>
        </w:rPr>
        <w:t xml:space="preserve"> ：沈彦荣</w:t>
      </w:r>
    </w:p>
    <w:p w14:paraId="6102C32B">
      <w:pPr>
        <w:adjustRightInd w:val="0"/>
        <w:snapToGrid w:val="0"/>
        <w:spacing w:line="288" w:lineRule="auto"/>
        <w:ind w:firstLine="424" w:firstLineChars="202"/>
        <w:rPr>
          <w:rFonts w:hint="default" w:eastAsia="宋体"/>
          <w:color w:val="auto"/>
          <w:sz w:val="21"/>
          <w:szCs w:val="21"/>
          <w:highlight w:val="none"/>
          <w:lang w:val="en-US" w:eastAsia="zh-CN"/>
        </w:rPr>
      </w:pPr>
      <w:r>
        <w:rPr>
          <w:rFonts w:hint="eastAsia"/>
          <w:color w:val="auto"/>
          <w:sz w:val="21"/>
          <w:szCs w:val="21"/>
          <w:highlight w:val="none"/>
        </w:rPr>
        <w:t>项目联系方式（询问）：13706818281</w:t>
      </w:r>
    </w:p>
    <w:p w14:paraId="5F165A2B">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质疑联系人：李琼环</w:t>
      </w:r>
    </w:p>
    <w:p w14:paraId="1B7DA96F">
      <w:pPr>
        <w:adjustRightInd w:val="0"/>
        <w:snapToGrid w:val="0"/>
        <w:spacing w:line="288" w:lineRule="auto"/>
        <w:ind w:firstLine="424" w:firstLineChars="202"/>
        <w:rPr>
          <w:rFonts w:hint="default" w:eastAsia="宋体"/>
          <w:color w:val="auto"/>
          <w:sz w:val="21"/>
          <w:szCs w:val="21"/>
          <w:highlight w:val="none"/>
          <w:lang w:val="en-US" w:eastAsia="zh-CN"/>
        </w:rPr>
      </w:pPr>
      <w:r>
        <w:rPr>
          <w:rFonts w:hint="eastAsia"/>
          <w:color w:val="auto"/>
          <w:sz w:val="21"/>
          <w:szCs w:val="21"/>
          <w:highlight w:val="none"/>
        </w:rPr>
        <w:t>质疑联系方式：13666600930</w:t>
      </w:r>
    </w:p>
    <w:p w14:paraId="5C7B7BE8">
      <w:pPr>
        <w:adjustRightInd w:val="0"/>
        <w:snapToGrid w:val="0"/>
        <w:spacing w:line="288" w:lineRule="auto"/>
        <w:ind w:firstLine="424" w:firstLineChars="202"/>
        <w:rPr>
          <w:color w:val="auto"/>
          <w:sz w:val="21"/>
          <w:szCs w:val="21"/>
          <w:highlight w:val="none"/>
        </w:rPr>
      </w:pPr>
    </w:p>
    <w:p w14:paraId="31E8FA36">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14:paraId="117899BD">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14:paraId="2D721A67">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173号中田大厦21楼</w:t>
      </w:r>
    </w:p>
    <w:p w14:paraId="5D38F5EA">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14:paraId="59A018CA">
      <w:pPr>
        <w:adjustRightInd w:val="0"/>
        <w:snapToGrid w:val="0"/>
        <w:spacing w:line="288" w:lineRule="auto"/>
        <w:ind w:firstLine="424" w:firstLineChars="202"/>
        <w:rPr>
          <w:rFonts w:hint="default" w:eastAsia="宋体"/>
          <w:color w:val="auto"/>
          <w:sz w:val="21"/>
          <w:szCs w:val="21"/>
          <w:highlight w:val="none"/>
          <w:lang w:val="en-US" w:eastAsia="zh-CN"/>
        </w:rPr>
      </w:pPr>
      <w:r>
        <w:rPr>
          <w:rFonts w:hint="eastAsia"/>
          <w:color w:val="auto"/>
          <w:sz w:val="21"/>
          <w:szCs w:val="21"/>
          <w:highlight w:val="none"/>
        </w:rPr>
        <w:t>项目联系人（询问）：</w:t>
      </w:r>
      <w:r>
        <w:rPr>
          <w:rFonts w:hint="eastAsia"/>
          <w:color w:val="auto"/>
          <w:sz w:val="21"/>
          <w:szCs w:val="21"/>
          <w:highlight w:val="none"/>
          <w:lang w:val="en-US" w:eastAsia="zh-CN"/>
        </w:rPr>
        <w:t>陈培特</w:t>
      </w:r>
      <w:r>
        <w:rPr>
          <w:rFonts w:hint="eastAsia"/>
          <w:color w:val="auto"/>
          <w:sz w:val="21"/>
          <w:szCs w:val="21"/>
          <w:highlight w:val="none"/>
          <w:lang w:eastAsia="zh-CN"/>
        </w:rPr>
        <w:t>、</w:t>
      </w:r>
      <w:r>
        <w:rPr>
          <w:rFonts w:hint="eastAsia"/>
          <w:color w:val="auto"/>
          <w:sz w:val="21"/>
          <w:szCs w:val="21"/>
          <w:highlight w:val="none"/>
          <w:lang w:val="en-US" w:eastAsia="zh-CN"/>
        </w:rPr>
        <w:t>杜伟波、温瑶、李聪</w:t>
      </w:r>
    </w:p>
    <w:p w14:paraId="7F22A27C">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项目联系方式（询问）：0571-87666115</w:t>
      </w:r>
    </w:p>
    <w:p w14:paraId="2B25D4AF">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质疑联系人：</w:t>
      </w:r>
      <w:r>
        <w:rPr>
          <w:rFonts w:hint="eastAsia"/>
          <w:color w:val="auto"/>
          <w:sz w:val="21"/>
          <w:szCs w:val="21"/>
          <w:highlight w:val="none"/>
          <w:lang w:val="en-US" w:eastAsia="zh-CN"/>
        </w:rPr>
        <w:t>周安琪</w:t>
      </w:r>
    </w:p>
    <w:p w14:paraId="3C8465D1">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14:paraId="2DF0D715">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14:paraId="3D71D2BC">
      <w:pPr>
        <w:adjustRightInd w:val="0"/>
        <w:snapToGrid w:val="0"/>
        <w:spacing w:line="288" w:lineRule="auto"/>
        <w:ind w:firstLine="424" w:firstLineChars="202"/>
        <w:rPr>
          <w:rFonts w:cs="Times New Roman"/>
          <w:color w:val="auto"/>
          <w:sz w:val="21"/>
          <w:szCs w:val="21"/>
          <w:highlight w:val="none"/>
        </w:rPr>
      </w:pPr>
    </w:p>
    <w:p w14:paraId="12A12D03">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3.同级政府采购监督管理部门</w:t>
      </w:r>
    </w:p>
    <w:p w14:paraId="74F3838A">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名称：浙江省财政厅政府采购监管处、浙江省政府采购行政裁决服务中心（杭州）</w:t>
      </w:r>
    </w:p>
    <w:p w14:paraId="51F75047">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地址：杭州市上城区清泰街549号城建综合大楼11楼（快递仅限ems或顺丰）</w:t>
      </w:r>
    </w:p>
    <w:p w14:paraId="7D0D766E">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传真：/</w:t>
      </w:r>
    </w:p>
    <w:p w14:paraId="3DF5FACD">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联系人：朱女士、王女士</w:t>
      </w:r>
    </w:p>
    <w:p w14:paraId="7D51B1FC">
      <w:pPr>
        <w:adjustRightInd w:val="0"/>
        <w:snapToGrid w:val="0"/>
        <w:spacing w:line="288" w:lineRule="auto"/>
        <w:ind w:firstLine="425" w:firstLineChars="215"/>
        <w:rPr>
          <w:rFonts w:cs="Times New Roman"/>
          <w:color w:val="auto"/>
          <w:spacing w:val="-6"/>
          <w:sz w:val="21"/>
          <w:szCs w:val="21"/>
          <w:highlight w:val="none"/>
        </w:rPr>
      </w:pPr>
      <w:r>
        <w:rPr>
          <w:rFonts w:hint="eastAsia" w:cs="Times New Roman"/>
          <w:color w:val="auto"/>
          <w:spacing w:val="-6"/>
          <w:sz w:val="21"/>
          <w:szCs w:val="21"/>
          <w:highlight w:val="none"/>
        </w:rPr>
        <w:t>监督投诉电话：0571-87227671,0571-87800218</w:t>
      </w:r>
    </w:p>
    <w:p w14:paraId="4E1657B9">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政策咨询：何一平、冯华，0571-87058424、87055741</w:t>
      </w:r>
    </w:p>
    <w:p w14:paraId="6AF47B1D">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预算金额未达100万元的采购项目，由采购人处理采购争议。</w:t>
      </w:r>
    </w:p>
    <w:p w14:paraId="50DDBDCC">
      <w:pPr>
        <w:adjustRightInd w:val="0"/>
        <w:snapToGrid w:val="0"/>
        <w:spacing w:line="288" w:lineRule="auto"/>
        <w:rPr>
          <w:rFonts w:cs="Times New Roman"/>
          <w:color w:val="auto"/>
          <w:spacing w:val="-6"/>
          <w:sz w:val="21"/>
          <w:szCs w:val="21"/>
          <w:highlight w:val="none"/>
        </w:rPr>
      </w:pPr>
    </w:p>
    <w:p w14:paraId="28E705CA">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若对项目采购电子交易系统操作有疑问，可登录政采云（</w:t>
      </w:r>
      <w:r>
        <w:rPr>
          <w:rFonts w:cs="Times New Roman"/>
          <w:color w:val="auto"/>
          <w:sz w:val="21"/>
          <w:szCs w:val="21"/>
          <w:highlight w:val="none"/>
        </w:rPr>
        <w:t>https://www.zcygov.cn/），点击右侧咨询小采，获取采小蜜智能服务管家帮助，或拨打政采云服务热线95763获取热线服务帮助。</w:t>
      </w:r>
    </w:p>
    <w:p w14:paraId="367BA6A5">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CA问题联系电话（人工）：汇信CA 400-888-4636；天谷CA 400-087-8198。</w:t>
      </w:r>
    </w:p>
    <w:p w14:paraId="794E759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4FF664B5">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14:paraId="3308C617">
      <w:pPr>
        <w:adjustRightInd w:val="0"/>
        <w:snapToGrid w:val="0"/>
        <w:spacing w:line="288" w:lineRule="auto"/>
        <w:jc w:val="left"/>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8"/>
        <w:gridCol w:w="3302"/>
        <w:gridCol w:w="5608"/>
      </w:tblGrid>
      <w:tr w14:paraId="7F9BC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3" w:type="pct"/>
            <w:vAlign w:val="center"/>
          </w:tcPr>
          <w:p w14:paraId="45B951B9">
            <w:pPr>
              <w:adjustRightInd w:val="0"/>
              <w:snapToGrid w:val="0"/>
              <w:spacing w:line="288" w:lineRule="auto"/>
              <w:jc w:val="center"/>
              <w:rPr>
                <w:b/>
                <w:bCs/>
                <w:color w:val="auto"/>
                <w:sz w:val="21"/>
                <w:szCs w:val="21"/>
                <w:highlight w:val="none"/>
              </w:rPr>
            </w:pPr>
            <w:bookmarkStart w:id="29" w:name="_Hlk45005599"/>
            <w:r>
              <w:rPr>
                <w:rFonts w:hint="eastAsia"/>
                <w:b/>
                <w:bCs/>
                <w:color w:val="auto"/>
                <w:sz w:val="21"/>
                <w:szCs w:val="21"/>
                <w:highlight w:val="none"/>
              </w:rPr>
              <w:t>序号</w:t>
            </w:r>
          </w:p>
        </w:tc>
        <w:tc>
          <w:tcPr>
            <w:tcW w:w="1715" w:type="pct"/>
            <w:vAlign w:val="center"/>
          </w:tcPr>
          <w:p w14:paraId="26B025BC">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政策名称</w:t>
            </w:r>
          </w:p>
        </w:tc>
        <w:tc>
          <w:tcPr>
            <w:tcW w:w="2912" w:type="pct"/>
            <w:vAlign w:val="center"/>
          </w:tcPr>
          <w:p w14:paraId="5CBADABA">
            <w:pPr>
              <w:adjustRightInd w:val="0"/>
              <w:snapToGrid w:val="0"/>
              <w:spacing w:line="288" w:lineRule="auto"/>
              <w:jc w:val="left"/>
              <w:rPr>
                <w:b/>
                <w:bCs/>
                <w:color w:val="auto"/>
                <w:sz w:val="21"/>
                <w:szCs w:val="21"/>
                <w:highlight w:val="none"/>
              </w:rPr>
            </w:pPr>
            <w:r>
              <w:rPr>
                <w:rFonts w:hint="eastAsia"/>
                <w:b/>
                <w:bCs/>
                <w:color w:val="auto"/>
                <w:sz w:val="21"/>
                <w:szCs w:val="21"/>
                <w:highlight w:val="none"/>
              </w:rPr>
              <w:t>内容</w:t>
            </w:r>
          </w:p>
        </w:tc>
      </w:tr>
      <w:tr w14:paraId="42C2C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3" w:type="pct"/>
            <w:vAlign w:val="center"/>
          </w:tcPr>
          <w:p w14:paraId="7D99A154">
            <w:pPr>
              <w:adjustRightInd w:val="0"/>
              <w:snapToGrid w:val="0"/>
              <w:spacing w:line="288" w:lineRule="auto"/>
              <w:jc w:val="center"/>
              <w:rPr>
                <w:b/>
                <w:bCs/>
                <w:color w:val="auto"/>
                <w:sz w:val="21"/>
                <w:szCs w:val="21"/>
                <w:highlight w:val="none"/>
              </w:rPr>
            </w:pPr>
            <w:r>
              <w:rPr>
                <w:rFonts w:hint="eastAsia"/>
                <w:color w:val="auto"/>
                <w:sz w:val="21"/>
                <w:szCs w:val="21"/>
                <w:highlight w:val="none"/>
              </w:rPr>
              <w:t>1</w:t>
            </w:r>
          </w:p>
        </w:tc>
        <w:tc>
          <w:tcPr>
            <w:tcW w:w="1715" w:type="pct"/>
            <w:vAlign w:val="center"/>
          </w:tcPr>
          <w:p w14:paraId="3DC894D1">
            <w:pPr>
              <w:adjustRightInd w:val="0"/>
              <w:snapToGrid w:val="0"/>
              <w:spacing w:line="288" w:lineRule="auto"/>
              <w:jc w:val="center"/>
              <w:rPr>
                <w:b/>
                <w:bCs/>
                <w:color w:val="auto"/>
                <w:sz w:val="21"/>
                <w:szCs w:val="21"/>
                <w:highlight w:val="none"/>
              </w:rPr>
            </w:pPr>
            <w:r>
              <w:rPr>
                <w:rFonts w:hint="eastAsia"/>
                <w:color w:val="auto"/>
                <w:sz w:val="21"/>
                <w:szCs w:val="21"/>
                <w:highlight w:val="none"/>
              </w:rPr>
              <w:t>政府采购进口产品</w:t>
            </w:r>
          </w:p>
        </w:tc>
        <w:tc>
          <w:tcPr>
            <w:tcW w:w="2912" w:type="pct"/>
            <w:vAlign w:val="center"/>
          </w:tcPr>
          <w:p w14:paraId="144D27F6">
            <w:pPr>
              <w:adjustRightInd w:val="0"/>
              <w:snapToGrid w:val="0"/>
              <w:spacing w:line="288" w:lineRule="auto"/>
              <w:jc w:val="left"/>
              <w:rPr>
                <w:b/>
                <w:bCs/>
                <w:color w:val="auto"/>
                <w:sz w:val="21"/>
                <w:szCs w:val="21"/>
                <w:highlight w:val="none"/>
              </w:rPr>
            </w:pPr>
            <w:r>
              <w:rPr>
                <w:rFonts w:hint="eastAsia"/>
                <w:b w:val="0"/>
                <w:bCs w:val="0"/>
                <w:color w:val="auto"/>
                <w:sz w:val="21"/>
                <w:szCs w:val="21"/>
                <w:highlight w:val="none"/>
                <w:lang w:val="en-US" w:eastAsia="zh-CN"/>
              </w:rPr>
              <w:t>不适用</w:t>
            </w:r>
          </w:p>
        </w:tc>
      </w:tr>
      <w:tr w14:paraId="6C773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3" w:type="pct"/>
            <w:vAlign w:val="center"/>
          </w:tcPr>
          <w:p w14:paraId="5CC034C0">
            <w:pPr>
              <w:adjustRightInd w:val="0"/>
              <w:snapToGrid w:val="0"/>
              <w:spacing w:line="288" w:lineRule="auto"/>
              <w:jc w:val="center"/>
              <w:rPr>
                <w:b/>
                <w:bCs/>
                <w:color w:val="auto"/>
                <w:sz w:val="21"/>
                <w:szCs w:val="21"/>
                <w:highlight w:val="none"/>
              </w:rPr>
            </w:pPr>
            <w:r>
              <w:rPr>
                <w:rFonts w:hint="eastAsia"/>
                <w:color w:val="auto"/>
                <w:sz w:val="21"/>
                <w:szCs w:val="21"/>
                <w:highlight w:val="none"/>
              </w:rPr>
              <w:t>2</w:t>
            </w:r>
          </w:p>
        </w:tc>
        <w:tc>
          <w:tcPr>
            <w:tcW w:w="1715" w:type="pct"/>
            <w:vAlign w:val="center"/>
          </w:tcPr>
          <w:p w14:paraId="52453966">
            <w:pPr>
              <w:adjustRightInd w:val="0"/>
              <w:snapToGrid w:val="0"/>
              <w:spacing w:line="288" w:lineRule="auto"/>
              <w:jc w:val="center"/>
              <w:rPr>
                <w:b/>
                <w:bCs/>
                <w:color w:val="auto"/>
                <w:sz w:val="21"/>
                <w:szCs w:val="21"/>
                <w:highlight w:val="none"/>
              </w:rPr>
            </w:pPr>
            <w:r>
              <w:rPr>
                <w:rFonts w:hint="eastAsia"/>
                <w:color w:val="auto"/>
                <w:sz w:val="21"/>
                <w:szCs w:val="21"/>
                <w:highlight w:val="none"/>
              </w:rPr>
              <w:t>政府强制采购节能产品</w:t>
            </w:r>
          </w:p>
        </w:tc>
        <w:tc>
          <w:tcPr>
            <w:tcW w:w="2912" w:type="pct"/>
            <w:vAlign w:val="center"/>
          </w:tcPr>
          <w:p w14:paraId="2E7DF7AD">
            <w:pPr>
              <w:adjustRightInd w:val="0"/>
              <w:snapToGrid w:val="0"/>
              <w:spacing w:line="288" w:lineRule="auto"/>
              <w:jc w:val="left"/>
              <w:rPr>
                <w:rFonts w:hint="eastAsia" w:eastAsia="宋体"/>
                <w:b/>
                <w:bCs/>
                <w:color w:val="auto"/>
                <w:sz w:val="21"/>
                <w:szCs w:val="21"/>
                <w:highlight w:val="none"/>
                <w:lang w:eastAsia="zh-CN"/>
              </w:rPr>
            </w:pPr>
            <w:r>
              <w:rPr>
                <w:rFonts w:hint="eastAsia"/>
                <w:b w:val="0"/>
                <w:bCs w:val="0"/>
                <w:color w:val="auto"/>
                <w:sz w:val="21"/>
                <w:szCs w:val="21"/>
                <w:highlight w:val="none"/>
                <w:lang w:val="en-US" w:eastAsia="zh-CN"/>
              </w:rPr>
              <w:t>不适用</w:t>
            </w:r>
          </w:p>
        </w:tc>
      </w:tr>
      <w:tr w14:paraId="7C6DC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3" w:type="pct"/>
            <w:vAlign w:val="center"/>
          </w:tcPr>
          <w:p w14:paraId="0EF559E0">
            <w:pPr>
              <w:adjustRightInd w:val="0"/>
              <w:snapToGrid w:val="0"/>
              <w:spacing w:line="288" w:lineRule="auto"/>
              <w:jc w:val="center"/>
              <w:rPr>
                <w:b/>
                <w:bCs/>
                <w:color w:val="auto"/>
                <w:sz w:val="21"/>
                <w:szCs w:val="21"/>
                <w:highlight w:val="none"/>
              </w:rPr>
            </w:pPr>
            <w:r>
              <w:rPr>
                <w:rFonts w:hint="eastAsia"/>
                <w:color w:val="auto"/>
                <w:sz w:val="21"/>
                <w:szCs w:val="21"/>
                <w:highlight w:val="none"/>
              </w:rPr>
              <w:t>3</w:t>
            </w:r>
          </w:p>
        </w:tc>
        <w:tc>
          <w:tcPr>
            <w:tcW w:w="1715" w:type="pct"/>
            <w:vAlign w:val="center"/>
          </w:tcPr>
          <w:p w14:paraId="4DABAAB6">
            <w:pPr>
              <w:adjustRightInd w:val="0"/>
              <w:snapToGrid w:val="0"/>
              <w:spacing w:line="288" w:lineRule="auto"/>
              <w:jc w:val="center"/>
              <w:rPr>
                <w:b/>
                <w:bCs/>
                <w:color w:val="auto"/>
                <w:sz w:val="21"/>
                <w:szCs w:val="21"/>
                <w:highlight w:val="none"/>
              </w:rPr>
            </w:pPr>
            <w:r>
              <w:rPr>
                <w:rFonts w:hint="eastAsia"/>
                <w:color w:val="auto"/>
                <w:sz w:val="21"/>
                <w:szCs w:val="21"/>
                <w:highlight w:val="none"/>
              </w:rPr>
              <w:t>政府优先采购节能、环保产品</w:t>
            </w:r>
          </w:p>
        </w:tc>
        <w:tc>
          <w:tcPr>
            <w:tcW w:w="2912" w:type="pct"/>
            <w:vAlign w:val="center"/>
          </w:tcPr>
          <w:p w14:paraId="353D66BD">
            <w:pPr>
              <w:adjustRightInd w:val="0"/>
              <w:snapToGrid w:val="0"/>
              <w:spacing w:line="288" w:lineRule="auto"/>
              <w:jc w:val="left"/>
              <w:rPr>
                <w:b/>
                <w:bCs/>
                <w:color w:val="auto"/>
                <w:sz w:val="21"/>
                <w:szCs w:val="21"/>
                <w:highlight w:val="none"/>
              </w:rPr>
            </w:pPr>
            <w:r>
              <w:rPr>
                <w:rFonts w:hint="eastAsia"/>
                <w:color w:val="auto"/>
                <w:sz w:val="21"/>
                <w:szCs w:val="21"/>
                <w:highlight w:val="none"/>
              </w:rPr>
              <w:t>提供材料详见磋商文件第六章“商务和技术文件”</w:t>
            </w:r>
          </w:p>
        </w:tc>
      </w:tr>
      <w:tr w14:paraId="60D36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3" w:type="pct"/>
            <w:vAlign w:val="center"/>
          </w:tcPr>
          <w:p w14:paraId="6CE22F04">
            <w:pPr>
              <w:adjustRightInd w:val="0"/>
              <w:snapToGrid w:val="0"/>
              <w:spacing w:line="288" w:lineRule="auto"/>
              <w:jc w:val="center"/>
              <w:rPr>
                <w:color w:val="auto"/>
                <w:sz w:val="21"/>
                <w:szCs w:val="21"/>
                <w:highlight w:val="none"/>
              </w:rPr>
            </w:pPr>
            <w:r>
              <w:rPr>
                <w:rFonts w:hint="eastAsia"/>
                <w:color w:val="auto"/>
                <w:sz w:val="21"/>
                <w:szCs w:val="21"/>
                <w:highlight w:val="none"/>
              </w:rPr>
              <w:t>4</w:t>
            </w:r>
          </w:p>
        </w:tc>
        <w:tc>
          <w:tcPr>
            <w:tcW w:w="1715" w:type="pct"/>
            <w:vAlign w:val="center"/>
          </w:tcPr>
          <w:p w14:paraId="04801FE5">
            <w:pPr>
              <w:adjustRightInd w:val="0"/>
              <w:snapToGrid w:val="0"/>
              <w:spacing w:line="288" w:lineRule="auto"/>
              <w:jc w:val="center"/>
              <w:rPr>
                <w:color w:val="auto"/>
                <w:sz w:val="21"/>
                <w:szCs w:val="18"/>
                <w:highlight w:val="none"/>
              </w:rPr>
            </w:pPr>
            <w:r>
              <w:rPr>
                <w:rFonts w:hint="eastAsia"/>
                <w:color w:val="auto"/>
                <w:sz w:val="21"/>
                <w:szCs w:val="18"/>
                <w:highlight w:val="none"/>
              </w:rPr>
              <w:t>政府采购支持科技创新</w:t>
            </w:r>
          </w:p>
        </w:tc>
        <w:tc>
          <w:tcPr>
            <w:tcW w:w="2912" w:type="pct"/>
            <w:vAlign w:val="center"/>
          </w:tcPr>
          <w:p w14:paraId="46ED8D26">
            <w:pPr>
              <w:adjustRightInd w:val="0"/>
              <w:snapToGrid w:val="0"/>
              <w:spacing w:line="288" w:lineRule="auto"/>
              <w:jc w:val="left"/>
              <w:rPr>
                <w:color w:val="auto"/>
                <w:sz w:val="21"/>
                <w:szCs w:val="18"/>
                <w:highlight w:val="none"/>
              </w:rPr>
            </w:pPr>
            <w:r>
              <w:rPr>
                <w:rFonts w:hint="eastAsia"/>
                <w:color w:val="auto"/>
                <w:sz w:val="21"/>
                <w:szCs w:val="18"/>
                <w:highlight w:val="none"/>
              </w:rPr>
              <w:t>不适用</w:t>
            </w:r>
          </w:p>
        </w:tc>
      </w:tr>
      <w:tr w14:paraId="46085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3" w:type="pct"/>
            <w:vAlign w:val="center"/>
          </w:tcPr>
          <w:p w14:paraId="519EE14E">
            <w:pPr>
              <w:adjustRightInd w:val="0"/>
              <w:snapToGrid w:val="0"/>
              <w:spacing w:line="288" w:lineRule="auto"/>
              <w:jc w:val="center"/>
              <w:rPr>
                <w:b/>
                <w:bCs/>
                <w:color w:val="auto"/>
                <w:sz w:val="21"/>
                <w:szCs w:val="21"/>
                <w:highlight w:val="none"/>
              </w:rPr>
            </w:pPr>
            <w:r>
              <w:rPr>
                <w:rFonts w:hint="eastAsia"/>
                <w:color w:val="auto"/>
                <w:sz w:val="21"/>
                <w:szCs w:val="21"/>
                <w:highlight w:val="none"/>
              </w:rPr>
              <w:t>5</w:t>
            </w:r>
          </w:p>
        </w:tc>
        <w:tc>
          <w:tcPr>
            <w:tcW w:w="1715" w:type="pct"/>
            <w:vAlign w:val="center"/>
          </w:tcPr>
          <w:p w14:paraId="008E46A1">
            <w:pPr>
              <w:adjustRightInd w:val="0"/>
              <w:snapToGrid w:val="0"/>
              <w:spacing w:line="288" w:lineRule="auto"/>
              <w:jc w:val="center"/>
              <w:rPr>
                <w:color w:val="auto"/>
                <w:sz w:val="21"/>
                <w:szCs w:val="21"/>
                <w:highlight w:val="none"/>
              </w:rPr>
            </w:pPr>
            <w:r>
              <w:rPr>
                <w:rFonts w:hint="eastAsia"/>
                <w:color w:val="auto"/>
                <w:sz w:val="21"/>
                <w:szCs w:val="21"/>
                <w:highlight w:val="none"/>
              </w:rPr>
              <w:t>政府采购促进中小企业发展</w:t>
            </w:r>
          </w:p>
        </w:tc>
        <w:tc>
          <w:tcPr>
            <w:tcW w:w="2912" w:type="pct"/>
            <w:vAlign w:val="center"/>
          </w:tcPr>
          <w:p w14:paraId="3A6C0336">
            <w:pPr>
              <w:adjustRightInd w:val="0"/>
              <w:snapToGrid w:val="0"/>
              <w:spacing w:line="288" w:lineRule="auto"/>
              <w:jc w:val="left"/>
              <w:rPr>
                <w:rFonts w:hint="eastAsia"/>
                <w:color w:val="auto"/>
                <w:sz w:val="21"/>
                <w:szCs w:val="21"/>
                <w:highlight w:val="none"/>
              </w:rPr>
            </w:pPr>
            <w:r>
              <w:rPr>
                <w:rFonts w:hint="eastAsia"/>
                <w:color w:val="auto"/>
                <w:sz w:val="21"/>
                <w:szCs w:val="21"/>
                <w:highlight w:val="none"/>
              </w:rPr>
              <w:t>提供材料详见磋商文件第六章“资格文件”</w:t>
            </w:r>
          </w:p>
          <w:p w14:paraId="08B46BC0">
            <w:pPr>
              <w:adjustRightInd w:val="0"/>
              <w:snapToGrid w:val="0"/>
              <w:spacing w:line="288" w:lineRule="auto"/>
              <w:jc w:val="left"/>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本项目采购标的为：工程</w:t>
            </w:r>
          </w:p>
          <w:p w14:paraId="22370815">
            <w:pPr>
              <w:adjustRightInd w:val="0"/>
              <w:snapToGrid w:val="0"/>
              <w:spacing w:line="288" w:lineRule="auto"/>
              <w:jc w:val="left"/>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采购标的对应的中小企业划分标准所属行业：建筑业</w:t>
            </w:r>
          </w:p>
          <w:p w14:paraId="6371BCE0">
            <w:pPr>
              <w:adjustRightInd w:val="0"/>
              <w:snapToGrid w:val="0"/>
              <w:spacing w:line="288" w:lineRule="auto"/>
              <w:jc w:val="left"/>
              <w:rPr>
                <w:color w:val="auto"/>
                <w:sz w:val="21"/>
                <w:szCs w:val="21"/>
                <w:highlight w:val="none"/>
              </w:rPr>
            </w:pPr>
            <w:r>
              <w:rPr>
                <w:rFonts w:hint="eastAsia" w:ascii="宋体" w:hAnsi="宋体" w:eastAsia="宋体" w:cs="Times New Roman"/>
                <w:b/>
                <w:bCs/>
                <w:color w:val="auto"/>
                <w:sz w:val="21"/>
                <w:szCs w:val="21"/>
                <w:highlight w:val="none"/>
              </w:rPr>
              <w:t>中小企业划型标准：中小企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r w14:paraId="7B6F4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3" w:type="pct"/>
            <w:vAlign w:val="center"/>
          </w:tcPr>
          <w:p w14:paraId="0A7A54FE">
            <w:pPr>
              <w:adjustRightInd w:val="0"/>
              <w:snapToGrid w:val="0"/>
              <w:spacing w:line="288" w:lineRule="auto"/>
              <w:jc w:val="center"/>
              <w:rPr>
                <w:color w:val="auto"/>
                <w:sz w:val="21"/>
                <w:szCs w:val="21"/>
                <w:highlight w:val="none"/>
              </w:rPr>
            </w:pPr>
            <w:r>
              <w:rPr>
                <w:rFonts w:hint="eastAsia"/>
                <w:color w:val="auto"/>
                <w:sz w:val="21"/>
                <w:szCs w:val="21"/>
                <w:highlight w:val="none"/>
              </w:rPr>
              <w:t>6</w:t>
            </w:r>
          </w:p>
        </w:tc>
        <w:tc>
          <w:tcPr>
            <w:tcW w:w="1715" w:type="pct"/>
            <w:vAlign w:val="center"/>
          </w:tcPr>
          <w:p w14:paraId="75AA2118">
            <w:pPr>
              <w:adjustRightInd w:val="0"/>
              <w:snapToGrid w:val="0"/>
              <w:spacing w:line="288" w:lineRule="auto"/>
              <w:jc w:val="center"/>
              <w:rPr>
                <w:color w:val="auto"/>
                <w:sz w:val="21"/>
                <w:szCs w:val="21"/>
                <w:highlight w:val="none"/>
              </w:rPr>
            </w:pPr>
            <w:r>
              <w:rPr>
                <w:rFonts w:hint="eastAsia"/>
                <w:color w:val="auto"/>
                <w:sz w:val="21"/>
                <w:szCs w:val="21"/>
                <w:highlight w:val="none"/>
              </w:rPr>
              <w:t>政府采购支持监狱企业发展</w:t>
            </w:r>
          </w:p>
        </w:tc>
        <w:tc>
          <w:tcPr>
            <w:tcW w:w="2912" w:type="pct"/>
            <w:vAlign w:val="center"/>
          </w:tcPr>
          <w:p w14:paraId="4078598B">
            <w:pPr>
              <w:adjustRightInd w:val="0"/>
              <w:snapToGrid w:val="0"/>
              <w:spacing w:line="288" w:lineRule="auto"/>
              <w:jc w:val="left"/>
              <w:rPr>
                <w:rFonts w:cs="Times New Roman"/>
                <w:b/>
                <w:bCs/>
                <w:color w:val="auto"/>
                <w:sz w:val="21"/>
                <w:szCs w:val="21"/>
                <w:highlight w:val="none"/>
              </w:rPr>
            </w:pPr>
            <w:r>
              <w:rPr>
                <w:rFonts w:hint="eastAsia"/>
                <w:color w:val="auto"/>
                <w:sz w:val="21"/>
                <w:szCs w:val="21"/>
                <w:highlight w:val="none"/>
              </w:rPr>
              <w:t>提供材料详见磋商文件第六章“资格文件”</w:t>
            </w:r>
          </w:p>
        </w:tc>
      </w:tr>
      <w:tr w14:paraId="43238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3" w:type="pct"/>
            <w:vAlign w:val="center"/>
          </w:tcPr>
          <w:p w14:paraId="66734383">
            <w:pPr>
              <w:adjustRightInd w:val="0"/>
              <w:snapToGrid w:val="0"/>
              <w:spacing w:line="288" w:lineRule="auto"/>
              <w:jc w:val="center"/>
              <w:rPr>
                <w:color w:val="auto"/>
                <w:sz w:val="21"/>
                <w:szCs w:val="21"/>
                <w:highlight w:val="none"/>
              </w:rPr>
            </w:pPr>
            <w:r>
              <w:rPr>
                <w:rFonts w:hint="eastAsia"/>
                <w:color w:val="auto"/>
                <w:sz w:val="21"/>
                <w:szCs w:val="21"/>
                <w:highlight w:val="none"/>
              </w:rPr>
              <w:t>7</w:t>
            </w:r>
          </w:p>
        </w:tc>
        <w:tc>
          <w:tcPr>
            <w:tcW w:w="1715" w:type="pct"/>
            <w:vAlign w:val="center"/>
          </w:tcPr>
          <w:p w14:paraId="7425DB19">
            <w:pPr>
              <w:adjustRightInd w:val="0"/>
              <w:snapToGrid w:val="0"/>
              <w:spacing w:line="288" w:lineRule="auto"/>
              <w:jc w:val="center"/>
              <w:rPr>
                <w:color w:val="auto"/>
                <w:sz w:val="21"/>
                <w:szCs w:val="21"/>
                <w:highlight w:val="none"/>
              </w:rPr>
            </w:pPr>
            <w:r>
              <w:rPr>
                <w:rFonts w:hint="eastAsia"/>
                <w:color w:val="auto"/>
                <w:sz w:val="21"/>
                <w:szCs w:val="21"/>
                <w:highlight w:val="none"/>
              </w:rPr>
              <w:t>政府采购促进残疾人就业</w:t>
            </w:r>
          </w:p>
        </w:tc>
        <w:tc>
          <w:tcPr>
            <w:tcW w:w="2912" w:type="pct"/>
            <w:vAlign w:val="center"/>
          </w:tcPr>
          <w:p w14:paraId="7B3B82C7">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提供材料详见磋商文件第六章“资格文件”</w:t>
            </w:r>
          </w:p>
        </w:tc>
      </w:tr>
      <w:bookmarkEnd w:id="29"/>
    </w:tbl>
    <w:p w14:paraId="42508D8C">
      <w:pPr>
        <w:adjustRightInd w:val="0"/>
        <w:snapToGrid w:val="0"/>
        <w:spacing w:line="288" w:lineRule="auto"/>
        <w:jc w:val="left"/>
        <w:rPr>
          <w:color w:val="auto"/>
          <w:sz w:val="21"/>
          <w:szCs w:val="21"/>
          <w:highlight w:val="none"/>
        </w:rPr>
      </w:pPr>
    </w:p>
    <w:p w14:paraId="717DA7CE">
      <w:pPr>
        <w:adjustRightInd w:val="0"/>
        <w:snapToGrid w:val="0"/>
        <w:spacing w:line="288" w:lineRule="auto"/>
        <w:outlineLvl w:val="1"/>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二、采购资金的支付方式、时间、条件：</w:t>
      </w:r>
    </w:p>
    <w:tbl>
      <w:tblPr>
        <w:tblStyle w:val="29"/>
        <w:tblW w:w="949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2CF53F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3E765525">
            <w:pPr>
              <w:keepNext w:val="0"/>
              <w:keepLines w:val="0"/>
              <w:pageBreakBefore w:val="0"/>
              <w:widowControl w:val="0"/>
              <w:kinsoku/>
              <w:wordWrap/>
              <w:overflowPunct/>
              <w:topLinePunct w:val="0"/>
              <w:bidi w:val="0"/>
              <w:adjustRightInd w:val="0"/>
              <w:snapToGrid w:val="0"/>
              <w:spacing w:line="288" w:lineRule="auto"/>
              <w:jc w:val="center"/>
              <w:textAlignment w:val="auto"/>
              <w:rPr>
                <w:rFonts w:hint="default" w:ascii="宋体" w:hAnsi="宋体" w:eastAsia="宋体" w:cs="Times New Roman"/>
                <w:b/>
                <w:color w:val="auto"/>
                <w:spacing w:val="-6"/>
                <w:sz w:val="21"/>
                <w:szCs w:val="21"/>
                <w:highlight w:val="none"/>
                <w:lang w:val="en-US" w:eastAsia="zh-CN"/>
              </w:rPr>
            </w:pPr>
            <w:bookmarkStart w:id="30" w:name="_Hlk45005608"/>
            <w:r>
              <w:rPr>
                <w:rFonts w:hint="eastAsia" w:ascii="宋体" w:hAnsi="宋体" w:eastAsia="宋体" w:cs="Times New Roman"/>
                <w:b/>
                <w:color w:val="auto"/>
                <w:spacing w:val="-6"/>
                <w:sz w:val="21"/>
                <w:szCs w:val="21"/>
                <w:highlight w:val="none"/>
              </w:rPr>
              <w:t>▲履约</w:t>
            </w:r>
            <w:r>
              <w:rPr>
                <w:rFonts w:hint="eastAsia" w:ascii="宋体" w:hAnsi="宋体" w:eastAsia="宋体" w:cs="Times New Roman"/>
                <w:b/>
                <w:color w:val="auto"/>
                <w:spacing w:val="-6"/>
                <w:sz w:val="21"/>
                <w:szCs w:val="21"/>
                <w:highlight w:val="none"/>
                <w:lang w:val="en-US" w:eastAsia="zh-CN"/>
              </w:rPr>
              <w:t>保证金</w:t>
            </w:r>
          </w:p>
        </w:tc>
        <w:tc>
          <w:tcPr>
            <w:tcW w:w="7650" w:type="dxa"/>
            <w:tcBorders>
              <w:top w:val="single" w:color="auto" w:sz="4" w:space="0"/>
              <w:left w:val="single" w:color="auto" w:sz="4" w:space="0"/>
              <w:bottom w:val="single" w:color="auto" w:sz="4" w:space="0"/>
              <w:right w:val="single" w:color="auto" w:sz="4" w:space="0"/>
            </w:tcBorders>
            <w:vAlign w:val="center"/>
          </w:tcPr>
          <w:p w14:paraId="329D9245">
            <w:pPr>
              <w:keepNext w:val="0"/>
              <w:keepLines w:val="0"/>
              <w:pageBreakBefore w:val="0"/>
              <w:widowControl w:val="0"/>
              <w:kinsoku/>
              <w:wordWrap/>
              <w:overflowPunct/>
              <w:topLinePunct w:val="0"/>
              <w:bidi w:val="0"/>
              <w:adjustRightInd w:val="0"/>
              <w:snapToGrid w:val="0"/>
              <w:spacing w:line="288" w:lineRule="auto"/>
              <w:textAlignment w:val="auto"/>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无</w:t>
            </w:r>
          </w:p>
        </w:tc>
      </w:tr>
      <w:tr w14:paraId="509018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70BDAAEA">
            <w:pPr>
              <w:keepNext w:val="0"/>
              <w:keepLines w:val="0"/>
              <w:pageBreakBefore w:val="0"/>
              <w:widowControl w:val="0"/>
              <w:kinsoku/>
              <w:wordWrap/>
              <w:overflowPunct/>
              <w:topLinePunct w:val="0"/>
              <w:bidi w:val="0"/>
              <w:adjustRightInd w:val="0"/>
              <w:snapToGrid w:val="0"/>
              <w:spacing w:line="288" w:lineRule="auto"/>
              <w:jc w:val="center"/>
              <w:textAlignment w:val="auto"/>
              <w:rPr>
                <w:rFonts w:hint="eastAsia" w:ascii="宋体" w:hAnsi="宋体" w:eastAsia="宋体" w:cs="Times New Roman"/>
                <w:b/>
                <w:color w:val="auto"/>
                <w:spacing w:val="-6"/>
                <w:sz w:val="21"/>
                <w:szCs w:val="21"/>
                <w:highlight w:val="none"/>
                <w:lang w:val="en-US" w:eastAsia="zh-CN"/>
              </w:rPr>
            </w:pPr>
            <w:r>
              <w:rPr>
                <w:rFonts w:hint="eastAsia" w:ascii="宋体" w:hAnsi="宋体" w:eastAsia="宋体" w:cs="Times New Roman"/>
                <w:b/>
                <w:color w:val="auto"/>
                <w:spacing w:val="-6"/>
                <w:sz w:val="21"/>
                <w:szCs w:val="21"/>
                <w:highlight w:val="none"/>
              </w:rPr>
              <w:t>▲质量保证金</w:t>
            </w:r>
          </w:p>
        </w:tc>
        <w:tc>
          <w:tcPr>
            <w:tcW w:w="7650" w:type="dxa"/>
            <w:tcBorders>
              <w:top w:val="single" w:color="auto" w:sz="4" w:space="0"/>
              <w:left w:val="single" w:color="auto" w:sz="4" w:space="0"/>
              <w:bottom w:val="single" w:color="auto" w:sz="4" w:space="0"/>
              <w:right w:val="single" w:color="auto" w:sz="4" w:space="0"/>
            </w:tcBorders>
            <w:vAlign w:val="center"/>
          </w:tcPr>
          <w:p w14:paraId="4C65B8ED">
            <w:pPr>
              <w:keepNext w:val="0"/>
              <w:keepLines w:val="0"/>
              <w:pageBreakBefore w:val="0"/>
              <w:widowControl w:val="0"/>
              <w:kinsoku/>
              <w:wordWrap/>
              <w:overflowPunct/>
              <w:topLinePunct w:val="0"/>
              <w:bidi w:val="0"/>
              <w:adjustRightInd w:val="0"/>
              <w:snapToGrid w:val="0"/>
              <w:spacing w:line="288" w:lineRule="auto"/>
              <w:textAlignment w:val="auto"/>
              <w:rPr>
                <w:rFonts w:hint="eastAsia" w:ascii="宋体" w:hAnsi="宋体" w:eastAsia="宋体" w:cs="宋体"/>
                <w:color w:val="auto"/>
                <w:sz w:val="21"/>
                <w:szCs w:val="21"/>
                <w:highlight w:val="none"/>
                <w:lang w:val="en-US" w:eastAsia="zh-CN" w:bidi="ar"/>
              </w:rPr>
            </w:pPr>
            <w:r>
              <w:rPr>
                <w:rFonts w:hint="eastAsia" w:cs="宋体"/>
                <w:color w:val="auto"/>
                <w:sz w:val="21"/>
                <w:szCs w:val="21"/>
                <w:highlight w:val="none"/>
                <w:lang w:val="en-US" w:eastAsia="zh-CN" w:bidi="ar"/>
              </w:rPr>
              <w:t>无</w:t>
            </w:r>
          </w:p>
        </w:tc>
      </w:tr>
      <w:tr w14:paraId="3115B5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43727368">
            <w:pPr>
              <w:keepNext w:val="0"/>
              <w:keepLines w:val="0"/>
              <w:pageBreakBefore w:val="0"/>
              <w:widowControl w:val="0"/>
              <w:kinsoku/>
              <w:wordWrap/>
              <w:overflowPunct/>
              <w:topLinePunct w:val="0"/>
              <w:bidi w:val="0"/>
              <w:adjustRightInd w:val="0"/>
              <w:snapToGrid w:val="0"/>
              <w:spacing w:line="288" w:lineRule="auto"/>
              <w:jc w:val="center"/>
              <w:textAlignment w:val="auto"/>
              <w:rPr>
                <w:rFonts w:hint="eastAsia"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14:paraId="749989BC">
            <w:pPr>
              <w:keepNext w:val="0"/>
              <w:keepLines w:val="0"/>
              <w:pageBreakBefore w:val="0"/>
              <w:widowControl w:val="0"/>
              <w:kinsoku/>
              <w:wordWrap/>
              <w:overflowPunct/>
              <w:topLinePunct w:val="0"/>
              <w:autoSpaceDE w:val="0"/>
              <w:autoSpaceDN w:val="0"/>
              <w:bidi w:val="0"/>
              <w:adjustRightInd w:val="0"/>
              <w:snapToGrid w:val="0"/>
              <w:spacing w:line="288" w:lineRule="auto"/>
              <w:jc w:val="left"/>
              <w:textAlignment w:val="auto"/>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合同生效且</w:t>
            </w:r>
            <w:r>
              <w:rPr>
                <w:rFonts w:hint="eastAsia" w:cs="宋体"/>
                <w:color w:val="auto"/>
                <w:spacing w:val="-6"/>
                <w:kern w:val="0"/>
                <w:sz w:val="21"/>
                <w:szCs w:val="21"/>
                <w:highlight w:val="none"/>
                <w:lang w:val="en-US" w:eastAsia="zh-CN"/>
              </w:rPr>
              <w:t>供应商</w:t>
            </w:r>
            <w:r>
              <w:rPr>
                <w:rFonts w:hint="eastAsia" w:ascii="宋体" w:hAnsi="宋体" w:eastAsia="宋体" w:cs="宋体"/>
                <w:color w:val="auto"/>
                <w:spacing w:val="-6"/>
                <w:kern w:val="0"/>
                <w:sz w:val="21"/>
                <w:szCs w:val="21"/>
                <w:highlight w:val="none"/>
              </w:rPr>
              <w:t>出具预付款保函后七个工作日内，</w:t>
            </w:r>
            <w:r>
              <w:rPr>
                <w:rFonts w:hint="eastAsia"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向</w:t>
            </w:r>
            <w:r>
              <w:rPr>
                <w:rFonts w:hint="eastAsia" w:cs="宋体"/>
                <w:color w:val="auto"/>
                <w:spacing w:val="-6"/>
                <w:kern w:val="0"/>
                <w:sz w:val="21"/>
                <w:szCs w:val="21"/>
                <w:highlight w:val="none"/>
                <w:lang w:val="en-US" w:eastAsia="zh-CN"/>
              </w:rPr>
              <w:t>供应商</w:t>
            </w:r>
            <w:r>
              <w:rPr>
                <w:rFonts w:hint="eastAsia" w:ascii="宋体" w:hAnsi="宋体" w:eastAsia="宋体" w:cs="宋体"/>
                <w:color w:val="auto"/>
                <w:spacing w:val="-6"/>
                <w:kern w:val="0"/>
                <w:sz w:val="21"/>
                <w:szCs w:val="21"/>
                <w:highlight w:val="none"/>
              </w:rPr>
              <w:t>支付合同金额40%的预付款；项目主要材料、设备进场后支付到合同金额的75%；项目竣工验收合格后，经</w:t>
            </w:r>
            <w:r>
              <w:rPr>
                <w:rFonts w:hint="eastAsia"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委托第三方审计单位对该项目进行结算审计，根据双方认可的审定结果支付工程款，</w:t>
            </w:r>
            <w:r>
              <w:rPr>
                <w:rFonts w:hint="eastAsia"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自收到发票后7个工作日内，支付至审定价的100%。</w:t>
            </w:r>
          </w:p>
        </w:tc>
      </w:tr>
      <w:bookmarkEnd w:id="30"/>
    </w:tbl>
    <w:p w14:paraId="6D72F3F1">
      <w:pPr>
        <w:adjustRightInd w:val="0"/>
        <w:snapToGrid w:val="0"/>
        <w:spacing w:line="288" w:lineRule="auto"/>
        <w:rPr>
          <w:rFonts w:ascii="宋体" w:hAnsi="宋体" w:eastAsia="宋体" w:cs="宋体"/>
          <w:color w:val="auto"/>
          <w:sz w:val="21"/>
          <w:szCs w:val="21"/>
          <w:highlight w:val="none"/>
        </w:rPr>
      </w:pPr>
    </w:p>
    <w:p w14:paraId="16DB1F32">
      <w:pPr>
        <w:adjustRightInd w:val="0"/>
        <w:snapToGrid w:val="0"/>
        <w:spacing w:line="288" w:lineRule="auto"/>
        <w:outlineLvl w:val="1"/>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三、服务要求（技术要求里另有注明的以技术要求为准）：</w:t>
      </w:r>
    </w:p>
    <w:tbl>
      <w:tblPr>
        <w:tblStyle w:val="29"/>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566B44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843" w:type="dxa"/>
            <w:tcBorders>
              <w:top w:val="single" w:color="auto" w:sz="4" w:space="0"/>
              <w:left w:val="single" w:color="auto" w:sz="4" w:space="0"/>
              <w:bottom w:val="single" w:color="auto" w:sz="4" w:space="0"/>
              <w:right w:val="single" w:color="auto" w:sz="4" w:space="0"/>
            </w:tcBorders>
            <w:vAlign w:val="center"/>
          </w:tcPr>
          <w:p w14:paraId="15661A95">
            <w:pPr>
              <w:adjustRightInd w:val="0"/>
              <w:snapToGrid w:val="0"/>
              <w:spacing w:line="288" w:lineRule="auto"/>
              <w:jc w:val="center"/>
              <w:rPr>
                <w:rFonts w:hint="eastAsia" w:ascii="宋体" w:hAnsi="宋体" w:eastAsia="宋体" w:cs="Times New Roman"/>
                <w:b/>
                <w:color w:val="auto"/>
                <w:spacing w:val="-6"/>
                <w:kern w:val="2"/>
                <w:sz w:val="21"/>
                <w:szCs w:val="21"/>
                <w:highlight w:val="none"/>
                <w:lang w:val="en-US" w:eastAsia="zh-CN" w:bidi="ar-SA"/>
              </w:rPr>
            </w:pPr>
            <w:bookmarkStart w:id="31" w:name="_Hlk97039632"/>
            <w:r>
              <w:rPr>
                <w:rFonts w:hint="eastAsia" w:ascii="宋体" w:hAnsi="宋体" w:eastAsia="宋体" w:cs="Times New Roman"/>
                <w:b/>
                <w:color w:val="auto"/>
                <w:spacing w:val="-6"/>
                <w:kern w:val="2"/>
                <w:sz w:val="21"/>
                <w:szCs w:val="21"/>
                <w:highlight w:val="none"/>
                <w:lang w:val="en-US" w:eastAsia="zh-CN" w:bidi="ar-SA"/>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A1A5A25">
            <w:pPr>
              <w:adjustRightInd w:val="0"/>
              <w:snapToGrid w:val="0"/>
              <w:spacing w:line="288"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2年，验收合格日开始计算</w:t>
            </w:r>
            <w:r>
              <w:rPr>
                <w:rFonts w:hint="eastAsia" w:cs="宋体"/>
                <w:color w:val="auto"/>
                <w:sz w:val="21"/>
                <w:szCs w:val="21"/>
                <w:highlight w:val="none"/>
                <w:lang w:val="en-US" w:eastAsia="zh-CN"/>
              </w:rPr>
              <w:t>。</w:t>
            </w:r>
          </w:p>
        </w:tc>
      </w:tr>
      <w:tr w14:paraId="15346B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5" w:hRule="atLeast"/>
        </w:trPr>
        <w:tc>
          <w:tcPr>
            <w:tcW w:w="1843" w:type="dxa"/>
            <w:tcBorders>
              <w:top w:val="single" w:color="auto" w:sz="4" w:space="0"/>
              <w:left w:val="single" w:color="auto" w:sz="4" w:space="0"/>
              <w:bottom w:val="single" w:color="auto" w:sz="4" w:space="0"/>
              <w:right w:val="single" w:color="auto" w:sz="4" w:space="0"/>
            </w:tcBorders>
            <w:vAlign w:val="center"/>
          </w:tcPr>
          <w:p w14:paraId="171A960F">
            <w:pPr>
              <w:widowControl w:val="0"/>
              <w:spacing w:before="194" w:beforeLines="50" w:beforeAutospacing="0" w:after="194" w:afterLines="50" w:afterAutospacing="0" w:line="288" w:lineRule="auto"/>
              <w:ind w:firstLine="0" w:firstLineChars="0"/>
              <w:jc w:val="center"/>
              <w:rPr>
                <w:rFonts w:hint="eastAsia" w:ascii="宋体" w:hAnsi="宋体" w:eastAsia="宋体" w:cs="Times New Roman"/>
                <w:b/>
                <w:color w:val="auto"/>
                <w:spacing w:val="-6"/>
                <w:kern w:val="2"/>
                <w:sz w:val="21"/>
                <w:szCs w:val="21"/>
                <w:highlight w:val="none"/>
                <w:lang w:val="en-US" w:eastAsia="zh-CN" w:bidi="ar-SA"/>
              </w:rPr>
            </w:pPr>
            <w:r>
              <w:rPr>
                <w:rFonts w:hint="eastAsia" w:ascii="宋体" w:hAnsi="宋体" w:eastAsia="宋体" w:cs="Times New Roman"/>
                <w:b/>
                <w:color w:val="auto"/>
                <w:spacing w:val="-6"/>
                <w:kern w:val="2"/>
                <w:sz w:val="21"/>
                <w:szCs w:val="21"/>
                <w:highlight w:val="none"/>
                <w:lang w:val="en-US" w:eastAsia="zh-CN" w:bidi="ar-SA"/>
              </w:rPr>
              <w:t>工期要求</w:t>
            </w:r>
          </w:p>
        </w:tc>
        <w:tc>
          <w:tcPr>
            <w:tcW w:w="7655" w:type="dxa"/>
            <w:tcBorders>
              <w:top w:val="single" w:color="auto" w:sz="4" w:space="0"/>
              <w:left w:val="single" w:color="auto" w:sz="4" w:space="0"/>
              <w:bottom w:val="single" w:color="auto" w:sz="4" w:space="0"/>
              <w:right w:val="single" w:color="auto" w:sz="4" w:space="0"/>
            </w:tcBorders>
            <w:vAlign w:val="center"/>
          </w:tcPr>
          <w:p w14:paraId="7803838C">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合同签订后，</w:t>
            </w:r>
            <w:r>
              <w:rPr>
                <w:rFonts w:hint="eastAsia" w:cs="宋体"/>
                <w:color w:val="auto"/>
                <w:sz w:val="21"/>
                <w:szCs w:val="21"/>
                <w:highlight w:val="none"/>
                <w:lang w:val="en-US" w:eastAsia="zh-CN"/>
              </w:rPr>
              <w:t>90天</w:t>
            </w:r>
            <w:r>
              <w:rPr>
                <w:rFonts w:hint="eastAsia" w:ascii="宋体" w:hAnsi="宋体" w:eastAsia="宋体" w:cs="宋体"/>
                <w:color w:val="auto"/>
                <w:sz w:val="21"/>
                <w:szCs w:val="21"/>
                <w:highlight w:val="none"/>
                <w:lang w:val="en-US" w:eastAsia="zh-CN"/>
              </w:rPr>
              <w:t>内完成</w:t>
            </w:r>
          </w:p>
        </w:tc>
      </w:tr>
      <w:bookmarkEnd w:id="31"/>
    </w:tbl>
    <w:p w14:paraId="5E7C0431">
      <w:pPr>
        <w:adjustRightInd w:val="0"/>
        <w:snapToGrid w:val="0"/>
        <w:spacing w:line="288" w:lineRule="auto"/>
        <w:rPr>
          <w:rFonts w:ascii="宋体" w:hAnsi="宋体" w:eastAsia="宋体" w:cs="宋体"/>
          <w:color w:val="auto"/>
          <w:sz w:val="21"/>
          <w:szCs w:val="21"/>
          <w:highlight w:val="none"/>
        </w:rPr>
      </w:pPr>
    </w:p>
    <w:p w14:paraId="532FB312">
      <w:pPr>
        <w:adjustRightInd w:val="0"/>
        <w:snapToGrid w:val="0"/>
        <w:spacing w:line="288" w:lineRule="auto"/>
        <w:outlineLvl w:val="1"/>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t>四、技术要求</w:t>
      </w:r>
      <w:r>
        <w:rPr>
          <w:rFonts w:hint="eastAsia" w:ascii="宋体" w:hAnsi="宋体" w:eastAsia="宋体" w:cs="宋体"/>
          <w:b/>
          <w:bCs/>
          <w:color w:val="auto"/>
          <w:sz w:val="21"/>
          <w:szCs w:val="21"/>
          <w:highlight w:val="none"/>
        </w:rPr>
        <w:t>：</w:t>
      </w:r>
    </w:p>
    <w:p w14:paraId="448824C3">
      <w:pPr>
        <w:keepNext w:val="0"/>
        <w:keepLines w:val="0"/>
        <w:pageBreakBefore w:val="0"/>
        <w:widowControl w:val="0"/>
        <w:kinsoku/>
        <w:wordWrap/>
        <w:overflowPunct/>
        <w:topLinePunct w:val="0"/>
        <w:autoSpaceDE/>
        <w:autoSpaceDN/>
        <w:bidi w:val="0"/>
        <w:adjustRightInd w:val="0"/>
        <w:snapToGrid w:val="0"/>
        <w:spacing w:line="288"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1、项目概况</w:t>
      </w:r>
    </w:p>
    <w:p w14:paraId="67568FBD">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前山边坡长度约42m，为人工边坡，干砌块石挡墙支护，高度1.46—5.35m。现状局部干砌块石挡墙鼓凸，处于基本稳定、欠稳定状态，后期随着根劈及雨水下渗等作用，现状干砌块石挡墙有发生垮塌风险。</w:t>
      </w:r>
    </w:p>
    <w:p w14:paraId="5DC17C7F">
      <w:pPr>
        <w:keepNext w:val="0"/>
        <w:keepLines w:val="0"/>
        <w:pageBreakBefore w:val="0"/>
        <w:widowControl/>
        <w:kinsoku/>
        <w:wordWrap/>
        <w:overflowPunct/>
        <w:topLinePunct w:val="0"/>
        <w:autoSpaceDE/>
        <w:autoSpaceDN/>
        <w:bidi w:val="0"/>
        <w:adjustRightInd w:val="0"/>
        <w:snapToGrid w:val="0"/>
        <w:spacing w:line="288" w:lineRule="auto"/>
        <w:ind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SA"/>
        </w:rPr>
        <w:t>2、</w:t>
      </w:r>
      <w:r>
        <w:rPr>
          <w:rFonts w:hint="eastAsia" w:ascii="宋体" w:hAnsi="宋体" w:eastAsia="宋体" w:cs="宋体"/>
          <w:b/>
          <w:color w:val="auto"/>
          <w:kern w:val="2"/>
          <w:sz w:val="21"/>
          <w:szCs w:val="21"/>
          <w:highlight w:val="none"/>
          <w:lang w:val="en-US" w:eastAsia="zh-CN" w:bidi="ar-SA"/>
        </w:rPr>
        <w:t>本次施</w:t>
      </w:r>
      <w:r>
        <w:rPr>
          <w:rFonts w:hint="eastAsia" w:ascii="宋体" w:hAnsi="宋体" w:eastAsia="宋体" w:cs="宋体"/>
          <w:b/>
          <w:bCs/>
          <w:color w:val="auto"/>
          <w:sz w:val="21"/>
          <w:szCs w:val="21"/>
          <w:highlight w:val="none"/>
        </w:rPr>
        <w:t>工涉及内容主要包括：</w:t>
      </w:r>
      <w:r>
        <w:rPr>
          <w:rFonts w:hint="eastAsia" w:cs="宋体"/>
          <w:b/>
          <w:bCs/>
          <w:color w:val="auto"/>
          <w:sz w:val="21"/>
          <w:szCs w:val="21"/>
          <w:highlight w:val="none"/>
          <w:lang w:eastAsia="zh-CN"/>
        </w:rPr>
        <w:t>具体详见工程量清单和设计</w:t>
      </w:r>
      <w:r>
        <w:rPr>
          <w:rFonts w:hint="eastAsia" w:cs="宋体"/>
          <w:b/>
          <w:bCs/>
          <w:color w:val="auto"/>
          <w:sz w:val="21"/>
          <w:szCs w:val="21"/>
          <w:highlight w:val="none"/>
          <w:lang w:val="en-US" w:eastAsia="zh-CN"/>
        </w:rPr>
        <w:t>方案</w:t>
      </w:r>
      <w:r>
        <w:rPr>
          <w:rFonts w:hint="eastAsia" w:ascii="宋体" w:hAnsi="宋体" w:eastAsia="宋体" w:cs="宋体"/>
          <w:b/>
          <w:bCs/>
          <w:color w:val="auto"/>
          <w:sz w:val="21"/>
          <w:szCs w:val="21"/>
          <w:highlight w:val="none"/>
        </w:rPr>
        <w:t>。</w:t>
      </w:r>
    </w:p>
    <w:p w14:paraId="00FE0B2A">
      <w:pPr>
        <w:keepNext w:val="0"/>
        <w:keepLines w:val="0"/>
        <w:pageBreakBefore w:val="0"/>
        <w:widowControl w:val="0"/>
        <w:numPr>
          <w:ilvl w:val="0"/>
          <w:numId w:val="0"/>
        </w:numPr>
        <w:kinsoku/>
        <w:wordWrap/>
        <w:overflowPunct/>
        <w:topLinePunct w:val="0"/>
        <w:autoSpaceDE/>
        <w:autoSpaceDN/>
        <w:bidi w:val="0"/>
        <w:snapToGrid w:val="0"/>
        <w:spacing w:line="288" w:lineRule="auto"/>
        <w:ind w:left="0" w:leftChars="0" w:firstLine="422" w:firstLineChars="200"/>
        <w:jc w:val="both"/>
        <w:textAlignment w:val="auto"/>
        <w:rPr>
          <w:rFonts w:hint="eastAsia" w:cs="宋体"/>
          <w:b/>
          <w:color w:val="auto"/>
          <w:kern w:val="2"/>
          <w:sz w:val="21"/>
          <w:szCs w:val="21"/>
          <w:highlight w:val="none"/>
          <w:lang w:val="en-US" w:eastAsia="zh-CN" w:bidi="ar-SA"/>
        </w:rPr>
      </w:pPr>
      <w:r>
        <w:rPr>
          <w:rFonts w:hint="eastAsia" w:cs="宋体"/>
          <w:b/>
          <w:color w:val="auto"/>
          <w:kern w:val="2"/>
          <w:sz w:val="21"/>
          <w:szCs w:val="21"/>
          <w:highlight w:val="none"/>
          <w:lang w:val="en-US" w:eastAsia="zh-CN" w:bidi="ar-SA"/>
        </w:rPr>
        <w:t>3</w:t>
      </w:r>
      <w:r>
        <w:rPr>
          <w:rFonts w:hint="eastAsia" w:ascii="宋体" w:hAnsi="宋体" w:eastAsia="宋体" w:cs="宋体"/>
          <w:b/>
          <w:color w:val="auto"/>
          <w:kern w:val="2"/>
          <w:sz w:val="21"/>
          <w:szCs w:val="21"/>
          <w:highlight w:val="none"/>
          <w:lang w:val="en-US" w:eastAsia="zh-CN" w:bidi="ar-SA"/>
        </w:rPr>
        <w:t>、</w:t>
      </w:r>
      <w:r>
        <w:rPr>
          <w:rFonts w:hint="eastAsia" w:cs="宋体"/>
          <w:b/>
          <w:color w:val="auto"/>
          <w:kern w:val="2"/>
          <w:sz w:val="21"/>
          <w:szCs w:val="21"/>
          <w:highlight w:val="none"/>
          <w:lang w:val="en-US" w:eastAsia="zh-CN" w:bidi="ar-SA"/>
        </w:rPr>
        <w:t>项目工期及验收</w:t>
      </w:r>
    </w:p>
    <w:p w14:paraId="4595EE1A">
      <w:pPr>
        <w:keepNext w:val="0"/>
        <w:keepLines w:val="0"/>
        <w:pageBreakBefore w:val="0"/>
        <w:kinsoku/>
        <w:wordWrap/>
        <w:overflowPunct/>
        <w:topLinePunct w:val="0"/>
        <w:autoSpaceDE/>
        <w:autoSpaceDN/>
        <w:bidi w:val="0"/>
        <w:snapToGrid w:val="0"/>
        <w:spacing w:line="288"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1</w:t>
      </w:r>
      <w:r>
        <w:rPr>
          <w:rFonts w:hint="eastAsia"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工期：合同签订后，</w:t>
      </w:r>
      <w:r>
        <w:rPr>
          <w:rFonts w:hint="eastAsia" w:cs="宋体"/>
          <w:color w:val="auto"/>
          <w:sz w:val="21"/>
          <w:szCs w:val="21"/>
          <w:highlight w:val="none"/>
          <w:lang w:val="en-US" w:eastAsia="zh-CN"/>
        </w:rPr>
        <w:t>90天</w:t>
      </w:r>
      <w:r>
        <w:rPr>
          <w:rFonts w:hint="eastAsia" w:ascii="宋体" w:hAnsi="宋体" w:eastAsia="宋体" w:cs="宋体"/>
          <w:color w:val="auto"/>
          <w:sz w:val="21"/>
          <w:szCs w:val="21"/>
          <w:highlight w:val="none"/>
          <w:lang w:val="en-US" w:eastAsia="zh-CN"/>
        </w:rPr>
        <w:t>内完成。</w:t>
      </w:r>
    </w:p>
    <w:p w14:paraId="52BCFDD6">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3.2、各项施工完成后施工单位可向采购人申请组织专项验收。</w:t>
      </w:r>
    </w:p>
    <w:p w14:paraId="051CFAF5">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3.3、施工单位应充分考虑施工现场环境及存在多施工单位交叉施工等情况，本项目施工单位应积极配合采购人同时在同一场地开展的其它项目施工的开展，不得无故阻碍施工和影响自身及其它单位的工期。</w:t>
      </w:r>
    </w:p>
    <w:p w14:paraId="1C81A198">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3.4、施工进场前施工单位应将详细的施工进度计划表提供给采购人。所有施工内容开展必须对照工程量清单和相关要求执行，因施工单位造成工期超期的，采购人有权在项目结算时扣除施工单位200元/天的超时费（不足一天按一天算）。</w:t>
      </w:r>
    </w:p>
    <w:p w14:paraId="5ED537DC">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4、售后要求</w:t>
      </w:r>
    </w:p>
    <w:p w14:paraId="670555A6">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4.1、售后报修不超过半小时，24小时内赶到现场处理。</w:t>
      </w:r>
    </w:p>
    <w:p w14:paraId="1B75FA74">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4.2、质保期修复要求不超过72小时，如有特殊情况双方可协商。</w:t>
      </w:r>
    </w:p>
    <w:p w14:paraId="38471FDF">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4.3、若有超过规定时间未响应维修或修复的情况，采购人有权自行找人维修，费用由中标单位承担。</w:t>
      </w:r>
    </w:p>
    <w:p w14:paraId="45BD5B65">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5、技术标准</w:t>
      </w:r>
    </w:p>
    <w:p w14:paraId="29CE2EE6">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依据设计施工图纸和技术文件要求，本工程项目的材料、设备、施工必须达到以下现行中华人民共和国及省、市、行业的一切有关法规、规范的要求，如下述标准及规范要求有出入则以较严格者为准。有最新标准的，按最新标准执行。</w:t>
      </w:r>
    </w:p>
    <w:p w14:paraId="29FC268D">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（1）工程建设标准强制性条文。</w:t>
      </w:r>
    </w:p>
    <w:p w14:paraId="3397A59B">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（2）建设工程质量管理条例。</w:t>
      </w:r>
    </w:p>
    <w:p w14:paraId="25A9FC40">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（3）有关环保标准。</w:t>
      </w:r>
    </w:p>
    <w:p w14:paraId="3206F807">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（4）其他现行的相关国家、地方和行业质量标准、规范标准、规范。</w:t>
      </w:r>
    </w:p>
    <w:p w14:paraId="1B871585">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6、工程质量要求</w:t>
      </w:r>
    </w:p>
    <w:p w14:paraId="0FCCF8AF">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6.1、本工程完工后质量必须保质保量保进度，项目前期及竣工涉及的所有报批报建及消防验收；</w:t>
      </w:r>
    </w:p>
    <w:p w14:paraId="140A3918">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6.2、供应商必须严格按照采购说明、工程技术要求及行业规范进行施工，并无条件地接受采购人全方位、全过程的监督管理；</w:t>
      </w:r>
    </w:p>
    <w:p w14:paraId="5FF71F8E">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6.3、所有材料设备必须在检验合格经采购人同意后，方可用于本工程；</w:t>
      </w:r>
    </w:p>
    <w:p w14:paraId="6BBDDE81">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6.4、隐蔽工程必须经采购人检查、验收后，方可进行下一道工序；</w:t>
      </w:r>
    </w:p>
    <w:p w14:paraId="69CCAA05">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6.5、采购人有权监督、检查、检验供应商的施工质量、进度。供应商应把工程质量放在首位，加强技术管理和质量保证体系，严格认真地执行技术标准和规范。</w:t>
      </w:r>
      <w:bookmarkStart w:id="32" w:name="_Toc446926256"/>
    </w:p>
    <w:p w14:paraId="1E8E6650">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6.6、工程质量保修书格式见合同条款及格式中的“工程质量保修书”。</w:t>
      </w:r>
    </w:p>
    <w:p w14:paraId="4318FD8F">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7、材料要求</w:t>
      </w:r>
      <w:bookmarkEnd w:id="32"/>
    </w:p>
    <w:p w14:paraId="2D2DD711">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7.1、材料选择</w:t>
      </w:r>
    </w:p>
    <w:p w14:paraId="1611A98B">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（1）本项目涉及的主要材料和设备，各供应商必须根据涉及施工图的要求及意图按中高档的用材标准进行选材并报价，所有设备材料要求在行业内具有一定知名度的品牌。</w:t>
      </w:r>
    </w:p>
    <w:p w14:paraId="05B9DE3F">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（2）所有材料必须在原厂生产加工，不允许采用下属、联营、协作、控股厂家产品响应和实际使用。</w:t>
      </w:r>
    </w:p>
    <w:p w14:paraId="0B58C4C0">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（3）所有提供的材料必须是优等品或“A”级品；</w:t>
      </w:r>
    </w:p>
    <w:p w14:paraId="2F4029A9">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（4）所有材料必须符合设计图纸及采购人要求，由供应商根据磋商文件、工程量清单及施工图的要求进行报价。</w:t>
      </w:r>
    </w:p>
    <w:p w14:paraId="7D6EB650">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5）响应时需在分部分项报价表中注明选用材料（设备）品牌，采购人对材料设备无推荐品牌要求的，供应商也应在分部分项工程量清单报价表和主要材料（设备）价格表中标明选择的品牌，未标明的，一旦成交，采购人有权根据需求指定任意品牌，且最终磋商报价不予调整。</w:t>
      </w:r>
    </w:p>
    <w:p w14:paraId="3355F565">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6）分部分项工程量清单中对工程项目的项目特征及具体做法只做重点描述，详细情况见施工图设计、技术说明及相关标准图集。各响应单位在进行综合单价报价时必须结合施工图、磋商文件中的相关条款及清单描述进行报价，组价时应结合供应商现场勘察情况包括完成所有工序工作内容的全部费用。清单子目中未能对各节点详图进行完全性描述的必须结合施工图详细节点进行报价，清单描述中未及的施工工艺必须结合施工图纸要求进行报价，否则视为已计入相应项目综合单价中，成交后将不调整综合单价。</w:t>
      </w:r>
    </w:p>
    <w:p w14:paraId="5133A545">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7.2、材料的质量要求</w:t>
      </w:r>
    </w:p>
    <w:p w14:paraId="1CD196B2">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（1）在免费保修期内，成交人对有缺陷的部位必须无偿地给予修理与更换，并承担一切由此引起的对采购人或第三者的直接损失，除非该缺陷是由于人为破坏或合同规定的不可抗力因素造成的损坏。</w:t>
      </w:r>
    </w:p>
    <w:p w14:paraId="1E848273">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2）供应商应对所选用的材料的技术满足度和质量负全部责任，其责任不因该品牌是否为采购人推荐减轻或更改。当供应商选定的产品质量达不到设计要求和磋商文件要求的技术指标时，采购人保留更换的权利，且成交价不予调整。</w:t>
      </w:r>
    </w:p>
    <w:p w14:paraId="26C59BBC">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8、成交后若图纸有调整，调整项目金额不高于成交金额5%范围内的不调整成交金额，请供应商自行考虑报价。依据工程量清单和技术文件要求，本项目的材料、设备、施工必须达到现行中华人民共和国及省、市、行业的一切有关法规、规范的要求，如设计施工图纸、技术文件、标准及规范要求有出入则以较严格者为准。</w:t>
      </w:r>
    </w:p>
    <w:p w14:paraId="07A40EE1">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9、其它要求</w:t>
      </w:r>
    </w:p>
    <w:p w14:paraId="51865A7C">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9.1、根据国家住建部、省级造价主管部门对造价从业人员执业管理的相关法律法规规定以及国标计价规范的规定，响应报价的编制必须遵守以下规定：</w:t>
      </w:r>
    </w:p>
    <w:p w14:paraId="34936B3C">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1）响应报价应由供应商或受其委托具有相应资质的工程造价咨询人编制。供应商委托具有相应资质的工程造价咨询人编制响应报价书的，响应文件中应附情况说明、委托编制响应报价的咨询合同书及工程造价咨询人的咨询资质等级证书等。</w:t>
      </w:r>
    </w:p>
    <w:p w14:paraId="6D2998A4">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（2）如响应报价由供应商编制，编制人员必须是在编制单位注册的造价工程师，并由其签字并盖执业专用章；</w:t>
      </w:r>
    </w:p>
    <w:p w14:paraId="024FAADF">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3）如响应报价由供应商委托具有相应资质的工程造价咨询人编制的，编制人员必须是在编制单位注册的造价工程师，并由编制人员签字和盖执业专用章，且由本单位其他注册造价工程师复核，在成果文件相应位置签字并盖执业专用章；</w:t>
      </w:r>
    </w:p>
    <w:p w14:paraId="2B770E04">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 xml:space="preserve">(4)响应报价文件不得由供应商的造价人员和受委托的咨询公司的造价人员混合编审，响应报价文件封面所盖的造价工程师只能是同一单位人员；工程造价咨询人不得同时接受采购人和供应商对同一工程的招标控制价和投标报价的编制。 </w:t>
      </w:r>
    </w:p>
    <w:p w14:paraId="2AE4814D">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9.2、成交方在项目执行过程中必须严格遵守采购单位安全保密等相关要求，施工前签订保密承诺、加强保密提醒、做好保密教育；并严格按照有关操作规程进行操作，做好安全防范工作，防止一切事故的发生；期间，出现人身伤亡等事故，一切后果由成交方自行承担。</w:t>
      </w:r>
    </w:p>
    <w:p w14:paraId="69CCD2E0">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9.3、响应方响应前应充分勘查现场，充分了解现场施工实际要求,以做出准确报价。因现场勘查不充分导致的报价缺失由响应方自行承担，采购人不再另行支付费用。现场勘查所产生的一切费用和后果由成交方自行承担。</w:t>
      </w:r>
    </w:p>
    <w:p w14:paraId="76A18F38">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9.4、施工期间施工方应服从采购方管理，确保施工安全，施工车辆进出按采购方规定实施。</w:t>
      </w:r>
    </w:p>
    <w:p w14:paraId="6B87BB72">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9.5、供应商须根据《保障农民工工资支付条款》《浙江省民营企业发展促进条例》和《住房和城乡建设部等部门关于加快推进房屋建筑和市政基础设施工程实行工程担保制度的指导意见》的规定对工资性工程款占合同总价的比例、支付时间、支付方式予以明确，施工企业对所承包工程的农民工工资支付负总责。</w:t>
      </w:r>
    </w:p>
    <w:p w14:paraId="4ED731FB">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9.6、现场勘查：自行勘查。采购人不组织现场踏勘，供应商应自行对工程现场和周围环境进行踏勘和了解，以获取有关编制响应文件和签署合同所需的各种资料，并应充分考虑影响本次报价的因素、预计实施过程中各种不利因素，由此可能发生的费用均由供应商考虑并包含在磋商报价中。成交后，供应商不得再以不完全了解现场情况等为理由而提出额外付款或延长工期等的要求，若有此类要求，采购人将不作任何答复与考虑，供应商应承担现场踏勘的责任和风险，踏勘现场的费用由供应商自行承担。</w:t>
      </w:r>
    </w:p>
    <w:p w14:paraId="4A0AF50C">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14:paraId="62317AAE">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14:paraId="79FE3A72">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29"/>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2410"/>
        <w:gridCol w:w="5954"/>
      </w:tblGrid>
      <w:tr w14:paraId="2FAEE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5755AB4">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条款号</w:t>
            </w:r>
          </w:p>
        </w:tc>
        <w:tc>
          <w:tcPr>
            <w:tcW w:w="2410" w:type="dxa"/>
            <w:vAlign w:val="center"/>
          </w:tcPr>
          <w:p w14:paraId="359D6CC9">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c>
          <w:tcPr>
            <w:tcW w:w="5954" w:type="dxa"/>
            <w:vAlign w:val="center"/>
          </w:tcPr>
          <w:p w14:paraId="1173FB19">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说明与要求</w:t>
            </w:r>
          </w:p>
        </w:tc>
      </w:tr>
      <w:tr w14:paraId="33A8A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3C92FB3">
            <w:pPr>
              <w:adjustRightInd w:val="0"/>
              <w:snapToGrid w:val="0"/>
              <w:spacing w:line="288" w:lineRule="auto"/>
              <w:jc w:val="center"/>
              <w:rPr>
                <w:color w:val="auto"/>
                <w:sz w:val="21"/>
                <w:szCs w:val="21"/>
                <w:highlight w:val="none"/>
              </w:rPr>
            </w:pPr>
            <w:r>
              <w:rPr>
                <w:rFonts w:hint="eastAsia"/>
                <w:color w:val="auto"/>
                <w:sz w:val="21"/>
                <w:szCs w:val="21"/>
                <w:highlight w:val="none"/>
              </w:rPr>
              <w:t>（一）</w:t>
            </w:r>
          </w:p>
        </w:tc>
        <w:tc>
          <w:tcPr>
            <w:tcW w:w="2410" w:type="dxa"/>
            <w:vAlign w:val="center"/>
          </w:tcPr>
          <w:p w14:paraId="7E2A64C0">
            <w:pPr>
              <w:adjustRightInd w:val="0"/>
              <w:snapToGrid w:val="0"/>
              <w:spacing w:line="288" w:lineRule="auto"/>
              <w:jc w:val="center"/>
              <w:rPr>
                <w:color w:val="auto"/>
                <w:sz w:val="21"/>
                <w:szCs w:val="21"/>
                <w:highlight w:val="none"/>
              </w:rPr>
            </w:pPr>
            <w:r>
              <w:rPr>
                <w:rFonts w:hint="eastAsia"/>
                <w:color w:val="auto"/>
                <w:sz w:val="21"/>
                <w:szCs w:val="21"/>
                <w:highlight w:val="none"/>
              </w:rPr>
              <w:t>适用范围</w:t>
            </w:r>
          </w:p>
        </w:tc>
        <w:tc>
          <w:tcPr>
            <w:tcW w:w="5954" w:type="dxa"/>
            <w:vAlign w:val="center"/>
          </w:tcPr>
          <w:p w14:paraId="1963215E">
            <w:pPr>
              <w:adjustRightInd w:val="0"/>
              <w:snapToGrid w:val="0"/>
              <w:spacing w:line="288" w:lineRule="auto"/>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浙江省人防指挥工程管理所前山山坡坡道边坡加固治理工程项目</w:t>
            </w:r>
            <w:r>
              <w:rPr>
                <w:rFonts w:hint="eastAsia"/>
                <w:color w:val="auto"/>
                <w:sz w:val="21"/>
                <w:szCs w:val="21"/>
                <w:highlight w:val="none"/>
              </w:rPr>
              <w:t>的磋商、评审、成交、验收、合同履约、付款等（法律、法规另有规定的，从其规定）。</w:t>
            </w:r>
          </w:p>
        </w:tc>
      </w:tr>
      <w:tr w14:paraId="49A59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12D4023">
            <w:pPr>
              <w:adjustRightInd w:val="0"/>
              <w:snapToGrid w:val="0"/>
              <w:spacing w:line="288" w:lineRule="auto"/>
              <w:jc w:val="center"/>
              <w:rPr>
                <w:color w:val="auto"/>
                <w:sz w:val="21"/>
                <w:szCs w:val="21"/>
                <w:highlight w:val="none"/>
              </w:rPr>
            </w:pPr>
            <w:r>
              <w:rPr>
                <w:rFonts w:hint="eastAsia"/>
                <w:color w:val="auto"/>
                <w:sz w:val="21"/>
                <w:szCs w:val="21"/>
                <w:highlight w:val="none"/>
              </w:rPr>
              <w:t>（二）</w:t>
            </w:r>
          </w:p>
        </w:tc>
        <w:tc>
          <w:tcPr>
            <w:tcW w:w="2410" w:type="dxa"/>
            <w:vAlign w:val="center"/>
          </w:tcPr>
          <w:p w14:paraId="3213D057">
            <w:pPr>
              <w:adjustRightInd w:val="0"/>
              <w:snapToGrid w:val="0"/>
              <w:spacing w:line="288" w:lineRule="auto"/>
              <w:jc w:val="center"/>
              <w:rPr>
                <w:color w:val="auto"/>
                <w:sz w:val="21"/>
                <w:szCs w:val="21"/>
                <w:highlight w:val="none"/>
              </w:rPr>
            </w:pPr>
            <w:r>
              <w:rPr>
                <w:rFonts w:hint="eastAsia"/>
                <w:color w:val="auto"/>
                <w:sz w:val="21"/>
                <w:szCs w:val="21"/>
                <w:highlight w:val="none"/>
              </w:rPr>
              <w:t>采购方式</w:t>
            </w:r>
          </w:p>
        </w:tc>
        <w:tc>
          <w:tcPr>
            <w:tcW w:w="5954" w:type="dxa"/>
            <w:vAlign w:val="center"/>
          </w:tcPr>
          <w:p w14:paraId="71C76CF2">
            <w:pPr>
              <w:adjustRightInd w:val="0"/>
              <w:snapToGrid w:val="0"/>
              <w:spacing w:line="288" w:lineRule="auto"/>
              <w:rPr>
                <w:color w:val="auto"/>
                <w:sz w:val="21"/>
                <w:szCs w:val="21"/>
                <w:highlight w:val="none"/>
              </w:rPr>
            </w:pPr>
            <w:r>
              <w:rPr>
                <w:rFonts w:hint="eastAsia"/>
                <w:color w:val="auto"/>
                <w:sz w:val="21"/>
                <w:szCs w:val="21"/>
                <w:highlight w:val="none"/>
              </w:rPr>
              <w:t>本次采购采用竞争性磋商（线上电子交易）方式进行。</w:t>
            </w:r>
          </w:p>
        </w:tc>
      </w:tr>
      <w:tr w14:paraId="5909D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A8C1A71">
            <w:pPr>
              <w:adjustRightInd w:val="0"/>
              <w:snapToGrid w:val="0"/>
              <w:spacing w:line="288" w:lineRule="auto"/>
              <w:jc w:val="center"/>
              <w:rPr>
                <w:color w:val="auto"/>
                <w:sz w:val="21"/>
                <w:szCs w:val="21"/>
                <w:highlight w:val="none"/>
              </w:rPr>
            </w:pPr>
            <w:r>
              <w:rPr>
                <w:rFonts w:hint="eastAsia"/>
                <w:color w:val="auto"/>
                <w:sz w:val="21"/>
                <w:szCs w:val="21"/>
                <w:highlight w:val="none"/>
              </w:rPr>
              <w:t>（三）</w:t>
            </w:r>
          </w:p>
        </w:tc>
        <w:tc>
          <w:tcPr>
            <w:tcW w:w="2410" w:type="dxa"/>
            <w:vAlign w:val="center"/>
          </w:tcPr>
          <w:p w14:paraId="42432E4F">
            <w:pPr>
              <w:adjustRightInd w:val="0"/>
              <w:snapToGrid w:val="0"/>
              <w:spacing w:line="288" w:lineRule="auto"/>
              <w:jc w:val="center"/>
              <w:rPr>
                <w:color w:val="auto"/>
                <w:sz w:val="21"/>
                <w:szCs w:val="21"/>
                <w:highlight w:val="none"/>
              </w:rPr>
            </w:pPr>
            <w:r>
              <w:rPr>
                <w:rFonts w:hint="eastAsia"/>
                <w:color w:val="auto"/>
                <w:sz w:val="21"/>
                <w:szCs w:val="21"/>
                <w:highlight w:val="none"/>
              </w:rPr>
              <w:t>建设地点</w:t>
            </w:r>
          </w:p>
        </w:tc>
        <w:tc>
          <w:tcPr>
            <w:tcW w:w="5954" w:type="dxa"/>
            <w:vAlign w:val="center"/>
          </w:tcPr>
          <w:p w14:paraId="0A745003">
            <w:pPr>
              <w:adjustRightInd w:val="0"/>
              <w:snapToGrid w:val="0"/>
              <w:spacing w:line="288"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杭州市西湖区前山葛岭路10号</w:t>
            </w:r>
          </w:p>
        </w:tc>
      </w:tr>
      <w:tr w14:paraId="60466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EB09A0">
            <w:pPr>
              <w:adjustRightInd w:val="0"/>
              <w:snapToGrid w:val="0"/>
              <w:spacing w:line="288" w:lineRule="auto"/>
              <w:jc w:val="center"/>
              <w:rPr>
                <w:color w:val="auto"/>
                <w:sz w:val="21"/>
                <w:szCs w:val="21"/>
                <w:highlight w:val="none"/>
              </w:rPr>
            </w:pPr>
            <w:r>
              <w:rPr>
                <w:rFonts w:hint="eastAsia"/>
                <w:color w:val="auto"/>
                <w:sz w:val="21"/>
                <w:szCs w:val="21"/>
                <w:highlight w:val="none"/>
              </w:rPr>
              <w:t>（四）</w:t>
            </w:r>
          </w:p>
        </w:tc>
        <w:tc>
          <w:tcPr>
            <w:tcW w:w="2410" w:type="dxa"/>
            <w:vAlign w:val="center"/>
          </w:tcPr>
          <w:p w14:paraId="7BFB33F6">
            <w:pPr>
              <w:adjustRightInd w:val="0"/>
              <w:snapToGrid w:val="0"/>
              <w:spacing w:line="288" w:lineRule="auto"/>
              <w:jc w:val="center"/>
              <w:rPr>
                <w:color w:val="auto"/>
                <w:sz w:val="21"/>
                <w:szCs w:val="21"/>
                <w:highlight w:val="none"/>
              </w:rPr>
            </w:pPr>
            <w:r>
              <w:rPr>
                <w:rFonts w:hint="eastAsia"/>
                <w:color w:val="auto"/>
                <w:sz w:val="21"/>
                <w:szCs w:val="21"/>
                <w:highlight w:val="none"/>
              </w:rPr>
              <w:t>建设规模</w:t>
            </w:r>
          </w:p>
        </w:tc>
        <w:tc>
          <w:tcPr>
            <w:tcW w:w="5954" w:type="dxa"/>
            <w:vAlign w:val="center"/>
          </w:tcPr>
          <w:p w14:paraId="1A1F4A39">
            <w:pPr>
              <w:adjustRightInd w:val="0"/>
              <w:snapToGrid w:val="0"/>
              <w:spacing w:line="288" w:lineRule="auto"/>
              <w:rPr>
                <w:color w:val="auto"/>
                <w:sz w:val="21"/>
                <w:szCs w:val="21"/>
                <w:highlight w:val="none"/>
              </w:rPr>
            </w:pPr>
            <w:r>
              <w:rPr>
                <w:rFonts w:hint="eastAsia"/>
                <w:color w:val="auto"/>
                <w:sz w:val="21"/>
                <w:szCs w:val="21"/>
                <w:highlight w:val="none"/>
              </w:rPr>
              <w:t>详见竞争性磋商文件、</w:t>
            </w:r>
            <w:r>
              <w:rPr>
                <w:rFonts w:hint="eastAsia"/>
                <w:color w:val="auto"/>
                <w:sz w:val="21"/>
                <w:szCs w:val="21"/>
                <w:highlight w:val="none"/>
                <w:lang w:eastAsia="zh-CN"/>
              </w:rPr>
              <w:t>工程量清单、设计</w:t>
            </w:r>
            <w:r>
              <w:rPr>
                <w:rFonts w:hint="eastAsia"/>
                <w:color w:val="auto"/>
                <w:sz w:val="21"/>
                <w:szCs w:val="21"/>
                <w:highlight w:val="none"/>
                <w:lang w:val="en-US" w:eastAsia="zh-CN"/>
              </w:rPr>
              <w:t>方案</w:t>
            </w:r>
          </w:p>
        </w:tc>
      </w:tr>
      <w:tr w14:paraId="66F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0881D55">
            <w:pPr>
              <w:adjustRightInd w:val="0"/>
              <w:snapToGrid w:val="0"/>
              <w:spacing w:line="288" w:lineRule="auto"/>
              <w:jc w:val="center"/>
              <w:rPr>
                <w:color w:val="auto"/>
                <w:sz w:val="21"/>
                <w:szCs w:val="21"/>
                <w:highlight w:val="none"/>
              </w:rPr>
            </w:pPr>
            <w:r>
              <w:rPr>
                <w:rFonts w:hint="eastAsia"/>
                <w:color w:val="auto"/>
                <w:sz w:val="21"/>
                <w:szCs w:val="21"/>
                <w:highlight w:val="none"/>
              </w:rPr>
              <w:t>（五）</w:t>
            </w:r>
          </w:p>
        </w:tc>
        <w:tc>
          <w:tcPr>
            <w:tcW w:w="2410" w:type="dxa"/>
            <w:vAlign w:val="center"/>
          </w:tcPr>
          <w:p w14:paraId="377CD752">
            <w:pPr>
              <w:adjustRightInd w:val="0"/>
              <w:snapToGrid w:val="0"/>
              <w:spacing w:line="288" w:lineRule="auto"/>
              <w:jc w:val="center"/>
              <w:rPr>
                <w:color w:val="auto"/>
                <w:sz w:val="21"/>
                <w:szCs w:val="21"/>
                <w:highlight w:val="none"/>
              </w:rPr>
            </w:pPr>
            <w:r>
              <w:rPr>
                <w:rFonts w:hint="eastAsia"/>
                <w:color w:val="auto"/>
                <w:sz w:val="21"/>
                <w:szCs w:val="21"/>
                <w:highlight w:val="none"/>
              </w:rPr>
              <w:t>承包方式</w:t>
            </w:r>
          </w:p>
        </w:tc>
        <w:tc>
          <w:tcPr>
            <w:tcW w:w="5954" w:type="dxa"/>
            <w:vAlign w:val="center"/>
          </w:tcPr>
          <w:p w14:paraId="77CF4758">
            <w:pPr>
              <w:adjustRightInd w:val="0"/>
              <w:snapToGrid w:val="0"/>
              <w:spacing w:line="288" w:lineRule="auto"/>
              <w:rPr>
                <w:color w:val="auto"/>
                <w:sz w:val="21"/>
                <w:szCs w:val="21"/>
                <w:highlight w:val="none"/>
              </w:rPr>
            </w:pPr>
            <w:r>
              <w:rPr>
                <w:bCs/>
                <w:color w:val="auto"/>
                <w:sz w:val="21"/>
                <w:szCs w:val="21"/>
                <w:highlight w:val="none"/>
              </w:rPr>
              <w:t>包工包料、保质量、包工期、包安全文明施工总承包</w:t>
            </w:r>
          </w:p>
        </w:tc>
      </w:tr>
      <w:tr w14:paraId="7ADF1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D7EF0DF">
            <w:pPr>
              <w:adjustRightInd w:val="0"/>
              <w:snapToGrid w:val="0"/>
              <w:spacing w:line="288" w:lineRule="auto"/>
              <w:jc w:val="center"/>
              <w:rPr>
                <w:color w:val="auto"/>
                <w:sz w:val="21"/>
                <w:szCs w:val="21"/>
                <w:highlight w:val="none"/>
              </w:rPr>
            </w:pPr>
            <w:r>
              <w:rPr>
                <w:rFonts w:hint="eastAsia"/>
                <w:color w:val="auto"/>
                <w:sz w:val="21"/>
                <w:szCs w:val="21"/>
                <w:highlight w:val="none"/>
              </w:rPr>
              <w:t>（六）</w:t>
            </w:r>
          </w:p>
        </w:tc>
        <w:tc>
          <w:tcPr>
            <w:tcW w:w="2410" w:type="dxa"/>
            <w:vAlign w:val="center"/>
          </w:tcPr>
          <w:p w14:paraId="6A6D5BB7">
            <w:pPr>
              <w:adjustRightInd w:val="0"/>
              <w:snapToGrid w:val="0"/>
              <w:spacing w:line="288" w:lineRule="auto"/>
              <w:jc w:val="center"/>
              <w:rPr>
                <w:color w:val="auto"/>
                <w:sz w:val="21"/>
                <w:szCs w:val="21"/>
                <w:highlight w:val="none"/>
              </w:rPr>
            </w:pPr>
            <w:r>
              <w:rPr>
                <w:rFonts w:hint="eastAsia"/>
                <w:color w:val="auto"/>
                <w:sz w:val="21"/>
                <w:szCs w:val="21"/>
                <w:highlight w:val="none"/>
              </w:rPr>
              <w:t>质量要求</w:t>
            </w:r>
          </w:p>
        </w:tc>
        <w:tc>
          <w:tcPr>
            <w:tcW w:w="5954" w:type="dxa"/>
            <w:vAlign w:val="center"/>
          </w:tcPr>
          <w:p w14:paraId="46AAF6A1">
            <w:pPr>
              <w:adjustRightInd w:val="0"/>
              <w:snapToGrid w:val="0"/>
              <w:spacing w:line="288" w:lineRule="auto"/>
              <w:rPr>
                <w:color w:val="auto"/>
                <w:sz w:val="21"/>
                <w:szCs w:val="21"/>
                <w:highlight w:val="none"/>
              </w:rPr>
            </w:pPr>
            <w:r>
              <w:rPr>
                <w:rFonts w:hint="eastAsia"/>
                <w:color w:val="auto"/>
                <w:sz w:val="21"/>
                <w:szCs w:val="21"/>
                <w:highlight w:val="none"/>
              </w:rPr>
              <w:t>符合（工程施工质量验收规范）合格标准</w:t>
            </w:r>
          </w:p>
        </w:tc>
      </w:tr>
      <w:tr w14:paraId="3DC00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E9495FD">
            <w:pPr>
              <w:adjustRightInd w:val="0"/>
              <w:snapToGrid w:val="0"/>
              <w:spacing w:line="288" w:lineRule="auto"/>
              <w:jc w:val="center"/>
              <w:rPr>
                <w:color w:val="auto"/>
                <w:sz w:val="21"/>
                <w:szCs w:val="21"/>
                <w:highlight w:val="none"/>
              </w:rPr>
            </w:pPr>
            <w:r>
              <w:rPr>
                <w:rFonts w:hint="eastAsia"/>
                <w:color w:val="auto"/>
                <w:sz w:val="21"/>
                <w:szCs w:val="21"/>
                <w:highlight w:val="none"/>
              </w:rPr>
              <w:t>（七）</w:t>
            </w:r>
          </w:p>
        </w:tc>
        <w:tc>
          <w:tcPr>
            <w:tcW w:w="2410" w:type="dxa"/>
            <w:vAlign w:val="center"/>
          </w:tcPr>
          <w:p w14:paraId="736E6C1B">
            <w:pPr>
              <w:adjustRightInd w:val="0"/>
              <w:snapToGrid w:val="0"/>
              <w:spacing w:line="288" w:lineRule="auto"/>
              <w:jc w:val="center"/>
              <w:rPr>
                <w:color w:val="auto"/>
                <w:sz w:val="21"/>
                <w:szCs w:val="21"/>
                <w:highlight w:val="none"/>
              </w:rPr>
            </w:pPr>
            <w:r>
              <w:rPr>
                <w:rFonts w:hint="eastAsia"/>
                <w:color w:val="auto"/>
                <w:sz w:val="21"/>
                <w:szCs w:val="21"/>
                <w:highlight w:val="none"/>
              </w:rPr>
              <w:t>招标范围</w:t>
            </w:r>
          </w:p>
        </w:tc>
        <w:tc>
          <w:tcPr>
            <w:tcW w:w="5954" w:type="dxa"/>
            <w:vAlign w:val="center"/>
          </w:tcPr>
          <w:p w14:paraId="52E397D6">
            <w:pPr>
              <w:adjustRightInd w:val="0"/>
              <w:snapToGrid w:val="0"/>
              <w:spacing w:line="288" w:lineRule="auto"/>
              <w:rPr>
                <w:color w:val="auto"/>
                <w:sz w:val="21"/>
                <w:szCs w:val="21"/>
                <w:highlight w:val="none"/>
              </w:rPr>
            </w:pPr>
            <w:r>
              <w:rPr>
                <w:rFonts w:hint="eastAsia"/>
                <w:color w:val="auto"/>
                <w:sz w:val="21"/>
                <w:szCs w:val="21"/>
                <w:highlight w:val="none"/>
              </w:rPr>
              <w:t>详见竞争性磋商文件、</w:t>
            </w:r>
            <w:r>
              <w:rPr>
                <w:rFonts w:hint="eastAsia"/>
                <w:color w:val="auto"/>
                <w:sz w:val="21"/>
                <w:szCs w:val="21"/>
                <w:highlight w:val="none"/>
                <w:lang w:eastAsia="zh-CN"/>
              </w:rPr>
              <w:t>工程量清单、设计</w:t>
            </w:r>
            <w:r>
              <w:rPr>
                <w:rFonts w:hint="eastAsia"/>
                <w:color w:val="auto"/>
                <w:sz w:val="21"/>
                <w:szCs w:val="21"/>
                <w:highlight w:val="none"/>
                <w:lang w:val="en-US" w:eastAsia="zh-CN"/>
              </w:rPr>
              <w:t>方案</w:t>
            </w:r>
          </w:p>
        </w:tc>
      </w:tr>
      <w:tr w14:paraId="79108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EA7D75E">
            <w:pPr>
              <w:adjustRightInd w:val="0"/>
              <w:snapToGrid w:val="0"/>
              <w:spacing w:line="288" w:lineRule="auto"/>
              <w:jc w:val="center"/>
              <w:rPr>
                <w:color w:val="auto"/>
                <w:sz w:val="21"/>
                <w:szCs w:val="21"/>
                <w:highlight w:val="none"/>
              </w:rPr>
            </w:pPr>
            <w:r>
              <w:rPr>
                <w:rFonts w:hint="eastAsia"/>
                <w:color w:val="auto"/>
                <w:sz w:val="21"/>
                <w:szCs w:val="21"/>
                <w:highlight w:val="none"/>
              </w:rPr>
              <w:t>（八）</w:t>
            </w:r>
          </w:p>
        </w:tc>
        <w:tc>
          <w:tcPr>
            <w:tcW w:w="2410" w:type="dxa"/>
            <w:vAlign w:val="center"/>
          </w:tcPr>
          <w:p w14:paraId="64C4F612">
            <w:pPr>
              <w:adjustRightInd w:val="0"/>
              <w:snapToGrid w:val="0"/>
              <w:spacing w:line="288" w:lineRule="auto"/>
              <w:jc w:val="center"/>
              <w:rPr>
                <w:color w:val="auto"/>
                <w:sz w:val="21"/>
                <w:szCs w:val="21"/>
                <w:highlight w:val="none"/>
              </w:rPr>
            </w:pPr>
            <w:r>
              <w:rPr>
                <w:rFonts w:hint="eastAsia"/>
                <w:color w:val="auto"/>
                <w:sz w:val="21"/>
                <w:szCs w:val="21"/>
                <w:highlight w:val="none"/>
              </w:rPr>
              <w:t>资金来源</w:t>
            </w:r>
          </w:p>
        </w:tc>
        <w:tc>
          <w:tcPr>
            <w:tcW w:w="5954" w:type="dxa"/>
            <w:vAlign w:val="center"/>
          </w:tcPr>
          <w:p w14:paraId="0ACAC3D2">
            <w:pPr>
              <w:adjustRightInd w:val="0"/>
              <w:snapToGrid w:val="0"/>
              <w:spacing w:line="288" w:lineRule="auto"/>
              <w:rPr>
                <w:color w:val="auto"/>
                <w:sz w:val="21"/>
                <w:szCs w:val="21"/>
                <w:highlight w:val="none"/>
              </w:rPr>
            </w:pPr>
            <w:r>
              <w:rPr>
                <w:rFonts w:hint="eastAsia"/>
                <w:color w:val="auto"/>
                <w:sz w:val="21"/>
                <w:szCs w:val="21"/>
                <w:highlight w:val="none"/>
              </w:rPr>
              <w:t>财政资金</w:t>
            </w:r>
          </w:p>
        </w:tc>
      </w:tr>
      <w:tr w14:paraId="20D4E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B431C9B">
            <w:pPr>
              <w:adjustRightInd w:val="0"/>
              <w:snapToGrid w:val="0"/>
              <w:spacing w:line="288" w:lineRule="auto"/>
              <w:jc w:val="center"/>
              <w:rPr>
                <w:color w:val="auto"/>
                <w:sz w:val="21"/>
                <w:szCs w:val="21"/>
                <w:highlight w:val="none"/>
              </w:rPr>
            </w:pPr>
            <w:r>
              <w:rPr>
                <w:rFonts w:hint="eastAsia"/>
                <w:color w:val="auto"/>
                <w:sz w:val="21"/>
                <w:szCs w:val="21"/>
                <w:highlight w:val="none"/>
              </w:rPr>
              <w:t>（九）</w:t>
            </w:r>
          </w:p>
        </w:tc>
        <w:tc>
          <w:tcPr>
            <w:tcW w:w="2410" w:type="dxa"/>
            <w:vAlign w:val="center"/>
          </w:tcPr>
          <w:p w14:paraId="23EB009D">
            <w:pPr>
              <w:adjustRightInd w:val="0"/>
              <w:snapToGrid w:val="0"/>
              <w:spacing w:line="288" w:lineRule="auto"/>
              <w:jc w:val="center"/>
              <w:rPr>
                <w:color w:val="auto"/>
                <w:sz w:val="21"/>
                <w:szCs w:val="21"/>
                <w:highlight w:val="none"/>
              </w:rPr>
            </w:pPr>
            <w:r>
              <w:rPr>
                <w:rFonts w:hint="eastAsia"/>
                <w:color w:val="auto"/>
                <w:sz w:val="21"/>
                <w:szCs w:val="21"/>
                <w:highlight w:val="none"/>
              </w:rPr>
              <w:t>资格审查方法</w:t>
            </w:r>
          </w:p>
        </w:tc>
        <w:tc>
          <w:tcPr>
            <w:tcW w:w="5954" w:type="dxa"/>
            <w:vAlign w:val="center"/>
          </w:tcPr>
          <w:p w14:paraId="1B230DBC">
            <w:pPr>
              <w:adjustRightInd w:val="0"/>
              <w:snapToGrid w:val="0"/>
              <w:spacing w:line="288" w:lineRule="auto"/>
              <w:rPr>
                <w:color w:val="auto"/>
                <w:sz w:val="21"/>
                <w:szCs w:val="21"/>
                <w:highlight w:val="none"/>
              </w:rPr>
            </w:pPr>
            <w:r>
              <w:rPr>
                <w:rFonts w:hint="eastAsia"/>
                <w:color w:val="auto"/>
                <w:sz w:val="21"/>
                <w:szCs w:val="21"/>
                <w:highlight w:val="none"/>
              </w:rPr>
              <w:t>采用资格后审</w:t>
            </w:r>
          </w:p>
        </w:tc>
      </w:tr>
      <w:tr w14:paraId="6F76F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D65702E">
            <w:pPr>
              <w:adjustRightInd w:val="0"/>
              <w:snapToGrid w:val="0"/>
              <w:spacing w:line="288" w:lineRule="auto"/>
              <w:jc w:val="center"/>
              <w:rPr>
                <w:color w:val="auto"/>
                <w:sz w:val="21"/>
                <w:szCs w:val="21"/>
                <w:highlight w:val="none"/>
              </w:rPr>
            </w:pPr>
            <w:r>
              <w:rPr>
                <w:rFonts w:hint="eastAsia"/>
                <w:color w:val="auto"/>
                <w:sz w:val="21"/>
                <w:szCs w:val="21"/>
                <w:highlight w:val="none"/>
              </w:rPr>
              <w:t>（十）</w:t>
            </w:r>
          </w:p>
        </w:tc>
        <w:tc>
          <w:tcPr>
            <w:tcW w:w="2410" w:type="dxa"/>
            <w:vAlign w:val="center"/>
          </w:tcPr>
          <w:p w14:paraId="6B20219B">
            <w:pPr>
              <w:adjustRightInd w:val="0"/>
              <w:snapToGrid w:val="0"/>
              <w:spacing w:line="288" w:lineRule="auto"/>
              <w:jc w:val="center"/>
              <w:rPr>
                <w:color w:val="auto"/>
                <w:sz w:val="21"/>
                <w:szCs w:val="21"/>
                <w:highlight w:val="none"/>
              </w:rPr>
            </w:pPr>
            <w:r>
              <w:rPr>
                <w:rFonts w:hint="eastAsia"/>
                <w:color w:val="auto"/>
                <w:sz w:val="21"/>
                <w:szCs w:val="21"/>
                <w:highlight w:val="none"/>
              </w:rPr>
              <w:t>工程量清单计价方式</w:t>
            </w:r>
          </w:p>
        </w:tc>
        <w:tc>
          <w:tcPr>
            <w:tcW w:w="5954" w:type="dxa"/>
            <w:vAlign w:val="center"/>
          </w:tcPr>
          <w:p w14:paraId="40E5A663">
            <w:pPr>
              <w:adjustRightInd w:val="0"/>
              <w:snapToGrid w:val="0"/>
              <w:spacing w:line="288" w:lineRule="auto"/>
              <w:rPr>
                <w:color w:val="auto"/>
                <w:sz w:val="21"/>
                <w:szCs w:val="21"/>
                <w:highlight w:val="none"/>
              </w:rPr>
            </w:pPr>
            <w:r>
              <w:rPr>
                <w:rFonts w:hint="eastAsia"/>
                <w:color w:val="auto"/>
                <w:sz w:val="21"/>
                <w:szCs w:val="21"/>
                <w:highlight w:val="none"/>
              </w:rPr>
              <w:t>按工程量清单报价</w:t>
            </w:r>
          </w:p>
        </w:tc>
      </w:tr>
      <w:tr w14:paraId="1C064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2588777">
            <w:pPr>
              <w:adjustRightInd w:val="0"/>
              <w:snapToGrid w:val="0"/>
              <w:spacing w:line="288" w:lineRule="auto"/>
              <w:jc w:val="center"/>
              <w:rPr>
                <w:color w:val="auto"/>
                <w:sz w:val="21"/>
                <w:szCs w:val="21"/>
                <w:highlight w:val="none"/>
              </w:rPr>
            </w:pPr>
            <w:r>
              <w:rPr>
                <w:rFonts w:hint="eastAsia"/>
                <w:color w:val="auto"/>
                <w:sz w:val="21"/>
                <w:szCs w:val="21"/>
                <w:highlight w:val="none"/>
              </w:rPr>
              <w:t>（十一）</w:t>
            </w:r>
          </w:p>
        </w:tc>
        <w:tc>
          <w:tcPr>
            <w:tcW w:w="2410" w:type="dxa"/>
            <w:vAlign w:val="center"/>
          </w:tcPr>
          <w:p w14:paraId="73C15581">
            <w:pPr>
              <w:pStyle w:val="15"/>
              <w:spacing w:line="288"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投标预备会（答疑会）</w:t>
            </w:r>
          </w:p>
        </w:tc>
        <w:tc>
          <w:tcPr>
            <w:tcW w:w="5954" w:type="dxa"/>
            <w:vAlign w:val="center"/>
          </w:tcPr>
          <w:p w14:paraId="205B7563">
            <w:pPr>
              <w:adjustRightInd w:val="0"/>
              <w:snapToGrid w:val="0"/>
              <w:spacing w:line="288" w:lineRule="auto"/>
              <w:rPr>
                <w:color w:val="auto"/>
                <w:sz w:val="21"/>
                <w:szCs w:val="21"/>
                <w:highlight w:val="none"/>
              </w:rPr>
            </w:pPr>
            <w:r>
              <w:rPr>
                <w:rFonts w:hint="eastAsia"/>
                <w:color w:val="auto"/>
                <w:sz w:val="21"/>
                <w:szCs w:val="21"/>
                <w:highlight w:val="none"/>
              </w:rPr>
              <w:t>本项目不进行集中答疑，无投标预备会。</w:t>
            </w:r>
          </w:p>
        </w:tc>
      </w:tr>
      <w:tr w14:paraId="688EA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68DAD8">
            <w:pPr>
              <w:adjustRightInd w:val="0"/>
              <w:snapToGrid w:val="0"/>
              <w:spacing w:line="288" w:lineRule="auto"/>
              <w:jc w:val="center"/>
              <w:rPr>
                <w:color w:val="auto"/>
                <w:sz w:val="21"/>
                <w:szCs w:val="21"/>
                <w:highlight w:val="none"/>
              </w:rPr>
            </w:pPr>
            <w:r>
              <w:rPr>
                <w:rFonts w:hint="eastAsia"/>
                <w:color w:val="auto"/>
                <w:sz w:val="21"/>
                <w:szCs w:val="21"/>
                <w:highlight w:val="none"/>
              </w:rPr>
              <w:t>（十二）</w:t>
            </w:r>
          </w:p>
        </w:tc>
        <w:tc>
          <w:tcPr>
            <w:tcW w:w="2410" w:type="dxa"/>
            <w:vAlign w:val="center"/>
          </w:tcPr>
          <w:p w14:paraId="371900C5">
            <w:pPr>
              <w:adjustRightInd w:val="0"/>
              <w:snapToGrid w:val="0"/>
              <w:spacing w:line="288" w:lineRule="auto"/>
              <w:jc w:val="center"/>
              <w:rPr>
                <w:color w:val="auto"/>
                <w:sz w:val="21"/>
                <w:szCs w:val="21"/>
                <w:highlight w:val="none"/>
              </w:rPr>
            </w:pPr>
            <w:r>
              <w:rPr>
                <w:rFonts w:hint="eastAsia"/>
                <w:color w:val="auto"/>
                <w:sz w:val="21"/>
                <w:szCs w:val="21"/>
                <w:highlight w:val="none"/>
              </w:rPr>
              <w:t>竞争性磋商委托</w:t>
            </w:r>
          </w:p>
        </w:tc>
        <w:tc>
          <w:tcPr>
            <w:tcW w:w="5954" w:type="dxa"/>
            <w:vAlign w:val="center"/>
          </w:tcPr>
          <w:p w14:paraId="42CE71F3">
            <w:pPr>
              <w:adjustRightInd w:val="0"/>
              <w:snapToGrid w:val="0"/>
              <w:spacing w:line="288" w:lineRule="auto"/>
              <w:rPr>
                <w:rFonts w:cstheme="minorBidi"/>
                <w:color w:val="auto"/>
                <w:sz w:val="21"/>
                <w:szCs w:val="21"/>
                <w:highlight w:val="none"/>
              </w:rPr>
            </w:pPr>
            <w:r>
              <w:rPr>
                <w:rFonts w:hint="eastAsia" w:cstheme="minorBidi"/>
                <w:color w:val="auto"/>
                <w:sz w:val="21"/>
                <w:szCs w:val="21"/>
                <w:highlight w:val="none"/>
              </w:rPr>
              <w:t>▲1</w:t>
            </w:r>
            <w:r>
              <w:rPr>
                <w:rFonts w:cstheme="minorBidi"/>
                <w:color w:val="auto"/>
                <w:sz w:val="21"/>
                <w:szCs w:val="21"/>
                <w:highlight w:val="none"/>
              </w:rPr>
              <w:t>.供应商代表是法定代表人</w:t>
            </w:r>
            <w:r>
              <w:rPr>
                <w:rFonts w:hint="eastAsia" w:cstheme="minorBidi"/>
                <w:color w:val="auto"/>
                <w:sz w:val="21"/>
                <w:szCs w:val="21"/>
                <w:highlight w:val="none"/>
              </w:rPr>
              <w:t>（单位负责人、自然人本人）的，须提供本人身份证明。</w:t>
            </w:r>
          </w:p>
          <w:p w14:paraId="0E886F9D">
            <w:pPr>
              <w:adjustRightInd w:val="0"/>
              <w:snapToGrid w:val="0"/>
              <w:spacing w:line="288" w:lineRule="auto"/>
              <w:rPr>
                <w:rFonts w:cstheme="minorBidi"/>
                <w:color w:val="auto"/>
                <w:sz w:val="21"/>
                <w:szCs w:val="21"/>
                <w:highlight w:val="none"/>
              </w:rPr>
            </w:pPr>
            <w:r>
              <w:rPr>
                <w:rFonts w:hint="eastAsia" w:cstheme="minorBidi"/>
                <w:color w:val="auto"/>
                <w:sz w:val="21"/>
                <w:szCs w:val="21"/>
                <w:highlight w:val="none"/>
              </w:rPr>
              <w:t>▲</w:t>
            </w:r>
            <w:r>
              <w:rPr>
                <w:rFonts w:cstheme="minorBidi"/>
                <w:color w:val="auto"/>
                <w:sz w:val="21"/>
                <w:szCs w:val="21"/>
                <w:highlight w:val="none"/>
              </w:rPr>
              <w:t>2</w:t>
            </w:r>
            <w:r>
              <w:rPr>
                <w:rFonts w:hint="eastAsia" w:cstheme="minorBidi"/>
                <w:color w:val="auto"/>
                <w:sz w:val="21"/>
                <w:szCs w:val="21"/>
                <w:highlight w:val="none"/>
              </w:rPr>
              <w:t>.</w:t>
            </w:r>
            <w:r>
              <w:rPr>
                <w:rFonts w:cstheme="minorBidi"/>
                <w:color w:val="auto"/>
                <w:sz w:val="21"/>
                <w:szCs w:val="21"/>
                <w:highlight w:val="none"/>
              </w:rPr>
              <w:t>供应商代表不是法定代表人</w:t>
            </w:r>
            <w:r>
              <w:rPr>
                <w:rFonts w:hint="eastAsia" w:cstheme="minorBidi"/>
                <w:color w:val="auto"/>
                <w:sz w:val="21"/>
                <w:szCs w:val="21"/>
                <w:highlight w:val="none"/>
              </w:rPr>
              <w:t>（单位负责人、自然人本人）的</w:t>
            </w:r>
            <w:r>
              <w:rPr>
                <w:rFonts w:cstheme="minorBidi"/>
                <w:color w:val="auto"/>
                <w:sz w:val="21"/>
                <w:szCs w:val="21"/>
                <w:highlight w:val="none"/>
              </w:rPr>
              <w:t>，须提供</w:t>
            </w:r>
            <w:r>
              <w:rPr>
                <w:rFonts w:cstheme="minorBidi"/>
                <w:bCs/>
                <w:color w:val="auto"/>
                <w:sz w:val="21"/>
                <w:szCs w:val="21"/>
                <w:highlight w:val="none"/>
              </w:rPr>
              <w:t>授权</w:t>
            </w:r>
            <w:r>
              <w:rPr>
                <w:rFonts w:hint="eastAsia" w:cstheme="minorBidi"/>
                <w:bCs/>
                <w:color w:val="auto"/>
                <w:sz w:val="21"/>
                <w:szCs w:val="21"/>
                <w:highlight w:val="none"/>
              </w:rPr>
              <w:t>委托</w:t>
            </w:r>
            <w:r>
              <w:rPr>
                <w:rFonts w:cstheme="minorBidi"/>
                <w:bCs/>
                <w:color w:val="auto"/>
                <w:sz w:val="21"/>
                <w:szCs w:val="21"/>
                <w:highlight w:val="none"/>
              </w:rPr>
              <w:t>书</w:t>
            </w:r>
            <w:r>
              <w:rPr>
                <w:rFonts w:hint="eastAsia" w:cstheme="minorBidi"/>
                <w:color w:val="auto"/>
                <w:sz w:val="21"/>
                <w:szCs w:val="21"/>
                <w:highlight w:val="none"/>
              </w:rPr>
              <w:t>（格式详见磋商文件第六章）和授权代表社保缴纳证明（</w:t>
            </w:r>
            <w:r>
              <w:rPr>
                <w:rFonts w:hint="eastAsia" w:cstheme="minorBidi"/>
                <w:color w:val="auto"/>
                <w:sz w:val="21"/>
                <w:szCs w:val="21"/>
                <w:highlight w:val="none"/>
                <w:lang w:eastAsia="zh-CN"/>
              </w:rPr>
              <w:t>202</w:t>
            </w:r>
            <w:r>
              <w:rPr>
                <w:rFonts w:hint="eastAsia" w:cstheme="minorBidi"/>
                <w:color w:val="auto"/>
                <w:sz w:val="21"/>
                <w:szCs w:val="21"/>
                <w:highlight w:val="none"/>
                <w:lang w:val="en-US" w:eastAsia="zh-CN"/>
              </w:rPr>
              <w:t>5</w:t>
            </w:r>
            <w:r>
              <w:rPr>
                <w:rFonts w:hint="eastAsia" w:cstheme="minorBidi"/>
                <w:color w:val="auto"/>
                <w:sz w:val="21"/>
                <w:szCs w:val="21"/>
                <w:highlight w:val="none"/>
                <w:lang w:eastAsia="zh-CN"/>
              </w:rPr>
              <w:t>年</w:t>
            </w:r>
            <w:r>
              <w:rPr>
                <w:rFonts w:hint="eastAsia" w:cstheme="minorBidi"/>
                <w:color w:val="auto"/>
                <w:sz w:val="21"/>
                <w:szCs w:val="21"/>
                <w:highlight w:val="none"/>
                <w:lang w:val="en-US" w:eastAsia="zh-CN"/>
              </w:rPr>
              <w:t>1</w:t>
            </w:r>
            <w:r>
              <w:rPr>
                <w:rFonts w:hint="eastAsia" w:cstheme="minorBidi"/>
                <w:color w:val="auto"/>
                <w:sz w:val="21"/>
                <w:szCs w:val="21"/>
                <w:highlight w:val="none"/>
                <w:lang w:eastAsia="zh-CN"/>
              </w:rPr>
              <w:t>月</w:t>
            </w:r>
            <w:r>
              <w:rPr>
                <w:rFonts w:cstheme="minorBidi"/>
                <w:color w:val="auto"/>
                <w:sz w:val="21"/>
                <w:szCs w:val="21"/>
                <w:highlight w:val="none"/>
              </w:rPr>
              <w:t>（含）以后任意一月）；</w:t>
            </w:r>
          </w:p>
          <w:p w14:paraId="360C83F8">
            <w:pPr>
              <w:adjustRightInd w:val="0"/>
              <w:snapToGrid w:val="0"/>
              <w:spacing w:line="288" w:lineRule="auto"/>
              <w:rPr>
                <w:color w:val="auto"/>
                <w:sz w:val="21"/>
                <w:szCs w:val="21"/>
                <w:highlight w:val="none"/>
              </w:rPr>
            </w:pPr>
            <w:r>
              <w:rPr>
                <w:rFonts w:hint="eastAsia" w:cstheme="minorBidi"/>
                <w:color w:val="auto"/>
                <w:sz w:val="21"/>
                <w:szCs w:val="21"/>
                <w:highlight w:val="none"/>
              </w:rPr>
              <w:t>▲</w:t>
            </w:r>
            <w:r>
              <w:rPr>
                <w:rFonts w:cstheme="minorBidi"/>
                <w:color w:val="auto"/>
                <w:sz w:val="21"/>
                <w:szCs w:val="21"/>
                <w:highlight w:val="none"/>
              </w:rPr>
              <w:t>3.</w:t>
            </w:r>
            <w:r>
              <w:rPr>
                <w:rFonts w:hint="eastAsia" w:cstheme="minorBidi"/>
                <w:color w:val="auto"/>
                <w:sz w:val="21"/>
                <w:szCs w:val="21"/>
                <w:highlight w:val="none"/>
              </w:rPr>
              <w:t>供应商委派不在本单位缴纳社保的人员作为授权代表的，应当在响应文件中，说明具体原因、授权代表缴纳社保的单位，并附列该授权代表缴纳社保清单。</w:t>
            </w:r>
          </w:p>
        </w:tc>
      </w:tr>
      <w:tr w14:paraId="007DD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F1DECF4">
            <w:pPr>
              <w:adjustRightInd w:val="0"/>
              <w:snapToGrid w:val="0"/>
              <w:spacing w:line="288" w:lineRule="auto"/>
              <w:jc w:val="center"/>
              <w:rPr>
                <w:color w:val="auto"/>
                <w:sz w:val="21"/>
                <w:szCs w:val="21"/>
                <w:highlight w:val="none"/>
              </w:rPr>
            </w:pPr>
            <w:r>
              <w:rPr>
                <w:rFonts w:hint="eastAsia"/>
                <w:color w:val="auto"/>
                <w:sz w:val="21"/>
                <w:szCs w:val="21"/>
                <w:highlight w:val="none"/>
              </w:rPr>
              <w:t>（十三）</w:t>
            </w:r>
          </w:p>
        </w:tc>
        <w:tc>
          <w:tcPr>
            <w:tcW w:w="2410" w:type="dxa"/>
            <w:vAlign w:val="center"/>
          </w:tcPr>
          <w:p w14:paraId="1F13227D">
            <w:pPr>
              <w:adjustRightInd w:val="0"/>
              <w:snapToGrid w:val="0"/>
              <w:spacing w:line="288" w:lineRule="auto"/>
              <w:jc w:val="center"/>
              <w:rPr>
                <w:color w:val="auto"/>
                <w:sz w:val="21"/>
                <w:szCs w:val="21"/>
                <w:highlight w:val="none"/>
              </w:rPr>
            </w:pPr>
            <w:r>
              <w:rPr>
                <w:rFonts w:hint="eastAsia"/>
                <w:color w:val="auto"/>
                <w:sz w:val="21"/>
                <w:szCs w:val="21"/>
                <w:highlight w:val="none"/>
              </w:rPr>
              <w:t>磋商费用</w:t>
            </w:r>
          </w:p>
        </w:tc>
        <w:tc>
          <w:tcPr>
            <w:tcW w:w="5954" w:type="dxa"/>
            <w:vAlign w:val="center"/>
          </w:tcPr>
          <w:p w14:paraId="7CED6049">
            <w:pPr>
              <w:adjustRightInd w:val="0"/>
              <w:snapToGrid w:val="0"/>
              <w:spacing w:line="288" w:lineRule="auto"/>
              <w:rPr>
                <w:color w:val="auto"/>
                <w:sz w:val="21"/>
                <w:szCs w:val="21"/>
                <w:highlight w:val="none"/>
              </w:rPr>
            </w:pPr>
            <w:r>
              <w:rPr>
                <w:rFonts w:hint="eastAsia"/>
                <w:color w:val="auto"/>
                <w:sz w:val="21"/>
                <w:szCs w:val="21"/>
                <w:highlight w:val="none"/>
              </w:rPr>
              <w:t>1.不论磋商结果如何，供应商均应自行承担所有与磋商有关的全部费用；</w:t>
            </w:r>
          </w:p>
          <w:p w14:paraId="44D1DBFC">
            <w:pPr>
              <w:adjustRightInd w:val="0"/>
              <w:snapToGrid w:val="0"/>
              <w:spacing w:line="288" w:lineRule="auto"/>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14:paraId="3BDC9182">
            <w:pPr>
              <w:adjustRightInd w:val="0"/>
              <w:snapToGrid w:val="0"/>
              <w:spacing w:line="288" w:lineRule="auto"/>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42D89AE4">
            <w:pPr>
              <w:adjustRightInd w:val="0"/>
              <w:snapToGrid w:val="0"/>
              <w:spacing w:line="288" w:lineRule="auto"/>
              <w:rPr>
                <w:color w:val="auto"/>
                <w:sz w:val="21"/>
                <w:szCs w:val="21"/>
                <w:highlight w:val="none"/>
              </w:rPr>
            </w:pPr>
            <w:bookmarkStart w:id="33" w:name="_Hlk71808378"/>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w:t>
            </w:r>
            <w:bookmarkEnd w:id="33"/>
          </w:p>
          <w:tbl>
            <w:tblPr>
              <w:tblStyle w:val="2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9"/>
              <w:gridCol w:w="3288"/>
            </w:tblGrid>
            <w:tr w14:paraId="6F48D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9" w:type="pct"/>
                  <w:noWrap w:val="0"/>
                  <w:vAlign w:val="top"/>
                </w:tcPr>
                <w:p w14:paraId="7C00F934">
                  <w:pPr>
                    <w:spacing w:line="288" w:lineRule="auto"/>
                    <w:jc w:val="center"/>
                    <w:rPr>
                      <w:rFonts w:hint="eastAsia" w:ascii="宋体" w:hAnsi="宋体"/>
                      <w:color w:val="auto"/>
                      <w:spacing w:val="-6"/>
                      <w:sz w:val="21"/>
                      <w:szCs w:val="21"/>
                      <w:highlight w:val="none"/>
                    </w:rPr>
                  </w:pPr>
                  <w:r>
                    <w:rPr>
                      <w:rFonts w:hint="eastAsia" w:ascii="宋体" w:hAnsi="宋体"/>
                      <w:color w:val="auto"/>
                      <w:spacing w:val="-6"/>
                      <w:sz w:val="21"/>
                      <w:szCs w:val="21"/>
                      <w:highlight w:val="none"/>
                      <w:lang w:val="en-US" w:eastAsia="zh-CN"/>
                    </w:rPr>
                    <w:t>成交</w:t>
                  </w:r>
                  <w:r>
                    <w:rPr>
                      <w:rFonts w:ascii="宋体" w:hAnsi="宋体"/>
                      <w:color w:val="auto"/>
                      <w:spacing w:val="-6"/>
                      <w:sz w:val="21"/>
                      <w:szCs w:val="21"/>
                      <w:highlight w:val="none"/>
                    </w:rPr>
                    <w:t>金额（万元）</w:t>
                  </w:r>
                </w:p>
              </w:tc>
              <w:tc>
                <w:tcPr>
                  <w:tcW w:w="2870" w:type="pct"/>
                  <w:noWrap w:val="0"/>
                  <w:vAlign w:val="top"/>
                </w:tcPr>
                <w:p w14:paraId="5407BEEB">
                  <w:pPr>
                    <w:spacing w:line="288" w:lineRule="auto"/>
                    <w:jc w:val="center"/>
                    <w:rPr>
                      <w:rFonts w:hint="eastAsia" w:ascii="宋体" w:hAnsi="宋体"/>
                      <w:color w:val="auto"/>
                      <w:spacing w:val="-6"/>
                      <w:sz w:val="21"/>
                      <w:szCs w:val="21"/>
                      <w:highlight w:val="none"/>
                    </w:rPr>
                  </w:pPr>
                  <w:r>
                    <w:rPr>
                      <w:rFonts w:hint="eastAsia" w:ascii="宋体" w:hAnsi="宋体"/>
                      <w:color w:val="auto"/>
                      <w:spacing w:val="-6"/>
                      <w:sz w:val="21"/>
                      <w:szCs w:val="21"/>
                      <w:highlight w:val="none"/>
                    </w:rPr>
                    <w:t>收费标准</w:t>
                  </w:r>
                  <w:r>
                    <w:rPr>
                      <w:rFonts w:ascii="宋体" w:hAnsi="宋体"/>
                      <w:color w:val="auto"/>
                      <w:spacing w:val="-6"/>
                      <w:sz w:val="21"/>
                      <w:szCs w:val="21"/>
                      <w:highlight w:val="none"/>
                    </w:rPr>
                    <w:t>（费率，</w:t>
                  </w:r>
                  <w:r>
                    <w:rPr>
                      <w:rFonts w:hint="eastAsia" w:ascii="宋体" w:hAnsi="宋体"/>
                      <w:color w:val="auto"/>
                      <w:spacing w:val="-6"/>
                      <w:sz w:val="21"/>
                      <w:szCs w:val="21"/>
                      <w:highlight w:val="none"/>
                    </w:rPr>
                    <w:t>%）</w:t>
                  </w:r>
                </w:p>
              </w:tc>
            </w:tr>
            <w:tr w14:paraId="3A539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9" w:type="pct"/>
                  <w:noWrap w:val="0"/>
                  <w:vAlign w:val="top"/>
                </w:tcPr>
                <w:p w14:paraId="064D3832">
                  <w:pPr>
                    <w:spacing w:line="288" w:lineRule="auto"/>
                    <w:jc w:val="center"/>
                    <w:rPr>
                      <w:rFonts w:ascii="宋体" w:hAnsi="宋体"/>
                      <w:color w:val="auto"/>
                      <w:spacing w:val="-6"/>
                      <w:sz w:val="21"/>
                      <w:szCs w:val="21"/>
                      <w:highlight w:val="none"/>
                    </w:rPr>
                  </w:pPr>
                  <w:r>
                    <w:rPr>
                      <w:rFonts w:hint="eastAsia" w:ascii="宋体" w:hAnsi="宋体"/>
                      <w:color w:val="auto"/>
                      <w:spacing w:val="-6"/>
                      <w:sz w:val="21"/>
                      <w:szCs w:val="21"/>
                      <w:highlight w:val="none"/>
                    </w:rPr>
                    <w:t>100以内部分</w:t>
                  </w:r>
                </w:p>
              </w:tc>
              <w:tc>
                <w:tcPr>
                  <w:tcW w:w="2870" w:type="pct"/>
                  <w:noWrap w:val="0"/>
                  <w:vAlign w:val="top"/>
                </w:tcPr>
                <w:p w14:paraId="0A2C556A">
                  <w:pPr>
                    <w:spacing w:line="288" w:lineRule="auto"/>
                    <w:jc w:val="center"/>
                    <w:rPr>
                      <w:rFonts w:hint="eastAsia" w:ascii="宋体" w:hAnsi="宋体"/>
                      <w:color w:val="auto"/>
                      <w:spacing w:val="-6"/>
                      <w:sz w:val="21"/>
                      <w:szCs w:val="21"/>
                      <w:highlight w:val="none"/>
                    </w:rPr>
                  </w:pPr>
                  <w:r>
                    <w:rPr>
                      <w:rFonts w:hint="eastAsia" w:ascii="宋体" w:hAnsi="宋体"/>
                      <w:color w:val="auto"/>
                      <w:spacing w:val="-6"/>
                      <w:sz w:val="21"/>
                      <w:szCs w:val="21"/>
                      <w:highlight w:val="none"/>
                    </w:rPr>
                    <w:t>0.</w:t>
                  </w:r>
                  <w:r>
                    <w:rPr>
                      <w:rFonts w:hint="eastAsia"/>
                      <w:color w:val="auto"/>
                      <w:spacing w:val="-6"/>
                      <w:sz w:val="21"/>
                      <w:szCs w:val="21"/>
                      <w:highlight w:val="none"/>
                      <w:lang w:val="en-US" w:eastAsia="zh-CN"/>
                    </w:rPr>
                    <w:t>7</w:t>
                  </w:r>
                  <w:r>
                    <w:rPr>
                      <w:rFonts w:hint="eastAsia" w:ascii="宋体" w:hAnsi="宋体"/>
                      <w:color w:val="auto"/>
                      <w:spacing w:val="-6"/>
                      <w:sz w:val="21"/>
                      <w:szCs w:val="21"/>
                      <w:highlight w:val="none"/>
                    </w:rPr>
                    <w:t>（不足叁仟按叁仟收取）</w:t>
                  </w:r>
                </w:p>
              </w:tc>
            </w:tr>
            <w:tr w14:paraId="75E67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9" w:type="pct"/>
                  <w:noWrap w:val="0"/>
                  <w:vAlign w:val="top"/>
                </w:tcPr>
                <w:p w14:paraId="311CC2F0">
                  <w:pPr>
                    <w:spacing w:line="288" w:lineRule="auto"/>
                    <w:jc w:val="center"/>
                    <w:rPr>
                      <w:rFonts w:hint="default" w:ascii="宋体" w:hAnsi="宋体" w:eastAsia="宋体"/>
                      <w:color w:val="auto"/>
                      <w:spacing w:val="-6"/>
                      <w:sz w:val="21"/>
                      <w:szCs w:val="21"/>
                      <w:highlight w:val="none"/>
                      <w:lang w:val="en-US" w:eastAsia="zh-CN"/>
                    </w:rPr>
                  </w:pPr>
                  <w:r>
                    <w:rPr>
                      <w:rFonts w:hint="eastAsia"/>
                      <w:color w:val="auto"/>
                      <w:spacing w:val="-6"/>
                      <w:sz w:val="21"/>
                      <w:szCs w:val="21"/>
                      <w:highlight w:val="none"/>
                      <w:lang w:val="en-US" w:eastAsia="zh-CN"/>
                    </w:rPr>
                    <w:t>100-500</w:t>
                  </w:r>
                </w:p>
              </w:tc>
              <w:tc>
                <w:tcPr>
                  <w:tcW w:w="2870" w:type="pct"/>
                  <w:noWrap w:val="0"/>
                  <w:vAlign w:val="top"/>
                </w:tcPr>
                <w:p w14:paraId="013CD5F6">
                  <w:pPr>
                    <w:spacing w:line="288" w:lineRule="auto"/>
                    <w:jc w:val="center"/>
                    <w:rPr>
                      <w:rFonts w:hint="default" w:ascii="宋体" w:hAnsi="宋体" w:eastAsia="宋体"/>
                      <w:color w:val="auto"/>
                      <w:spacing w:val="-6"/>
                      <w:sz w:val="21"/>
                      <w:szCs w:val="21"/>
                      <w:highlight w:val="none"/>
                      <w:lang w:val="en-US" w:eastAsia="zh-CN"/>
                    </w:rPr>
                  </w:pPr>
                  <w:r>
                    <w:rPr>
                      <w:rFonts w:hint="eastAsia"/>
                      <w:color w:val="auto"/>
                      <w:spacing w:val="-6"/>
                      <w:sz w:val="21"/>
                      <w:szCs w:val="21"/>
                      <w:highlight w:val="none"/>
                      <w:lang w:val="en-US" w:eastAsia="zh-CN"/>
                    </w:rPr>
                    <w:t>0.56</w:t>
                  </w:r>
                </w:p>
              </w:tc>
            </w:tr>
          </w:tbl>
          <w:p w14:paraId="4F93E347">
            <w:pPr>
              <w:adjustRightInd w:val="0"/>
              <w:snapToGrid w:val="0"/>
              <w:spacing w:line="288" w:lineRule="auto"/>
              <w:rPr>
                <w:color w:val="auto"/>
                <w:sz w:val="21"/>
                <w:szCs w:val="21"/>
                <w:highlight w:val="none"/>
              </w:rPr>
            </w:pPr>
          </w:p>
        </w:tc>
      </w:tr>
      <w:tr w14:paraId="0B6EB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47B8D93">
            <w:pPr>
              <w:adjustRightInd w:val="0"/>
              <w:snapToGrid w:val="0"/>
              <w:spacing w:line="288" w:lineRule="auto"/>
              <w:jc w:val="center"/>
              <w:rPr>
                <w:color w:val="auto"/>
                <w:sz w:val="21"/>
                <w:szCs w:val="21"/>
                <w:highlight w:val="none"/>
              </w:rPr>
            </w:pPr>
            <w:r>
              <w:rPr>
                <w:color w:val="auto"/>
                <w:sz w:val="21"/>
                <w:szCs w:val="21"/>
                <w:highlight w:val="none"/>
              </w:rPr>
              <w:t>（</w:t>
            </w:r>
            <w:r>
              <w:rPr>
                <w:rFonts w:hint="eastAsia"/>
                <w:color w:val="auto"/>
                <w:sz w:val="21"/>
                <w:szCs w:val="21"/>
                <w:highlight w:val="none"/>
              </w:rPr>
              <w:t>十四</w:t>
            </w:r>
            <w:r>
              <w:rPr>
                <w:color w:val="auto"/>
                <w:sz w:val="21"/>
                <w:szCs w:val="21"/>
                <w:highlight w:val="none"/>
              </w:rPr>
              <w:t>）</w:t>
            </w:r>
          </w:p>
        </w:tc>
        <w:tc>
          <w:tcPr>
            <w:tcW w:w="2410" w:type="dxa"/>
            <w:vAlign w:val="center"/>
          </w:tcPr>
          <w:p w14:paraId="1D090B16">
            <w:pPr>
              <w:adjustRightInd w:val="0"/>
              <w:snapToGrid w:val="0"/>
              <w:spacing w:line="288" w:lineRule="auto"/>
              <w:jc w:val="center"/>
              <w:rPr>
                <w:color w:val="auto"/>
                <w:sz w:val="21"/>
                <w:szCs w:val="21"/>
                <w:highlight w:val="none"/>
              </w:rPr>
            </w:pPr>
            <w:r>
              <w:rPr>
                <w:rFonts w:hint="eastAsia" w:cs="Times New Roman"/>
                <w:color w:val="auto"/>
                <w:spacing w:val="-6"/>
                <w:sz w:val="21"/>
                <w:szCs w:val="21"/>
                <w:highlight w:val="none"/>
              </w:rPr>
              <w:t>磋商保证金（元）</w:t>
            </w:r>
          </w:p>
        </w:tc>
        <w:tc>
          <w:tcPr>
            <w:tcW w:w="5954" w:type="dxa"/>
            <w:vAlign w:val="center"/>
          </w:tcPr>
          <w:p w14:paraId="250124C3">
            <w:pPr>
              <w:adjustRightInd w:val="0"/>
              <w:snapToGrid w:val="0"/>
              <w:spacing w:line="288" w:lineRule="auto"/>
              <w:rPr>
                <w:color w:val="auto"/>
                <w:sz w:val="21"/>
                <w:szCs w:val="21"/>
                <w:highlight w:val="none"/>
              </w:rPr>
            </w:pPr>
            <w:r>
              <w:rPr>
                <w:rFonts w:hint="eastAsia" w:cs="Times New Roman"/>
                <w:color w:val="auto"/>
                <w:spacing w:val="-6"/>
                <w:sz w:val="21"/>
                <w:szCs w:val="21"/>
                <w:highlight w:val="none"/>
              </w:rPr>
              <w:t>无。</w:t>
            </w:r>
          </w:p>
        </w:tc>
      </w:tr>
      <w:tr w14:paraId="36D9E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F2AD09">
            <w:pPr>
              <w:adjustRightInd w:val="0"/>
              <w:snapToGrid w:val="0"/>
              <w:spacing w:line="288" w:lineRule="auto"/>
              <w:jc w:val="center"/>
              <w:rPr>
                <w:color w:val="auto"/>
                <w:sz w:val="21"/>
                <w:szCs w:val="21"/>
                <w:highlight w:val="none"/>
              </w:rPr>
            </w:pPr>
            <w:r>
              <w:rPr>
                <w:rFonts w:hint="eastAsia"/>
                <w:color w:val="auto"/>
                <w:sz w:val="21"/>
                <w:szCs w:val="21"/>
                <w:highlight w:val="none"/>
              </w:rPr>
              <w:t>（十五）</w:t>
            </w:r>
          </w:p>
        </w:tc>
        <w:tc>
          <w:tcPr>
            <w:tcW w:w="2410" w:type="dxa"/>
            <w:vAlign w:val="center"/>
          </w:tcPr>
          <w:p w14:paraId="6799F1A7">
            <w:pPr>
              <w:adjustRightInd w:val="0"/>
              <w:snapToGrid w:val="0"/>
              <w:spacing w:line="288" w:lineRule="auto"/>
              <w:jc w:val="center"/>
              <w:rPr>
                <w:color w:val="auto"/>
                <w:sz w:val="21"/>
                <w:szCs w:val="21"/>
                <w:highlight w:val="none"/>
              </w:rPr>
            </w:pPr>
            <w:r>
              <w:rPr>
                <w:rFonts w:hint="eastAsia"/>
                <w:color w:val="auto"/>
                <w:sz w:val="21"/>
                <w:szCs w:val="21"/>
                <w:highlight w:val="none"/>
              </w:rPr>
              <w:t>联合体响应</w:t>
            </w:r>
          </w:p>
        </w:tc>
        <w:tc>
          <w:tcPr>
            <w:tcW w:w="5954" w:type="dxa"/>
            <w:vAlign w:val="center"/>
          </w:tcPr>
          <w:p w14:paraId="50199F50">
            <w:pPr>
              <w:adjustRightInd w:val="0"/>
              <w:snapToGrid w:val="0"/>
              <w:spacing w:line="288" w:lineRule="auto"/>
              <w:rPr>
                <w:color w:val="auto"/>
                <w:sz w:val="21"/>
                <w:szCs w:val="21"/>
                <w:highlight w:val="none"/>
              </w:rPr>
            </w:pPr>
            <w:r>
              <w:rPr>
                <w:rFonts w:hint="eastAsia"/>
                <w:color w:val="auto"/>
                <w:sz w:val="21"/>
                <w:szCs w:val="21"/>
                <w:highlight w:val="none"/>
              </w:rPr>
              <w:t>本项目（是）接受联合体响应。</w:t>
            </w:r>
          </w:p>
        </w:tc>
      </w:tr>
      <w:tr w14:paraId="7034E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15A2EF">
            <w:pPr>
              <w:adjustRightInd w:val="0"/>
              <w:snapToGrid w:val="0"/>
              <w:spacing w:line="288" w:lineRule="auto"/>
              <w:jc w:val="center"/>
              <w:rPr>
                <w:color w:val="auto"/>
                <w:sz w:val="21"/>
                <w:szCs w:val="21"/>
                <w:highlight w:val="none"/>
              </w:rPr>
            </w:pPr>
            <w:r>
              <w:rPr>
                <w:rFonts w:hint="eastAsia"/>
                <w:color w:val="auto"/>
                <w:sz w:val="21"/>
                <w:szCs w:val="21"/>
                <w:highlight w:val="none"/>
              </w:rPr>
              <w:t>（十六）</w:t>
            </w:r>
          </w:p>
        </w:tc>
        <w:tc>
          <w:tcPr>
            <w:tcW w:w="2410" w:type="dxa"/>
            <w:vAlign w:val="center"/>
          </w:tcPr>
          <w:p w14:paraId="4B887956">
            <w:pPr>
              <w:adjustRightInd w:val="0"/>
              <w:snapToGrid w:val="0"/>
              <w:spacing w:line="288" w:lineRule="auto"/>
              <w:jc w:val="center"/>
              <w:rPr>
                <w:color w:val="auto"/>
                <w:sz w:val="21"/>
                <w:szCs w:val="21"/>
                <w:highlight w:val="none"/>
              </w:rPr>
            </w:pPr>
            <w:r>
              <w:rPr>
                <w:rFonts w:hint="eastAsia"/>
                <w:color w:val="auto"/>
                <w:sz w:val="21"/>
                <w:szCs w:val="21"/>
                <w:highlight w:val="none"/>
              </w:rPr>
              <w:t>转包与分包</w:t>
            </w:r>
          </w:p>
        </w:tc>
        <w:tc>
          <w:tcPr>
            <w:tcW w:w="5954" w:type="dxa"/>
            <w:vAlign w:val="center"/>
          </w:tcPr>
          <w:p w14:paraId="2FCB96A9">
            <w:pPr>
              <w:adjustRightInd w:val="0"/>
              <w:snapToGrid w:val="0"/>
              <w:spacing w:line="288" w:lineRule="auto"/>
              <w:rPr>
                <w:color w:val="auto"/>
                <w:sz w:val="21"/>
                <w:szCs w:val="21"/>
                <w:highlight w:val="none"/>
              </w:rPr>
            </w:pPr>
            <w:r>
              <w:rPr>
                <w:rFonts w:hint="eastAsia"/>
                <w:color w:val="auto"/>
                <w:sz w:val="21"/>
                <w:szCs w:val="21"/>
                <w:highlight w:val="none"/>
              </w:rPr>
              <w:t>1.本项目不允许转包；</w:t>
            </w:r>
          </w:p>
          <w:p w14:paraId="02D16D08">
            <w:pPr>
              <w:adjustRightInd w:val="0"/>
              <w:snapToGrid w:val="0"/>
              <w:spacing w:line="288" w:lineRule="auto"/>
              <w:jc w:val="both"/>
              <w:rPr>
                <w:rFonts w:ascii="宋体" w:hAnsi="宋体" w:eastAsia="宋体" w:cstheme="minorBidi"/>
                <w:color w:val="auto"/>
                <w:sz w:val="21"/>
                <w:szCs w:val="21"/>
                <w:highlight w:val="none"/>
                <w:u w:val="single"/>
              </w:rPr>
            </w:pPr>
            <w:r>
              <w:rPr>
                <w:rFonts w:ascii="宋体" w:hAnsi="宋体" w:eastAsia="宋体" w:cstheme="minorBidi"/>
                <w:color w:val="auto"/>
                <w:sz w:val="21"/>
                <w:szCs w:val="21"/>
                <w:highlight w:val="none"/>
              </w:rPr>
              <w:t>2.</w:t>
            </w:r>
            <w:r>
              <w:rPr>
                <w:rFonts w:hint="eastAsia" w:ascii="宋体" w:hAnsi="宋体" w:eastAsia="宋体" w:cstheme="minorBidi"/>
                <w:color w:val="auto"/>
                <w:sz w:val="21"/>
                <w:szCs w:val="21"/>
                <w:highlight w:val="none"/>
              </w:rPr>
              <w:t>本项目</w:t>
            </w:r>
            <w:r>
              <w:rPr>
                <w:rFonts w:hint="eastAsia" w:ascii="宋体" w:hAnsi="宋体" w:eastAsia="宋体" w:cstheme="minorBidi"/>
                <w:b/>
                <w:bCs/>
                <w:color w:val="auto"/>
                <w:sz w:val="21"/>
                <w:szCs w:val="21"/>
                <w:highlight w:val="none"/>
                <w:u w:val="single"/>
              </w:rPr>
              <w:t>允许</w:t>
            </w:r>
            <w:r>
              <w:rPr>
                <w:rFonts w:hint="eastAsia" w:ascii="宋体" w:hAnsi="宋体" w:eastAsia="宋体" w:cstheme="minorBidi"/>
                <w:color w:val="auto"/>
                <w:sz w:val="21"/>
                <w:szCs w:val="21"/>
                <w:highlight w:val="none"/>
              </w:rPr>
              <w:t>分包，</w:t>
            </w:r>
            <w:r>
              <w:rPr>
                <w:rFonts w:ascii="宋体" w:hAnsi="宋体" w:eastAsia="宋体" w:cstheme="minorBidi"/>
                <w:color w:val="auto"/>
                <w:sz w:val="21"/>
                <w:szCs w:val="21"/>
                <w:highlight w:val="none"/>
              </w:rPr>
              <w:t>可以分包履行的（非主体、非关键性的工作）具体内容、金额或者比例：</w:t>
            </w:r>
            <w:r>
              <w:rPr>
                <w:rFonts w:ascii="宋体" w:hAnsi="宋体" w:eastAsia="宋体" w:cstheme="minorBidi"/>
                <w:color w:val="auto"/>
                <w:sz w:val="21"/>
                <w:szCs w:val="21"/>
                <w:highlight w:val="none"/>
                <w:u w:val="single"/>
              </w:rPr>
              <w:t xml:space="preserve"> </w:t>
            </w:r>
            <w:r>
              <w:rPr>
                <w:rFonts w:hint="eastAsia" w:ascii="宋体" w:hAnsi="宋体" w:eastAsia="宋体" w:cstheme="minorBidi"/>
                <w:color w:val="auto"/>
                <w:sz w:val="21"/>
                <w:szCs w:val="21"/>
                <w:highlight w:val="none"/>
                <w:u w:val="single"/>
                <w:lang w:val="en-US" w:eastAsia="zh-CN"/>
              </w:rPr>
              <w:t>竣工资料整理归档</w:t>
            </w:r>
            <w:r>
              <w:rPr>
                <w:rFonts w:ascii="宋体" w:hAnsi="宋体" w:eastAsia="宋体" w:cstheme="minorBidi"/>
                <w:color w:val="auto"/>
                <w:sz w:val="21"/>
                <w:szCs w:val="21"/>
                <w:highlight w:val="none"/>
                <w:u w:val="single"/>
              </w:rPr>
              <w:t xml:space="preserve"> 。</w:t>
            </w:r>
          </w:p>
          <w:p w14:paraId="484F6017">
            <w:pPr>
              <w:adjustRightInd w:val="0"/>
              <w:snapToGrid w:val="0"/>
              <w:spacing w:line="288" w:lineRule="auto"/>
              <w:jc w:val="left"/>
              <w:rPr>
                <w:color w:val="auto"/>
                <w:sz w:val="21"/>
                <w:szCs w:val="21"/>
                <w:highlight w:val="none"/>
              </w:rPr>
            </w:pPr>
            <w:r>
              <w:rPr>
                <w:rFonts w:hint="eastAsia"/>
                <w:color w:val="auto"/>
                <w:sz w:val="21"/>
                <w:szCs w:val="21"/>
                <w:highlight w:val="none"/>
              </w:rPr>
              <w:t>说明：供应商根据磋商文件的规定和采购项目的实际情况，拟在成交后将成交项目的非主体、非关键性工作分包的，应当在响应文件中载明分包承担主体，分包承担主体应当具备相应资质条件且不得再次分包。</w:t>
            </w:r>
          </w:p>
        </w:tc>
      </w:tr>
      <w:tr w14:paraId="777CA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12D7CF2">
            <w:pPr>
              <w:adjustRightInd w:val="0"/>
              <w:snapToGrid w:val="0"/>
              <w:spacing w:line="288" w:lineRule="auto"/>
              <w:jc w:val="center"/>
              <w:rPr>
                <w:color w:val="auto"/>
                <w:sz w:val="21"/>
                <w:szCs w:val="21"/>
                <w:highlight w:val="none"/>
              </w:rPr>
            </w:pPr>
            <w:r>
              <w:rPr>
                <w:rFonts w:hint="eastAsia"/>
                <w:color w:val="auto"/>
                <w:sz w:val="21"/>
                <w:szCs w:val="21"/>
                <w:highlight w:val="none"/>
              </w:rPr>
              <w:t>（十七）</w:t>
            </w:r>
          </w:p>
        </w:tc>
        <w:tc>
          <w:tcPr>
            <w:tcW w:w="2410" w:type="dxa"/>
            <w:vAlign w:val="center"/>
          </w:tcPr>
          <w:p w14:paraId="5B0B27F7">
            <w:pPr>
              <w:adjustRightInd w:val="0"/>
              <w:snapToGrid w:val="0"/>
              <w:spacing w:line="288" w:lineRule="auto"/>
              <w:jc w:val="center"/>
              <w:rPr>
                <w:color w:val="auto"/>
                <w:sz w:val="21"/>
                <w:szCs w:val="21"/>
                <w:highlight w:val="none"/>
              </w:rPr>
            </w:pPr>
            <w:r>
              <w:rPr>
                <w:rFonts w:hint="eastAsia"/>
                <w:b/>
                <w:bCs/>
                <w:color w:val="auto"/>
                <w:sz w:val="21"/>
                <w:szCs w:val="21"/>
                <w:highlight w:val="none"/>
              </w:rPr>
              <w:t>信用记录</w:t>
            </w:r>
          </w:p>
        </w:tc>
        <w:tc>
          <w:tcPr>
            <w:tcW w:w="5954" w:type="dxa"/>
            <w:vAlign w:val="center"/>
          </w:tcPr>
          <w:p w14:paraId="05780FF5">
            <w:pPr>
              <w:adjustRightInd w:val="0"/>
              <w:snapToGrid w:val="0"/>
              <w:spacing w:line="288" w:lineRule="auto"/>
              <w:rPr>
                <w:bCs/>
                <w:color w:val="auto"/>
                <w:sz w:val="21"/>
                <w:szCs w:val="21"/>
                <w:highlight w:val="none"/>
              </w:rPr>
            </w:pPr>
            <w:bookmarkStart w:id="34"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14:paraId="3EA23ED8">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14:paraId="5B58F7D2">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14:paraId="282575A8">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4"/>
          </w:p>
        </w:tc>
      </w:tr>
      <w:tr w14:paraId="08F8D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B958FDC">
            <w:pPr>
              <w:adjustRightInd w:val="0"/>
              <w:snapToGrid w:val="0"/>
              <w:spacing w:line="288" w:lineRule="auto"/>
              <w:jc w:val="center"/>
              <w:rPr>
                <w:color w:val="auto"/>
                <w:sz w:val="21"/>
                <w:szCs w:val="21"/>
                <w:highlight w:val="none"/>
              </w:rPr>
            </w:pPr>
            <w:r>
              <w:rPr>
                <w:rFonts w:hint="eastAsia"/>
                <w:color w:val="auto"/>
                <w:sz w:val="21"/>
                <w:szCs w:val="21"/>
                <w:highlight w:val="none"/>
              </w:rPr>
              <w:t>（十八）</w:t>
            </w:r>
          </w:p>
        </w:tc>
        <w:tc>
          <w:tcPr>
            <w:tcW w:w="2410" w:type="dxa"/>
            <w:vAlign w:val="center"/>
          </w:tcPr>
          <w:p w14:paraId="24778235">
            <w:pPr>
              <w:adjustRightInd w:val="0"/>
              <w:snapToGrid w:val="0"/>
              <w:spacing w:line="288" w:lineRule="auto"/>
              <w:jc w:val="center"/>
              <w:rPr>
                <w:color w:val="auto"/>
                <w:sz w:val="21"/>
                <w:szCs w:val="21"/>
                <w:highlight w:val="none"/>
              </w:rPr>
            </w:pPr>
            <w:r>
              <w:rPr>
                <w:rFonts w:hint="eastAsia"/>
                <w:color w:val="auto"/>
                <w:sz w:val="21"/>
                <w:szCs w:val="21"/>
                <w:highlight w:val="none"/>
              </w:rPr>
              <w:t>资格审查要求的资格证明材料</w:t>
            </w:r>
          </w:p>
        </w:tc>
        <w:tc>
          <w:tcPr>
            <w:tcW w:w="5954" w:type="dxa"/>
            <w:vAlign w:val="center"/>
          </w:tcPr>
          <w:p w14:paraId="72744ECD">
            <w:pPr>
              <w:adjustRightInd w:val="0"/>
              <w:snapToGrid w:val="0"/>
              <w:spacing w:line="288" w:lineRule="auto"/>
              <w:rPr>
                <w:b/>
                <w:bCs/>
                <w:color w:val="auto"/>
                <w:sz w:val="21"/>
                <w:szCs w:val="21"/>
                <w:highlight w:val="none"/>
              </w:rPr>
            </w:pPr>
            <w:r>
              <w:rPr>
                <w:rFonts w:hint="eastAsia"/>
                <w:b/>
                <w:bCs/>
                <w:color w:val="auto"/>
                <w:sz w:val="21"/>
                <w:szCs w:val="21"/>
                <w:highlight w:val="none"/>
              </w:rPr>
              <w:t>资格审查要求的资格证明材料(均需加盖公章)：</w:t>
            </w:r>
          </w:p>
          <w:p w14:paraId="31BC6A72">
            <w:pPr>
              <w:adjustRightInd w:val="0"/>
              <w:snapToGrid w:val="0"/>
              <w:spacing w:line="288" w:lineRule="auto"/>
              <w:rPr>
                <w:color w:val="auto"/>
                <w:sz w:val="21"/>
                <w:szCs w:val="21"/>
                <w:highlight w:val="none"/>
              </w:rPr>
            </w:pPr>
            <w:r>
              <w:rPr>
                <w:rFonts w:hint="eastAsia"/>
                <w:color w:val="auto"/>
                <w:sz w:val="21"/>
                <w:szCs w:val="21"/>
                <w:highlight w:val="none"/>
              </w:rPr>
              <w:t>（1）有效的法人或者其他组织的营业执照等证明文件，自然人的身份证明</w:t>
            </w:r>
          </w:p>
          <w:p w14:paraId="180FB51A">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14:paraId="14096D9B">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3）落实政府采购政策需满足的资格要求：</w:t>
            </w:r>
          </w:p>
          <w:p w14:paraId="571A6614">
            <w:pPr>
              <w:adjustRightInd w:val="0"/>
              <w:snapToGrid w:val="0"/>
              <w:spacing w:line="288" w:lineRule="auto"/>
              <w:ind w:firstLine="420" w:firstLineChars="20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中小企业声明函（若属于中小企业）</w:t>
            </w:r>
          </w:p>
          <w:p w14:paraId="1C9E1332">
            <w:pPr>
              <w:adjustRightInd w:val="0"/>
              <w:snapToGrid w:val="0"/>
              <w:spacing w:line="288" w:lineRule="auto"/>
              <w:ind w:firstLine="420" w:firstLineChars="20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属于监狱企业的证明文件（若属于监狱企业）</w:t>
            </w:r>
          </w:p>
          <w:p w14:paraId="74672735">
            <w:pPr>
              <w:adjustRightInd w:val="0"/>
              <w:snapToGrid w:val="0"/>
              <w:spacing w:line="288" w:lineRule="auto"/>
              <w:ind w:firstLine="420" w:firstLineChars="20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残疾人福利性单位声明函（若属于残疾人福利性单位）</w:t>
            </w:r>
          </w:p>
          <w:p w14:paraId="380547C0">
            <w:pPr>
              <w:adjustRightInd w:val="0"/>
              <w:snapToGrid w:val="0"/>
              <w:spacing w:line="288" w:lineRule="auto"/>
              <w:ind w:firstLine="420" w:firstLineChars="200"/>
              <w:rPr>
                <w:rFonts w:hint="default" w:ascii="宋体" w:hAnsi="宋体"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联合协议、分包协议（如有）</w:t>
            </w:r>
          </w:p>
          <w:p w14:paraId="3E1A5025">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4）</w:t>
            </w:r>
            <w:r>
              <w:rPr>
                <w:rFonts w:hint="eastAsia" w:cs="Times New Roman"/>
                <w:color w:val="auto"/>
                <w:sz w:val="21"/>
                <w:szCs w:val="21"/>
                <w:highlight w:val="none"/>
              </w:rPr>
              <w:t>本项目的特定资格要求</w:t>
            </w:r>
            <w:r>
              <w:rPr>
                <w:rFonts w:cs="Times New Roman"/>
                <w:color w:val="auto"/>
                <w:sz w:val="21"/>
                <w:szCs w:val="21"/>
                <w:highlight w:val="none"/>
              </w:rPr>
              <w:t>证明材料：</w:t>
            </w:r>
          </w:p>
          <w:p w14:paraId="0B5B7CE9">
            <w:pPr>
              <w:adjustRightInd w:val="0"/>
              <w:snapToGrid w:val="0"/>
              <w:spacing w:line="288" w:lineRule="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1）</w:t>
            </w:r>
            <w:r>
              <w:rPr>
                <w:rFonts w:hint="eastAsia"/>
                <w:color w:val="auto"/>
                <w:sz w:val="21"/>
                <w:szCs w:val="21"/>
                <w:highlight w:val="none"/>
                <w:lang w:eastAsia="zh-CN"/>
              </w:rPr>
              <w:t>供应商具有地质灾害治理工程施工乙级或以上资质</w:t>
            </w:r>
            <w:r>
              <w:rPr>
                <w:rFonts w:hint="eastAsia" w:cs="Times New Roman"/>
                <w:color w:val="auto"/>
                <w:sz w:val="21"/>
                <w:szCs w:val="21"/>
                <w:highlight w:val="none"/>
                <w:lang w:val="en-US" w:eastAsia="zh-CN"/>
              </w:rPr>
              <w:t>；</w:t>
            </w:r>
          </w:p>
          <w:p w14:paraId="6708AC24">
            <w:pPr>
              <w:adjustRightInd w:val="0"/>
              <w:snapToGrid w:val="0"/>
              <w:spacing w:line="288" w:lineRule="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2）供应商具有有效期内的企业安全生产许可证；</w:t>
            </w:r>
          </w:p>
          <w:p w14:paraId="617EA7B1">
            <w:pPr>
              <w:adjustRightInd w:val="0"/>
              <w:snapToGrid w:val="0"/>
              <w:spacing w:line="288" w:lineRule="auto"/>
              <w:rPr>
                <w:b/>
                <w:bCs/>
                <w:color w:val="auto"/>
                <w:sz w:val="21"/>
                <w:szCs w:val="21"/>
                <w:highlight w:val="none"/>
              </w:rPr>
            </w:pPr>
            <w:r>
              <w:rPr>
                <w:rFonts w:hint="eastAsia"/>
                <w:color w:val="auto"/>
                <w:sz w:val="21"/>
                <w:szCs w:val="21"/>
                <w:highlight w:val="none"/>
                <w:lang w:val="en-US" w:eastAsia="zh-CN"/>
              </w:rPr>
              <w:t>3）供应商自2022年10月1日以来（时间以竣工验收备案时间为准）以来承担过地质灾害治理工程施工类似业绩1份（响应文件中提供合同及竣工验收记录）；</w:t>
            </w:r>
          </w:p>
        </w:tc>
      </w:tr>
      <w:tr w14:paraId="09C3D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E904179">
            <w:pPr>
              <w:adjustRightInd w:val="0"/>
              <w:snapToGrid w:val="0"/>
              <w:spacing w:line="288" w:lineRule="auto"/>
              <w:jc w:val="center"/>
              <w:rPr>
                <w:color w:val="auto"/>
                <w:sz w:val="21"/>
                <w:szCs w:val="21"/>
                <w:highlight w:val="none"/>
              </w:rPr>
            </w:pPr>
            <w:r>
              <w:rPr>
                <w:rFonts w:hint="eastAsia"/>
                <w:color w:val="auto"/>
                <w:sz w:val="21"/>
                <w:szCs w:val="21"/>
                <w:highlight w:val="none"/>
              </w:rPr>
              <w:t>（十九）</w:t>
            </w:r>
          </w:p>
        </w:tc>
        <w:tc>
          <w:tcPr>
            <w:tcW w:w="2410" w:type="dxa"/>
            <w:vAlign w:val="center"/>
          </w:tcPr>
          <w:p w14:paraId="74CB4608">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响应文件份数</w:t>
            </w:r>
          </w:p>
        </w:tc>
        <w:tc>
          <w:tcPr>
            <w:tcW w:w="5954" w:type="dxa"/>
            <w:vAlign w:val="center"/>
          </w:tcPr>
          <w:p w14:paraId="73324509">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val="en-US" w:eastAsia="zh-CN"/>
              </w:rPr>
              <w:t>陈培特</w:t>
            </w:r>
            <w:r>
              <w:rPr>
                <w:rFonts w:hint="eastAsia"/>
                <w:b/>
                <w:bCs/>
                <w:color w:val="auto"/>
                <w:sz w:val="21"/>
                <w:szCs w:val="21"/>
                <w:highlight w:val="none"/>
              </w:rPr>
              <w:t>）收，电话：0571-87666115，寄出后将（快递单号、项目名称、公司名称、联系方式等相关信息）发至：zb03@qszb.net，以便查收）。</w:t>
            </w:r>
          </w:p>
          <w:p w14:paraId="2EE9065F">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14:paraId="276E9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B8BBFE9">
            <w:pPr>
              <w:adjustRightInd w:val="0"/>
              <w:snapToGrid w:val="0"/>
              <w:spacing w:line="288" w:lineRule="auto"/>
              <w:jc w:val="center"/>
              <w:rPr>
                <w:color w:val="auto"/>
                <w:sz w:val="21"/>
                <w:szCs w:val="21"/>
                <w:highlight w:val="none"/>
              </w:rPr>
            </w:pPr>
            <w:r>
              <w:rPr>
                <w:rFonts w:hint="eastAsia"/>
                <w:color w:val="auto"/>
                <w:sz w:val="21"/>
                <w:szCs w:val="21"/>
                <w:highlight w:val="none"/>
              </w:rPr>
              <w:t>（二十）</w:t>
            </w:r>
          </w:p>
        </w:tc>
        <w:tc>
          <w:tcPr>
            <w:tcW w:w="2410" w:type="dxa"/>
            <w:vAlign w:val="center"/>
          </w:tcPr>
          <w:p w14:paraId="203ED51B">
            <w:pPr>
              <w:adjustRightInd w:val="0"/>
              <w:snapToGrid w:val="0"/>
              <w:spacing w:line="288" w:lineRule="auto"/>
              <w:jc w:val="center"/>
              <w:rPr>
                <w:color w:val="auto"/>
                <w:sz w:val="21"/>
                <w:szCs w:val="21"/>
                <w:highlight w:val="none"/>
              </w:rPr>
            </w:pPr>
            <w:r>
              <w:rPr>
                <w:rFonts w:hint="eastAsia"/>
                <w:b/>
                <w:bCs/>
                <w:color w:val="auto"/>
                <w:sz w:val="21"/>
                <w:szCs w:val="21"/>
                <w:highlight w:val="none"/>
              </w:rPr>
              <w:t>磋商报价</w:t>
            </w:r>
          </w:p>
        </w:tc>
        <w:tc>
          <w:tcPr>
            <w:tcW w:w="5954" w:type="dxa"/>
            <w:vAlign w:val="center"/>
          </w:tcPr>
          <w:p w14:paraId="4EE1E47C">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14:paraId="3F12AA6A">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.本次磋商采用人民币报价；</w:t>
            </w:r>
          </w:p>
          <w:p w14:paraId="522D59B1">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.最后磋商报价是履行合同的最终价格，有关本项目实施所涉及的一切费用均计入报价。总价不为零，分项报价中部分产品、服务单价为零的，视作已包含在总价中。</w:t>
            </w:r>
          </w:p>
          <w:p w14:paraId="58E19BBC">
            <w:pPr>
              <w:adjustRightInd w:val="0"/>
              <w:snapToGrid w:val="0"/>
              <w:spacing w:line="288" w:lineRule="auto"/>
              <w:rPr>
                <w:color w:val="auto"/>
                <w:sz w:val="21"/>
                <w:szCs w:val="21"/>
                <w:highlight w:val="none"/>
              </w:rPr>
            </w:pPr>
            <w:r>
              <w:rPr>
                <w:rFonts w:hint="eastAsia"/>
                <w:color w:val="auto"/>
                <w:sz w:val="21"/>
                <w:szCs w:val="21"/>
                <w:highlight w:val="none"/>
              </w:rPr>
              <w:t>▲4.采购人将以合同形式有偿取得货物、工程和服务，不接受供应商给予的赠品、回扣或者与采购无关的其他商品、服务。</w:t>
            </w:r>
          </w:p>
        </w:tc>
      </w:tr>
      <w:tr w14:paraId="2B102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862A191">
            <w:pPr>
              <w:adjustRightInd w:val="0"/>
              <w:snapToGrid w:val="0"/>
              <w:spacing w:line="288" w:lineRule="auto"/>
              <w:jc w:val="center"/>
              <w:rPr>
                <w:color w:val="auto"/>
                <w:sz w:val="21"/>
                <w:szCs w:val="21"/>
                <w:highlight w:val="none"/>
              </w:rPr>
            </w:pPr>
            <w:r>
              <w:rPr>
                <w:rFonts w:hint="eastAsia"/>
                <w:color w:val="auto"/>
                <w:sz w:val="21"/>
                <w:szCs w:val="21"/>
                <w:highlight w:val="none"/>
              </w:rPr>
              <w:t>（二十一）</w:t>
            </w:r>
          </w:p>
        </w:tc>
        <w:tc>
          <w:tcPr>
            <w:tcW w:w="2410" w:type="dxa"/>
            <w:vAlign w:val="center"/>
          </w:tcPr>
          <w:p w14:paraId="66C16934">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响应有效期</w:t>
            </w:r>
          </w:p>
        </w:tc>
        <w:tc>
          <w:tcPr>
            <w:tcW w:w="5954" w:type="dxa"/>
            <w:vAlign w:val="center"/>
          </w:tcPr>
          <w:p w14:paraId="1B1FED81">
            <w:pPr>
              <w:adjustRightInd w:val="0"/>
              <w:snapToGrid w:val="0"/>
              <w:spacing w:line="288" w:lineRule="auto"/>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14:paraId="790B4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E470744">
            <w:pPr>
              <w:adjustRightInd w:val="0"/>
              <w:snapToGrid w:val="0"/>
              <w:spacing w:line="288" w:lineRule="auto"/>
              <w:jc w:val="center"/>
              <w:rPr>
                <w:color w:val="auto"/>
                <w:sz w:val="21"/>
                <w:szCs w:val="21"/>
                <w:highlight w:val="none"/>
              </w:rPr>
            </w:pPr>
            <w:r>
              <w:rPr>
                <w:rFonts w:hint="eastAsia"/>
                <w:color w:val="auto"/>
                <w:sz w:val="21"/>
                <w:szCs w:val="21"/>
                <w:highlight w:val="none"/>
              </w:rPr>
              <w:t>（二十二）</w:t>
            </w:r>
          </w:p>
        </w:tc>
        <w:tc>
          <w:tcPr>
            <w:tcW w:w="2410" w:type="dxa"/>
            <w:vAlign w:val="center"/>
          </w:tcPr>
          <w:p w14:paraId="72340205">
            <w:pPr>
              <w:adjustRightInd w:val="0"/>
              <w:snapToGrid w:val="0"/>
              <w:spacing w:line="288" w:lineRule="auto"/>
              <w:jc w:val="center"/>
              <w:rPr>
                <w:color w:val="auto"/>
                <w:sz w:val="21"/>
                <w:szCs w:val="21"/>
                <w:highlight w:val="none"/>
              </w:rPr>
            </w:pPr>
            <w:r>
              <w:rPr>
                <w:rFonts w:hint="eastAsia"/>
                <w:color w:val="auto"/>
                <w:sz w:val="21"/>
                <w:szCs w:val="21"/>
                <w:highlight w:val="none"/>
              </w:rPr>
              <w:t>评审方法和评审标准</w:t>
            </w:r>
          </w:p>
        </w:tc>
        <w:tc>
          <w:tcPr>
            <w:tcW w:w="5954" w:type="dxa"/>
            <w:vAlign w:val="center"/>
          </w:tcPr>
          <w:p w14:paraId="4AFBEB56">
            <w:pPr>
              <w:adjustRightInd w:val="0"/>
              <w:snapToGrid w:val="0"/>
              <w:spacing w:line="288" w:lineRule="auto"/>
              <w:rPr>
                <w:color w:val="auto"/>
                <w:sz w:val="21"/>
                <w:szCs w:val="21"/>
                <w:highlight w:val="none"/>
              </w:rPr>
            </w:pPr>
            <w:r>
              <w:rPr>
                <w:color w:val="auto"/>
                <w:sz w:val="21"/>
                <w:szCs w:val="21"/>
                <w:highlight w:val="none"/>
              </w:rPr>
              <w:t>详见“</w:t>
            </w:r>
            <w:r>
              <w:rPr>
                <w:rFonts w:hint="eastAsia"/>
                <w:color w:val="auto"/>
                <w:sz w:val="21"/>
                <w:szCs w:val="21"/>
                <w:highlight w:val="none"/>
              </w:rPr>
              <w:t>第四章  评审方法和评审标准</w:t>
            </w:r>
            <w:r>
              <w:rPr>
                <w:color w:val="auto"/>
                <w:sz w:val="21"/>
                <w:szCs w:val="21"/>
                <w:highlight w:val="none"/>
              </w:rPr>
              <w:t>”</w:t>
            </w:r>
            <w:r>
              <w:rPr>
                <w:rFonts w:hint="eastAsia"/>
                <w:color w:val="auto"/>
                <w:sz w:val="21"/>
                <w:szCs w:val="21"/>
                <w:highlight w:val="none"/>
              </w:rPr>
              <w:t>。</w:t>
            </w:r>
          </w:p>
        </w:tc>
      </w:tr>
      <w:tr w14:paraId="4B74E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4AED33">
            <w:pPr>
              <w:adjustRightInd w:val="0"/>
              <w:snapToGrid w:val="0"/>
              <w:spacing w:line="288" w:lineRule="auto"/>
              <w:jc w:val="center"/>
              <w:rPr>
                <w:color w:val="auto"/>
                <w:sz w:val="21"/>
                <w:szCs w:val="21"/>
                <w:highlight w:val="none"/>
              </w:rPr>
            </w:pPr>
            <w:r>
              <w:rPr>
                <w:rFonts w:hint="eastAsia"/>
                <w:color w:val="auto"/>
                <w:sz w:val="21"/>
                <w:szCs w:val="21"/>
                <w:highlight w:val="none"/>
              </w:rPr>
              <w:t>（二十三）</w:t>
            </w:r>
          </w:p>
        </w:tc>
        <w:tc>
          <w:tcPr>
            <w:tcW w:w="2410" w:type="dxa"/>
            <w:vAlign w:val="center"/>
          </w:tcPr>
          <w:p w14:paraId="07BFDF34">
            <w:pPr>
              <w:adjustRightInd w:val="0"/>
              <w:snapToGrid w:val="0"/>
              <w:spacing w:line="288" w:lineRule="auto"/>
              <w:jc w:val="center"/>
              <w:rPr>
                <w:color w:val="auto"/>
                <w:sz w:val="21"/>
                <w:szCs w:val="21"/>
                <w:highlight w:val="none"/>
              </w:rPr>
            </w:pPr>
            <w:r>
              <w:rPr>
                <w:rFonts w:hint="eastAsia"/>
                <w:color w:val="auto"/>
                <w:sz w:val="21"/>
                <w:szCs w:val="21"/>
                <w:highlight w:val="none"/>
              </w:rPr>
              <w:t>评审结果公示</w:t>
            </w:r>
          </w:p>
        </w:tc>
        <w:tc>
          <w:tcPr>
            <w:tcW w:w="5954" w:type="dxa"/>
            <w:vAlign w:val="center"/>
          </w:tcPr>
          <w:p w14:paraId="19670CD8">
            <w:pPr>
              <w:adjustRightInd w:val="0"/>
              <w:snapToGrid w:val="0"/>
              <w:spacing w:line="288" w:lineRule="auto"/>
              <w:jc w:val="left"/>
              <w:rPr>
                <w:color w:val="auto"/>
                <w:sz w:val="21"/>
                <w:szCs w:val="21"/>
                <w:highlight w:val="none"/>
              </w:rPr>
            </w:pPr>
            <w:r>
              <w:rPr>
                <w:rFonts w:hint="eastAsia"/>
                <w:color w:val="auto"/>
                <w:sz w:val="21"/>
                <w:szCs w:val="21"/>
                <w:highlight w:val="none"/>
              </w:rPr>
              <w:t>评审结果公示媒体：浙江政府采购网（http://zfcg.czt.zj.gov.cn）。</w:t>
            </w:r>
          </w:p>
        </w:tc>
      </w:tr>
      <w:tr w14:paraId="30F87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D015C07">
            <w:pPr>
              <w:adjustRightInd w:val="0"/>
              <w:snapToGrid w:val="0"/>
              <w:spacing w:line="288" w:lineRule="auto"/>
              <w:jc w:val="center"/>
              <w:rPr>
                <w:color w:val="auto"/>
                <w:sz w:val="21"/>
                <w:szCs w:val="21"/>
                <w:highlight w:val="none"/>
              </w:rPr>
            </w:pPr>
            <w:r>
              <w:rPr>
                <w:rFonts w:hint="eastAsia"/>
                <w:color w:val="auto"/>
                <w:sz w:val="21"/>
                <w:szCs w:val="21"/>
                <w:highlight w:val="none"/>
              </w:rPr>
              <w:t>（二十四）</w:t>
            </w:r>
          </w:p>
        </w:tc>
        <w:tc>
          <w:tcPr>
            <w:tcW w:w="2410" w:type="dxa"/>
            <w:vAlign w:val="center"/>
          </w:tcPr>
          <w:p w14:paraId="0E5B9C0A">
            <w:pPr>
              <w:adjustRightInd w:val="0"/>
              <w:snapToGrid w:val="0"/>
              <w:spacing w:line="288" w:lineRule="auto"/>
              <w:jc w:val="center"/>
              <w:rPr>
                <w:color w:val="auto"/>
                <w:sz w:val="21"/>
                <w:szCs w:val="21"/>
                <w:highlight w:val="none"/>
              </w:rPr>
            </w:pPr>
            <w:r>
              <w:rPr>
                <w:rFonts w:hint="eastAsia"/>
                <w:color w:val="auto"/>
                <w:sz w:val="21"/>
                <w:szCs w:val="21"/>
                <w:highlight w:val="none"/>
              </w:rPr>
              <w:t>签订合同</w:t>
            </w:r>
          </w:p>
        </w:tc>
        <w:tc>
          <w:tcPr>
            <w:tcW w:w="5954" w:type="dxa"/>
            <w:vAlign w:val="center"/>
          </w:tcPr>
          <w:p w14:paraId="0469697F">
            <w:pPr>
              <w:adjustRightInd w:val="0"/>
              <w:snapToGrid w:val="0"/>
              <w:spacing w:line="288" w:lineRule="auto"/>
              <w:rPr>
                <w:color w:val="auto"/>
                <w:sz w:val="21"/>
                <w:szCs w:val="21"/>
                <w:highlight w:val="none"/>
              </w:rPr>
            </w:pPr>
            <w:r>
              <w:rPr>
                <w:rFonts w:hint="eastAsia"/>
                <w:color w:val="auto"/>
                <w:sz w:val="21"/>
                <w:szCs w:val="21"/>
                <w:highlight w:val="none"/>
              </w:rPr>
              <w:t>成交通知书发出之日起30日内。</w:t>
            </w:r>
          </w:p>
        </w:tc>
      </w:tr>
    </w:tbl>
    <w:p w14:paraId="5F64AABC">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6F938CED">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14:paraId="159046D2">
      <w:pPr>
        <w:adjustRightInd w:val="0"/>
        <w:snapToGrid w:val="0"/>
        <w:spacing w:line="288" w:lineRule="auto"/>
        <w:ind w:firstLine="420" w:firstLineChars="200"/>
        <w:rPr>
          <w:color w:val="auto"/>
          <w:sz w:val="21"/>
          <w:szCs w:val="21"/>
          <w:highlight w:val="none"/>
        </w:rPr>
      </w:pPr>
      <w:bookmarkStart w:id="35" w:name="_Hlk97039780"/>
      <w:r>
        <w:rPr>
          <w:rFonts w:hint="eastAsia"/>
          <w:color w:val="auto"/>
          <w:sz w:val="21"/>
          <w:szCs w:val="21"/>
          <w:highlight w:val="none"/>
        </w:rPr>
        <w:t>供应商应仔细阅读磋商文件的所有内容，按照磋商文件的要求提交响应文件，并对所提供的全部资料的真实性承担法律责任。</w:t>
      </w:r>
    </w:p>
    <w:bookmarkEnd w:id="35"/>
    <w:p w14:paraId="7F29CB8D">
      <w:pPr>
        <w:adjustRightInd w:val="0"/>
        <w:snapToGrid w:val="0"/>
        <w:spacing w:line="288" w:lineRule="auto"/>
        <w:rPr>
          <w:b/>
          <w:bCs/>
          <w:color w:val="auto"/>
          <w:sz w:val="21"/>
          <w:szCs w:val="21"/>
          <w:highlight w:val="none"/>
        </w:rPr>
      </w:pPr>
      <w:r>
        <w:rPr>
          <w:rFonts w:hint="eastAsia"/>
          <w:b/>
          <w:bCs/>
          <w:color w:val="auto"/>
          <w:sz w:val="21"/>
          <w:szCs w:val="21"/>
          <w:highlight w:val="none"/>
        </w:rPr>
        <w:t>（一）适用范围</w:t>
      </w:r>
    </w:p>
    <w:p w14:paraId="3856F7F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浙江省人防指挥工程管理所前山山坡坡道边坡加固治理工程项目</w:t>
      </w:r>
      <w:r>
        <w:rPr>
          <w:rFonts w:hint="eastAsia"/>
          <w:color w:val="auto"/>
          <w:sz w:val="21"/>
          <w:szCs w:val="21"/>
          <w:highlight w:val="none"/>
        </w:rPr>
        <w:t>的磋商、评审、成交、验收、合同履约、付款等（法律、法规另有规定的，从其规定）。</w:t>
      </w:r>
    </w:p>
    <w:p w14:paraId="2B577AB0">
      <w:pPr>
        <w:adjustRightInd w:val="0"/>
        <w:snapToGrid w:val="0"/>
        <w:spacing w:line="288" w:lineRule="auto"/>
        <w:rPr>
          <w:b/>
          <w:bCs/>
          <w:color w:val="auto"/>
          <w:sz w:val="21"/>
          <w:szCs w:val="21"/>
          <w:highlight w:val="none"/>
        </w:rPr>
      </w:pPr>
      <w:r>
        <w:rPr>
          <w:rFonts w:hint="eastAsia"/>
          <w:b/>
          <w:bCs/>
          <w:color w:val="auto"/>
          <w:sz w:val="21"/>
          <w:szCs w:val="21"/>
          <w:highlight w:val="none"/>
        </w:rPr>
        <w:t>（二）定义</w:t>
      </w:r>
    </w:p>
    <w:p w14:paraId="0598EE6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浙江省人防指挥工程管理所</w:t>
      </w:r>
      <w:r>
        <w:rPr>
          <w:rFonts w:hint="eastAsia"/>
          <w:color w:val="auto"/>
          <w:sz w:val="21"/>
          <w:szCs w:val="21"/>
          <w:highlight w:val="none"/>
        </w:rPr>
        <w:t>；</w:t>
      </w:r>
    </w:p>
    <w:p w14:paraId="2D0C8DC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14:paraId="19E9E32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14:paraId="2205274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14:paraId="057618A3">
      <w:pPr>
        <w:adjustRightInd w:val="0"/>
        <w:snapToGrid w:val="0"/>
        <w:spacing w:line="288" w:lineRule="auto"/>
        <w:ind w:firstLine="420" w:firstLineChars="200"/>
        <w:rPr>
          <w:color w:val="auto"/>
          <w:sz w:val="21"/>
          <w:szCs w:val="21"/>
          <w:highlight w:val="none"/>
        </w:rPr>
      </w:pPr>
      <w:bookmarkStart w:id="36" w:name="_Hlk97039762"/>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66C6D4E7">
      <w:pPr>
        <w:adjustRightInd w:val="0"/>
        <w:snapToGrid w:val="0"/>
        <w:spacing w:line="288" w:lineRule="auto"/>
        <w:ind w:firstLine="420" w:firstLineChars="200"/>
        <w:jc w:val="left"/>
        <w:rPr>
          <w:rFonts w:cs="Times New Roman"/>
          <w:color w:val="auto"/>
          <w:sz w:val="21"/>
          <w:szCs w:val="21"/>
          <w:highlight w:val="none"/>
        </w:rPr>
      </w:pP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14:paraId="78B3F83F">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bookmarkEnd w:id="36"/>
    <w:p w14:paraId="49B9CDC5">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14:paraId="204EDAC3">
      <w:pPr>
        <w:adjustRightInd w:val="0"/>
        <w:snapToGrid w:val="0"/>
        <w:spacing w:line="288" w:lineRule="auto"/>
        <w:rPr>
          <w:b/>
          <w:bCs/>
          <w:color w:val="auto"/>
          <w:sz w:val="21"/>
          <w:szCs w:val="21"/>
          <w:highlight w:val="none"/>
        </w:rPr>
      </w:pPr>
      <w:r>
        <w:rPr>
          <w:rFonts w:hint="eastAsia"/>
          <w:b/>
          <w:bCs/>
          <w:color w:val="auto"/>
          <w:sz w:val="21"/>
          <w:szCs w:val="21"/>
          <w:highlight w:val="none"/>
        </w:rPr>
        <w:t>（三）采购方式</w:t>
      </w:r>
    </w:p>
    <w:p w14:paraId="09FDCC0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14:paraId="5C0092A9">
      <w:pPr>
        <w:adjustRightInd w:val="0"/>
        <w:snapToGrid w:val="0"/>
        <w:spacing w:line="288" w:lineRule="auto"/>
        <w:rPr>
          <w:b/>
          <w:bCs/>
          <w:color w:val="auto"/>
          <w:sz w:val="21"/>
          <w:szCs w:val="21"/>
          <w:highlight w:val="none"/>
        </w:rPr>
      </w:pPr>
      <w:r>
        <w:rPr>
          <w:rFonts w:hint="eastAsia"/>
          <w:b/>
          <w:bCs/>
          <w:color w:val="auto"/>
          <w:sz w:val="21"/>
          <w:szCs w:val="21"/>
          <w:highlight w:val="none"/>
        </w:rPr>
        <w:t>（四）竞争性磋商委托</w:t>
      </w:r>
    </w:p>
    <w:p w14:paraId="0AB81B7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1.供应商代表是法定代表人（单位负责人、自然人本人）的，须提供本人身份证明。</w:t>
      </w:r>
    </w:p>
    <w:p w14:paraId="7215348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2.供应商代表不是法定代表人（单位负责人、自然人本人）的，须提供授权委托书（格式详见磋商文件第六章）</w:t>
      </w:r>
      <w:r>
        <w:rPr>
          <w:rFonts w:hint="eastAsia"/>
          <w:color w:val="auto"/>
          <w:sz w:val="21"/>
          <w:szCs w:val="21"/>
          <w:highlight w:val="none"/>
        </w:rPr>
        <w:t>和授权代表社保缴纳证明（</w:t>
      </w:r>
      <w:r>
        <w:rPr>
          <w:rFonts w:hint="eastAsia"/>
          <w:color w:val="auto"/>
          <w:sz w:val="21"/>
          <w:szCs w:val="21"/>
          <w:highlight w:val="none"/>
          <w:lang w:eastAsia="zh-CN"/>
        </w:rPr>
        <w:t>202</w:t>
      </w:r>
      <w:r>
        <w:rPr>
          <w:rFonts w:hint="eastAsia"/>
          <w:color w:val="auto"/>
          <w:sz w:val="21"/>
          <w:szCs w:val="21"/>
          <w:highlight w:val="none"/>
          <w:lang w:val="en-US" w:eastAsia="zh-CN"/>
        </w:rPr>
        <w:t>5</w:t>
      </w:r>
      <w:r>
        <w:rPr>
          <w:rFonts w:hint="eastAsia"/>
          <w:color w:val="auto"/>
          <w:sz w:val="21"/>
          <w:szCs w:val="21"/>
          <w:highlight w:val="none"/>
          <w:lang w:eastAsia="zh-CN"/>
        </w:rPr>
        <w:t>年</w:t>
      </w:r>
      <w:r>
        <w:rPr>
          <w:rFonts w:hint="eastAsia"/>
          <w:color w:val="auto"/>
          <w:sz w:val="21"/>
          <w:szCs w:val="21"/>
          <w:highlight w:val="none"/>
          <w:lang w:val="en-US" w:eastAsia="zh-CN"/>
        </w:rPr>
        <w:t>1</w:t>
      </w:r>
      <w:r>
        <w:rPr>
          <w:rFonts w:hint="eastAsia"/>
          <w:color w:val="auto"/>
          <w:sz w:val="21"/>
          <w:szCs w:val="21"/>
          <w:highlight w:val="none"/>
          <w:lang w:eastAsia="zh-CN"/>
        </w:rPr>
        <w:t>月</w:t>
      </w:r>
      <w:r>
        <w:rPr>
          <w:color w:val="auto"/>
          <w:sz w:val="21"/>
          <w:szCs w:val="21"/>
          <w:highlight w:val="none"/>
        </w:rPr>
        <w:t>（含）以后任意一月）；</w:t>
      </w:r>
    </w:p>
    <w:p w14:paraId="6DDC58C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3.供应商委派不在本单位缴纳社保的人员作为授权代表的，应当在响应文件中，说明具体原因、授权代表缴纳社保的单位，并附列该授权代表缴纳社保清单。</w:t>
      </w:r>
    </w:p>
    <w:p w14:paraId="5208284C">
      <w:pPr>
        <w:adjustRightInd w:val="0"/>
        <w:snapToGrid w:val="0"/>
        <w:spacing w:line="288" w:lineRule="auto"/>
        <w:rPr>
          <w:b/>
          <w:bCs/>
          <w:color w:val="auto"/>
          <w:sz w:val="21"/>
          <w:szCs w:val="21"/>
          <w:highlight w:val="none"/>
        </w:rPr>
      </w:pPr>
      <w:r>
        <w:rPr>
          <w:rFonts w:hint="eastAsia"/>
          <w:b/>
          <w:bCs/>
          <w:color w:val="auto"/>
          <w:sz w:val="21"/>
          <w:szCs w:val="21"/>
          <w:highlight w:val="none"/>
        </w:rPr>
        <w:t>（五）磋商费用</w:t>
      </w:r>
    </w:p>
    <w:p w14:paraId="0227CBF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14:paraId="79E094B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14:paraId="56AD388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7262CD6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29"/>
        <w:tblW w:w="27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5"/>
        <w:gridCol w:w="3054"/>
      </w:tblGrid>
      <w:tr w14:paraId="2F74B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7" w:hRule="atLeast"/>
          <w:jc w:val="center"/>
        </w:trPr>
        <w:tc>
          <w:tcPr>
            <w:tcW w:w="2129" w:type="pct"/>
            <w:noWrap w:val="0"/>
            <w:vAlign w:val="top"/>
          </w:tcPr>
          <w:p w14:paraId="685D7CE0">
            <w:pPr>
              <w:spacing w:line="288" w:lineRule="auto"/>
              <w:jc w:val="center"/>
              <w:rPr>
                <w:rFonts w:hint="eastAsia" w:ascii="宋体" w:hAnsi="宋体"/>
                <w:color w:val="auto"/>
                <w:spacing w:val="-6"/>
                <w:sz w:val="21"/>
                <w:szCs w:val="21"/>
                <w:highlight w:val="none"/>
              </w:rPr>
            </w:pPr>
            <w:r>
              <w:rPr>
                <w:rFonts w:hint="eastAsia" w:ascii="宋体" w:hAnsi="宋体"/>
                <w:color w:val="auto"/>
                <w:spacing w:val="-6"/>
                <w:sz w:val="21"/>
                <w:szCs w:val="21"/>
                <w:highlight w:val="none"/>
                <w:lang w:val="en-US" w:eastAsia="zh-CN"/>
              </w:rPr>
              <w:t>成交</w:t>
            </w:r>
            <w:r>
              <w:rPr>
                <w:rFonts w:ascii="宋体" w:hAnsi="宋体"/>
                <w:color w:val="auto"/>
                <w:spacing w:val="-6"/>
                <w:sz w:val="21"/>
                <w:szCs w:val="21"/>
                <w:highlight w:val="none"/>
              </w:rPr>
              <w:t>金额（万元）</w:t>
            </w:r>
          </w:p>
        </w:tc>
        <w:tc>
          <w:tcPr>
            <w:tcW w:w="2870" w:type="pct"/>
            <w:noWrap w:val="0"/>
            <w:vAlign w:val="top"/>
          </w:tcPr>
          <w:p w14:paraId="0C833A78">
            <w:pPr>
              <w:spacing w:line="288" w:lineRule="auto"/>
              <w:jc w:val="center"/>
              <w:rPr>
                <w:rFonts w:hint="eastAsia" w:ascii="宋体" w:hAnsi="宋体"/>
                <w:color w:val="auto"/>
                <w:spacing w:val="-6"/>
                <w:sz w:val="21"/>
                <w:szCs w:val="21"/>
                <w:highlight w:val="none"/>
              </w:rPr>
            </w:pPr>
            <w:r>
              <w:rPr>
                <w:rFonts w:hint="eastAsia" w:ascii="宋体" w:hAnsi="宋体"/>
                <w:color w:val="auto"/>
                <w:spacing w:val="-6"/>
                <w:sz w:val="21"/>
                <w:szCs w:val="21"/>
                <w:highlight w:val="none"/>
              </w:rPr>
              <w:t>收费标准</w:t>
            </w:r>
            <w:r>
              <w:rPr>
                <w:rFonts w:ascii="宋体" w:hAnsi="宋体"/>
                <w:color w:val="auto"/>
                <w:spacing w:val="-6"/>
                <w:sz w:val="21"/>
                <w:szCs w:val="21"/>
                <w:highlight w:val="none"/>
              </w:rPr>
              <w:t>（费率，</w:t>
            </w:r>
            <w:r>
              <w:rPr>
                <w:rFonts w:hint="eastAsia" w:ascii="宋体" w:hAnsi="宋体"/>
                <w:color w:val="auto"/>
                <w:spacing w:val="-6"/>
                <w:sz w:val="21"/>
                <w:szCs w:val="21"/>
                <w:highlight w:val="none"/>
              </w:rPr>
              <w:t>%）</w:t>
            </w:r>
          </w:p>
        </w:tc>
      </w:tr>
      <w:tr w14:paraId="4E213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2265" w:type="dxa"/>
            <w:noWrap w:val="0"/>
            <w:vAlign w:val="top"/>
          </w:tcPr>
          <w:p w14:paraId="01E932A5">
            <w:pPr>
              <w:spacing w:line="288" w:lineRule="auto"/>
              <w:jc w:val="center"/>
              <w:rPr>
                <w:rFonts w:ascii="宋体" w:hAnsi="宋体"/>
                <w:color w:val="auto"/>
                <w:spacing w:val="-6"/>
                <w:sz w:val="21"/>
                <w:szCs w:val="21"/>
                <w:highlight w:val="none"/>
              </w:rPr>
            </w:pPr>
            <w:r>
              <w:rPr>
                <w:rFonts w:hint="eastAsia" w:ascii="宋体" w:hAnsi="宋体"/>
                <w:color w:val="auto"/>
                <w:spacing w:val="-6"/>
                <w:sz w:val="21"/>
                <w:szCs w:val="21"/>
                <w:highlight w:val="none"/>
              </w:rPr>
              <w:t>100以内部分</w:t>
            </w:r>
          </w:p>
        </w:tc>
        <w:tc>
          <w:tcPr>
            <w:tcW w:w="3054" w:type="dxa"/>
            <w:noWrap w:val="0"/>
            <w:vAlign w:val="top"/>
          </w:tcPr>
          <w:p w14:paraId="5AA96557">
            <w:pPr>
              <w:spacing w:line="288" w:lineRule="auto"/>
              <w:jc w:val="center"/>
              <w:rPr>
                <w:rFonts w:hint="eastAsia" w:ascii="宋体" w:hAnsi="宋体"/>
                <w:color w:val="auto"/>
                <w:spacing w:val="-6"/>
                <w:sz w:val="21"/>
                <w:szCs w:val="21"/>
                <w:highlight w:val="none"/>
              </w:rPr>
            </w:pPr>
            <w:r>
              <w:rPr>
                <w:rFonts w:hint="eastAsia" w:ascii="宋体" w:hAnsi="宋体"/>
                <w:color w:val="auto"/>
                <w:spacing w:val="-6"/>
                <w:sz w:val="21"/>
                <w:szCs w:val="21"/>
                <w:highlight w:val="none"/>
              </w:rPr>
              <w:t>0.</w:t>
            </w:r>
            <w:r>
              <w:rPr>
                <w:rFonts w:hint="eastAsia"/>
                <w:color w:val="auto"/>
                <w:spacing w:val="-6"/>
                <w:sz w:val="21"/>
                <w:szCs w:val="21"/>
                <w:highlight w:val="none"/>
                <w:lang w:val="en-US" w:eastAsia="zh-CN"/>
              </w:rPr>
              <w:t>7</w:t>
            </w:r>
            <w:r>
              <w:rPr>
                <w:rFonts w:hint="eastAsia" w:ascii="宋体" w:hAnsi="宋体"/>
                <w:color w:val="auto"/>
                <w:spacing w:val="-6"/>
                <w:sz w:val="21"/>
                <w:szCs w:val="21"/>
                <w:highlight w:val="none"/>
              </w:rPr>
              <w:t>（不足叁仟按叁仟收取）</w:t>
            </w:r>
          </w:p>
        </w:tc>
      </w:tr>
      <w:tr w14:paraId="51A4C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2265" w:type="dxa"/>
            <w:noWrap w:val="0"/>
            <w:vAlign w:val="top"/>
          </w:tcPr>
          <w:p w14:paraId="6EF92155">
            <w:pPr>
              <w:spacing w:line="288" w:lineRule="auto"/>
              <w:jc w:val="center"/>
              <w:rPr>
                <w:rFonts w:hint="eastAsia" w:ascii="宋体" w:hAnsi="宋体"/>
                <w:color w:val="auto"/>
                <w:spacing w:val="-6"/>
                <w:sz w:val="21"/>
                <w:szCs w:val="21"/>
                <w:highlight w:val="none"/>
              </w:rPr>
            </w:pPr>
            <w:r>
              <w:rPr>
                <w:rFonts w:hint="eastAsia"/>
                <w:color w:val="auto"/>
                <w:spacing w:val="-6"/>
                <w:sz w:val="21"/>
                <w:szCs w:val="21"/>
                <w:highlight w:val="none"/>
                <w:lang w:val="en-US" w:eastAsia="zh-CN"/>
              </w:rPr>
              <w:t>100=500</w:t>
            </w:r>
          </w:p>
        </w:tc>
        <w:tc>
          <w:tcPr>
            <w:tcW w:w="3054" w:type="dxa"/>
            <w:noWrap w:val="0"/>
            <w:vAlign w:val="top"/>
          </w:tcPr>
          <w:p w14:paraId="3C9890AE">
            <w:pPr>
              <w:spacing w:line="288" w:lineRule="auto"/>
              <w:jc w:val="center"/>
              <w:rPr>
                <w:rFonts w:hint="eastAsia" w:ascii="宋体" w:hAnsi="宋体"/>
                <w:color w:val="auto"/>
                <w:spacing w:val="-6"/>
                <w:sz w:val="21"/>
                <w:szCs w:val="21"/>
                <w:highlight w:val="none"/>
              </w:rPr>
            </w:pPr>
            <w:r>
              <w:rPr>
                <w:rFonts w:hint="eastAsia"/>
                <w:color w:val="auto"/>
                <w:spacing w:val="-6"/>
                <w:sz w:val="21"/>
                <w:szCs w:val="21"/>
                <w:highlight w:val="none"/>
                <w:lang w:val="en-US" w:eastAsia="zh-CN"/>
              </w:rPr>
              <w:t>0.56</w:t>
            </w:r>
          </w:p>
        </w:tc>
      </w:tr>
    </w:tbl>
    <w:p w14:paraId="5070BC1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14:paraId="17D52FE7">
      <w:pPr>
        <w:adjustRightInd w:val="0"/>
        <w:snapToGrid w:val="0"/>
        <w:spacing w:line="288" w:lineRule="auto"/>
        <w:rPr>
          <w:b/>
          <w:bCs/>
          <w:color w:val="auto"/>
          <w:sz w:val="21"/>
          <w:szCs w:val="21"/>
          <w:highlight w:val="none"/>
        </w:rPr>
      </w:pPr>
      <w:r>
        <w:rPr>
          <w:rFonts w:hint="eastAsia"/>
          <w:b/>
          <w:bCs/>
          <w:color w:val="auto"/>
          <w:sz w:val="21"/>
          <w:szCs w:val="21"/>
          <w:highlight w:val="none"/>
        </w:rPr>
        <w:t>（六）联合体响应</w:t>
      </w:r>
    </w:p>
    <w:p w14:paraId="5633F65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本项目（是）接受联合体响应。</w:t>
      </w:r>
    </w:p>
    <w:p w14:paraId="6256615C">
      <w:pPr>
        <w:spacing w:line="288" w:lineRule="auto"/>
        <w:ind w:firstLine="420" w:firstLineChars="200"/>
        <w:rPr>
          <w:rFonts w:cs="Times New Roman"/>
          <w:color w:val="auto"/>
          <w:sz w:val="21"/>
          <w:szCs w:val="22"/>
          <w:highlight w:val="none"/>
        </w:rPr>
      </w:pPr>
      <w:bookmarkStart w:id="37" w:name="_Hlk104288918"/>
      <w:r>
        <w:rPr>
          <w:rFonts w:hint="eastAsia" w:cs="Times New Roman"/>
          <w:color w:val="auto"/>
          <w:sz w:val="21"/>
          <w:szCs w:val="22"/>
          <w:highlight w:val="none"/>
        </w:rPr>
        <w:t>两个以上的自然人、法人或者其他组织可以组成一个联合体，以一个供应商的身份共同参加政府采购。</w:t>
      </w:r>
    </w:p>
    <w:p w14:paraId="05FABBFD">
      <w:pPr>
        <w:adjustRightInd w:val="0"/>
        <w:snapToGrid w:val="0"/>
        <w:spacing w:line="288" w:lineRule="auto"/>
        <w:ind w:firstLine="420" w:firstLineChars="200"/>
        <w:rPr>
          <w:color w:val="auto"/>
          <w:sz w:val="21"/>
          <w:szCs w:val="21"/>
          <w:highlight w:val="none"/>
        </w:rPr>
      </w:pPr>
      <w:r>
        <w:rPr>
          <w:rFonts w:hint="eastAsia" w:cs="Times New Roman"/>
          <w:color w:val="auto"/>
          <w:sz w:val="21"/>
          <w:szCs w:val="22"/>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bookmarkEnd w:id="37"/>
    </w:p>
    <w:p w14:paraId="7D9E235B">
      <w:pPr>
        <w:adjustRightInd w:val="0"/>
        <w:snapToGrid w:val="0"/>
        <w:spacing w:line="288" w:lineRule="auto"/>
        <w:rPr>
          <w:b/>
          <w:bCs/>
          <w:color w:val="auto"/>
          <w:sz w:val="21"/>
          <w:szCs w:val="21"/>
          <w:highlight w:val="none"/>
        </w:rPr>
      </w:pPr>
      <w:r>
        <w:rPr>
          <w:rFonts w:hint="eastAsia"/>
          <w:b/>
          <w:bCs/>
          <w:color w:val="auto"/>
          <w:sz w:val="21"/>
          <w:szCs w:val="21"/>
          <w:highlight w:val="none"/>
        </w:rPr>
        <w:t>（七）转包与分包</w:t>
      </w:r>
    </w:p>
    <w:p w14:paraId="215EE78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1.本项目不允许转包；</w:t>
      </w:r>
    </w:p>
    <w:p w14:paraId="45085256">
      <w:pPr>
        <w:adjustRightInd w:val="0"/>
        <w:snapToGrid w:val="0"/>
        <w:spacing w:line="288" w:lineRule="auto"/>
        <w:ind w:firstLine="420" w:firstLineChars="200"/>
        <w:rPr>
          <w:color w:val="auto"/>
          <w:sz w:val="21"/>
          <w:szCs w:val="21"/>
          <w:highlight w:val="none"/>
          <w:u w:val="single"/>
        </w:rPr>
      </w:pPr>
      <w:r>
        <w:rPr>
          <w:rFonts w:ascii="宋体" w:hAnsi="宋体" w:eastAsia="宋体" w:cstheme="minorBidi"/>
          <w:color w:val="auto"/>
          <w:sz w:val="21"/>
          <w:szCs w:val="21"/>
          <w:highlight w:val="none"/>
        </w:rPr>
        <w:t>2.</w:t>
      </w:r>
      <w:r>
        <w:rPr>
          <w:rFonts w:hint="eastAsia" w:ascii="宋体" w:hAnsi="宋体" w:eastAsia="宋体" w:cstheme="minorBidi"/>
          <w:color w:val="auto"/>
          <w:sz w:val="21"/>
          <w:szCs w:val="21"/>
          <w:highlight w:val="none"/>
        </w:rPr>
        <w:t>本项目</w:t>
      </w:r>
      <w:r>
        <w:rPr>
          <w:rFonts w:hint="eastAsia" w:ascii="宋体" w:hAnsi="宋体" w:eastAsia="宋体" w:cstheme="minorBidi"/>
          <w:b/>
          <w:bCs/>
          <w:color w:val="auto"/>
          <w:sz w:val="21"/>
          <w:szCs w:val="21"/>
          <w:highlight w:val="none"/>
          <w:u w:val="single"/>
        </w:rPr>
        <w:t>允许</w:t>
      </w:r>
      <w:r>
        <w:rPr>
          <w:rFonts w:hint="eastAsia" w:ascii="宋体" w:hAnsi="宋体" w:eastAsia="宋体" w:cstheme="minorBidi"/>
          <w:color w:val="auto"/>
          <w:sz w:val="21"/>
          <w:szCs w:val="21"/>
          <w:highlight w:val="none"/>
        </w:rPr>
        <w:t>分包，</w:t>
      </w:r>
      <w:r>
        <w:rPr>
          <w:rFonts w:ascii="宋体" w:hAnsi="宋体" w:eastAsia="宋体" w:cstheme="minorBidi"/>
          <w:color w:val="auto"/>
          <w:sz w:val="21"/>
          <w:szCs w:val="21"/>
          <w:highlight w:val="none"/>
        </w:rPr>
        <w:t>可以分包履行的（非主体、非关键性的工作）具体内容、金额或者比例：</w:t>
      </w:r>
      <w:r>
        <w:rPr>
          <w:rFonts w:ascii="宋体" w:hAnsi="宋体" w:eastAsia="宋体" w:cstheme="minorBidi"/>
          <w:color w:val="auto"/>
          <w:sz w:val="21"/>
          <w:szCs w:val="21"/>
          <w:highlight w:val="none"/>
          <w:u w:val="single"/>
        </w:rPr>
        <w:t xml:space="preserve"> </w:t>
      </w:r>
      <w:r>
        <w:rPr>
          <w:rFonts w:hint="eastAsia" w:ascii="宋体" w:hAnsi="宋体" w:eastAsia="宋体" w:cstheme="minorBidi"/>
          <w:color w:val="auto"/>
          <w:sz w:val="21"/>
          <w:szCs w:val="21"/>
          <w:highlight w:val="none"/>
          <w:u w:val="single"/>
          <w:lang w:val="en-US" w:eastAsia="zh-CN"/>
        </w:rPr>
        <w:t>竣工资料整理归档</w:t>
      </w:r>
      <w:r>
        <w:rPr>
          <w:rFonts w:ascii="宋体" w:hAnsi="宋体" w:eastAsia="宋体" w:cstheme="minorBidi"/>
          <w:color w:val="auto"/>
          <w:sz w:val="21"/>
          <w:szCs w:val="21"/>
          <w:highlight w:val="none"/>
          <w:u w:val="single"/>
        </w:rPr>
        <w:t xml:space="preserve"> 。</w:t>
      </w:r>
    </w:p>
    <w:p w14:paraId="336856C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说明：供应商根据磋商文件的规定和采购项目的实际情况，拟在成交后将成交项目的非主体、非关键性工作分包的，应当在响应文件中载明分包承担主体，分包承担主体应当具备相应资质条件且不得再次分包。</w:t>
      </w:r>
    </w:p>
    <w:p w14:paraId="0C52D3F6">
      <w:pPr>
        <w:adjustRightInd w:val="0"/>
        <w:snapToGrid w:val="0"/>
        <w:spacing w:line="288" w:lineRule="auto"/>
        <w:rPr>
          <w:b/>
          <w:bCs/>
          <w:color w:val="auto"/>
          <w:sz w:val="21"/>
          <w:szCs w:val="21"/>
          <w:highlight w:val="none"/>
        </w:rPr>
      </w:pPr>
      <w:r>
        <w:rPr>
          <w:rFonts w:hint="eastAsia"/>
          <w:b/>
          <w:bCs/>
          <w:color w:val="auto"/>
          <w:sz w:val="21"/>
          <w:szCs w:val="21"/>
          <w:highlight w:val="none"/>
        </w:rPr>
        <w:t>（八）质疑和投诉</w:t>
      </w:r>
    </w:p>
    <w:p w14:paraId="0D7FBB83">
      <w:pPr>
        <w:adjustRightInd w:val="0"/>
        <w:snapToGrid w:val="0"/>
        <w:spacing w:line="288" w:lineRule="auto"/>
        <w:ind w:firstLine="396" w:firstLineChars="200"/>
        <w:jc w:val="left"/>
        <w:rPr>
          <w:rFonts w:cs="Times New Roman"/>
          <w:color w:val="auto"/>
          <w:spacing w:val="-6"/>
          <w:sz w:val="21"/>
          <w:szCs w:val="21"/>
          <w:highlight w:val="none"/>
        </w:rPr>
      </w:pPr>
      <w:bookmarkStart w:id="38" w:name="_Hlk92273406"/>
      <w:bookmarkStart w:id="39"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8"/>
    </w:p>
    <w:p w14:paraId="7C0CA54D">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14:paraId="3E80591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14:paraId="5BE6B24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14:paraId="5DCE05E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14:paraId="7BC2BBB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14:paraId="071581D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14:paraId="2510FB3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14:paraId="6DBBC5D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14:paraId="5DCFEF1C">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14:paraId="746C151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14:paraId="2F99354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14:paraId="3A43712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14:paraId="38D3B6D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14:paraId="78841D0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9"/>
    <w:p w14:paraId="6BE37419">
      <w:pPr>
        <w:adjustRightInd w:val="0"/>
        <w:snapToGrid w:val="0"/>
        <w:spacing w:line="288" w:lineRule="auto"/>
        <w:rPr>
          <w:b/>
          <w:color w:val="auto"/>
          <w:spacing w:val="-6"/>
          <w:kern w:val="0"/>
          <w:sz w:val="21"/>
          <w:szCs w:val="21"/>
          <w:highlight w:val="none"/>
        </w:rPr>
      </w:pPr>
      <w:bookmarkStart w:id="40"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bookmarkEnd w:id="40"/>
    <w:p w14:paraId="358AF671">
      <w:pPr>
        <w:keepNext w:val="0"/>
        <w:keepLines w:val="0"/>
        <w:pageBreakBefore w:val="0"/>
        <w:widowControl w:val="0"/>
        <w:kinsoku/>
        <w:wordWrap/>
        <w:overflowPunct/>
        <w:topLinePunct w:val="0"/>
        <w:autoSpaceDE/>
        <w:autoSpaceDN/>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1.</w:t>
      </w:r>
      <w:r>
        <w:rPr>
          <w:rFonts w:hint="eastAsia" w:ascii="宋体" w:hAnsi="宋体" w:eastAsia="宋体" w:cs="宋体"/>
          <w:b/>
          <w:bCs/>
          <w:i w:val="0"/>
          <w:iCs w:val="0"/>
          <w:color w:val="auto"/>
          <w:sz w:val="21"/>
          <w:szCs w:val="21"/>
          <w:highlight w:val="none"/>
        </w:rPr>
        <w:t>进口产品</w:t>
      </w:r>
    </w:p>
    <w:p w14:paraId="7699EDB2">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本项目原则上采购本国生产的货物、服务，不允许采购进口产品。优先采购向我国企业转让技术、与我国企业签订消化吸收再创新方案的供应商的进口产品。</w:t>
      </w:r>
    </w:p>
    <w:p w14:paraId="29F829AD">
      <w:pPr>
        <w:keepNext w:val="0"/>
        <w:keepLines w:val="0"/>
        <w:pageBreakBefore w:val="0"/>
        <w:widowControl w:val="0"/>
        <w:shd w:val="clear" w:color="auto" w:fill="FFFFFF"/>
        <w:kinsoku/>
        <w:wordWrap/>
        <w:overflowPunct/>
        <w:topLinePunct w:val="0"/>
        <w:autoSpaceDE/>
        <w:autoSpaceDN/>
        <w:bidi w:val="0"/>
        <w:adjustRightInd w:val="0"/>
        <w:snapToGrid w:val="0"/>
        <w:spacing w:line="288" w:lineRule="auto"/>
        <w:ind w:firstLine="369" w:firstLineChars="176"/>
        <w:jc w:val="left"/>
        <w:textAlignment w:val="auto"/>
        <w:outlineLvl w:val="9"/>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采购人已经在采购活动开始前向财政部门提出申请并获得财政部门审核同意</w:t>
      </w:r>
      <w:r>
        <w:rPr>
          <w:rFonts w:hint="eastAsia" w:ascii="宋体" w:hAnsi="宋体" w:eastAsia="宋体" w:cs="宋体"/>
          <w:i w:val="0"/>
          <w:iCs w:val="0"/>
          <w:color w:val="auto"/>
          <w:sz w:val="21"/>
          <w:szCs w:val="21"/>
          <w:highlight w:val="none"/>
          <w:lang w:eastAsia="zh-CN"/>
        </w:rPr>
        <w:t>（高校和科研院所采购用于科研的进口仪器设备，以及其他根据财政部规定实行备案管理的，实行备案管理）</w:t>
      </w:r>
      <w:r>
        <w:rPr>
          <w:rFonts w:hint="eastAsia" w:ascii="宋体" w:hAnsi="宋体" w:eastAsia="宋体" w:cs="宋体"/>
          <w:i w:val="0"/>
          <w:iCs w:val="0"/>
          <w:color w:val="auto"/>
          <w:sz w:val="21"/>
          <w:szCs w:val="21"/>
          <w:highlight w:val="none"/>
        </w:rPr>
        <w:t>购买进口产品的，将在</w:t>
      </w:r>
      <w:r>
        <w:rPr>
          <w:rFonts w:hint="eastAsia" w:ascii="宋体" w:hAnsi="宋体" w:eastAsia="宋体" w:cs="宋体"/>
          <w:i w:val="0"/>
          <w:iCs w:val="0"/>
          <w:color w:val="auto"/>
          <w:sz w:val="21"/>
          <w:szCs w:val="21"/>
          <w:highlight w:val="none"/>
          <w:lang w:val="en-US" w:eastAsia="zh-CN"/>
        </w:rPr>
        <w:t>磋商文件</w:t>
      </w:r>
      <w:r>
        <w:rPr>
          <w:rFonts w:hint="eastAsia" w:ascii="宋体" w:hAnsi="宋体" w:eastAsia="宋体" w:cs="宋体"/>
          <w:i w:val="0"/>
          <w:iCs w:val="0"/>
          <w:color w:val="auto"/>
          <w:sz w:val="21"/>
          <w:szCs w:val="21"/>
          <w:highlight w:val="none"/>
        </w:rPr>
        <w:t>中明确规定可以采购进口产品（但如果因信息不对称等原因，仍有满足需求的国内产品要求参与采购竞争的，不会对其加以限制，仍将按照公平竞争原则实施采购）</w:t>
      </w:r>
      <w:r>
        <w:rPr>
          <w:rFonts w:hint="eastAsia" w:ascii="宋体" w:hAnsi="宋体" w:eastAsia="宋体" w:cs="宋体"/>
          <w:i w:val="0"/>
          <w:iCs w:val="0"/>
          <w:color w:val="auto"/>
          <w:sz w:val="21"/>
          <w:szCs w:val="21"/>
          <w:highlight w:val="none"/>
          <w:lang w:eastAsia="zh-CN"/>
        </w:rPr>
        <w:t>。</w:t>
      </w:r>
    </w:p>
    <w:p w14:paraId="21F80121">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E1167F7">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2.</w:t>
      </w:r>
      <w:r>
        <w:rPr>
          <w:rFonts w:hint="eastAsia" w:ascii="宋体" w:hAnsi="宋体" w:eastAsia="宋体" w:cs="宋体"/>
          <w:b/>
          <w:bCs/>
          <w:i w:val="0"/>
          <w:iCs w:val="0"/>
          <w:color w:val="auto"/>
          <w:sz w:val="21"/>
          <w:szCs w:val="21"/>
          <w:highlight w:val="none"/>
        </w:rPr>
        <w:t>支持绿色发展</w:t>
      </w:r>
    </w:p>
    <w:p w14:paraId="34216549">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采购人拟采购的产品属于</w:t>
      </w:r>
      <w:r>
        <w:rPr>
          <w:rFonts w:hint="eastAsia" w:ascii="宋体" w:hAnsi="宋体" w:eastAsia="宋体" w:cs="宋体"/>
          <w:i w:val="0"/>
          <w:iCs w:val="0"/>
          <w:color w:val="auto"/>
          <w:sz w:val="21"/>
          <w:szCs w:val="21"/>
          <w:highlight w:val="none"/>
          <w:lang w:eastAsia="zh-CN"/>
        </w:rPr>
        <w:t>节能产品、</w:t>
      </w:r>
      <w:r>
        <w:rPr>
          <w:rFonts w:hint="eastAsia" w:ascii="宋体" w:hAnsi="宋体" w:eastAsia="宋体" w:cs="宋体"/>
          <w:i w:val="0"/>
          <w:iCs w:val="0"/>
          <w:color w:val="auto"/>
          <w:sz w:val="21"/>
          <w:szCs w:val="21"/>
          <w:highlight w:val="none"/>
          <w:lang w:val="en-US" w:eastAsia="zh-CN"/>
        </w:rPr>
        <w:t>环境标志产品</w:t>
      </w:r>
      <w:r>
        <w:rPr>
          <w:rFonts w:hint="eastAsia" w:ascii="宋体" w:hAnsi="宋体" w:eastAsia="宋体" w:cs="宋体"/>
          <w:i w:val="0"/>
          <w:iCs w:val="0"/>
          <w:color w:val="auto"/>
          <w:sz w:val="21"/>
          <w:szCs w:val="21"/>
          <w:highlight w:val="none"/>
          <w:lang w:eastAsia="zh-CN"/>
        </w:rPr>
        <w:t>政府采购品目清单</w:t>
      </w:r>
      <w:r>
        <w:rPr>
          <w:rFonts w:hint="eastAsia" w:ascii="宋体" w:hAnsi="宋体" w:eastAsia="宋体" w:cs="宋体"/>
          <w:i w:val="0"/>
          <w:iCs w:val="0"/>
          <w:color w:val="auto"/>
          <w:sz w:val="21"/>
          <w:szCs w:val="21"/>
          <w:highlight w:val="none"/>
        </w:rPr>
        <w:t>范围的，将依据国家确定的认证机构出具的、处于有效期之内的节能产品、环境标志产品认证证书，对获得证书的产品实施政府优先采购或强制采购。</w:t>
      </w:r>
    </w:p>
    <w:p w14:paraId="1F093AB5">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采购人拟采购产品属于节能产品政府采购清单规定必须强制采购的，</w:t>
      </w:r>
      <w:r>
        <w:rPr>
          <w:rFonts w:hint="eastAsia" w:ascii="宋体" w:hAnsi="宋体" w:eastAsia="宋体" w:cs="宋体"/>
          <w:i w:val="0"/>
          <w:iCs w:val="0"/>
          <w:color w:val="auto"/>
          <w:sz w:val="21"/>
          <w:szCs w:val="21"/>
          <w:highlight w:val="none"/>
          <w:u w:val="none"/>
        </w:rPr>
        <w:t>将在</w:t>
      </w:r>
      <w:r>
        <w:rPr>
          <w:rFonts w:hint="eastAsia" w:ascii="宋体" w:hAnsi="宋体" w:eastAsia="宋体" w:cs="宋体"/>
          <w:i w:val="0"/>
          <w:iCs w:val="0"/>
          <w:color w:val="auto"/>
          <w:sz w:val="21"/>
          <w:szCs w:val="21"/>
          <w:highlight w:val="none"/>
          <w:u w:val="none"/>
          <w:lang w:val="en-US" w:eastAsia="zh-CN"/>
        </w:rPr>
        <w:t>磋商文件</w:t>
      </w:r>
      <w:r>
        <w:rPr>
          <w:rFonts w:hint="eastAsia" w:ascii="宋体" w:hAnsi="宋体" w:eastAsia="宋体" w:cs="宋体"/>
          <w:i w:val="0"/>
          <w:iCs w:val="0"/>
          <w:color w:val="auto"/>
          <w:sz w:val="21"/>
          <w:szCs w:val="21"/>
          <w:highlight w:val="none"/>
          <w:u w:val="none"/>
        </w:rPr>
        <w:t>中明确载明</w:t>
      </w:r>
      <w:r>
        <w:rPr>
          <w:rFonts w:hint="eastAsia" w:ascii="宋体" w:hAnsi="宋体" w:eastAsia="宋体" w:cs="宋体"/>
          <w:i w:val="0"/>
          <w:iCs w:val="0"/>
          <w:color w:val="auto"/>
          <w:sz w:val="21"/>
          <w:szCs w:val="21"/>
          <w:highlight w:val="none"/>
        </w:rPr>
        <w:t>，供应商相应的</w:t>
      </w:r>
      <w:r>
        <w:rPr>
          <w:rFonts w:hint="eastAsia" w:ascii="宋体" w:hAnsi="宋体" w:eastAsia="宋体" w:cs="宋体"/>
          <w:i w:val="0"/>
          <w:iCs w:val="0"/>
          <w:color w:val="auto"/>
          <w:sz w:val="21"/>
          <w:szCs w:val="21"/>
          <w:highlight w:val="none"/>
          <w:lang w:val="en-US" w:eastAsia="zh-CN"/>
        </w:rPr>
        <w:t>响应</w:t>
      </w:r>
      <w:r>
        <w:rPr>
          <w:rFonts w:hint="eastAsia" w:ascii="宋体" w:hAnsi="宋体" w:eastAsia="宋体" w:cs="宋体"/>
          <w:i w:val="0"/>
          <w:iCs w:val="0"/>
          <w:color w:val="auto"/>
          <w:sz w:val="21"/>
          <w:szCs w:val="21"/>
          <w:highlight w:val="none"/>
        </w:rPr>
        <w:t>产品须提供国家确定的认证机构出具的、处于有效期之内的节能产品认证证书。</w:t>
      </w:r>
    </w:p>
    <w:p w14:paraId="3500AF22">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3.</w:t>
      </w:r>
      <w:r>
        <w:rPr>
          <w:rFonts w:hint="eastAsia" w:ascii="宋体" w:hAnsi="宋体" w:eastAsia="宋体" w:cs="宋体"/>
          <w:b/>
          <w:bCs/>
          <w:i w:val="0"/>
          <w:iCs w:val="0"/>
          <w:color w:val="auto"/>
          <w:sz w:val="21"/>
          <w:szCs w:val="21"/>
          <w:highlight w:val="none"/>
        </w:rPr>
        <w:t>支持中小企业发展</w:t>
      </w:r>
    </w:p>
    <w:p w14:paraId="1327924A">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3.1 </w:t>
      </w:r>
      <w:r>
        <w:rPr>
          <w:rFonts w:hint="eastAsia" w:ascii="宋体" w:hAnsi="宋体" w:eastAsia="宋体" w:cs="宋体"/>
          <w:i w:val="0"/>
          <w:iCs w:val="0"/>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3D15C379">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3.2 </w:t>
      </w:r>
      <w:r>
        <w:rPr>
          <w:rFonts w:hint="eastAsia" w:ascii="宋体" w:hAnsi="宋体" w:eastAsia="宋体" w:cs="宋体"/>
          <w:i w:val="0"/>
          <w:iCs w:val="0"/>
          <w:color w:val="auto"/>
          <w:sz w:val="21"/>
          <w:szCs w:val="21"/>
          <w:highlight w:val="none"/>
        </w:rPr>
        <w:t>在政府采购活动中，供应商提供的</w:t>
      </w:r>
      <w:r>
        <w:rPr>
          <w:rFonts w:hint="eastAsia" w:ascii="宋体" w:hAnsi="宋体" w:eastAsia="宋体" w:cs="宋体"/>
          <w:i w:val="0"/>
          <w:iCs w:val="0"/>
          <w:color w:val="auto"/>
          <w:sz w:val="21"/>
          <w:szCs w:val="21"/>
          <w:highlight w:val="none"/>
          <w:lang w:val="en-US" w:eastAsia="zh-CN"/>
        </w:rPr>
        <w:t>工程</w:t>
      </w:r>
      <w:r>
        <w:rPr>
          <w:rFonts w:hint="eastAsia" w:ascii="宋体" w:hAnsi="宋体" w:eastAsia="宋体" w:cs="宋体"/>
          <w:i w:val="0"/>
          <w:iCs w:val="0"/>
          <w:color w:val="auto"/>
          <w:sz w:val="21"/>
          <w:szCs w:val="21"/>
          <w:highlight w:val="none"/>
        </w:rPr>
        <w:t>符合下列情形的，享受中小企业扶持政策：</w:t>
      </w:r>
    </w:p>
    <w:p w14:paraId="70196AC0">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在工程采购项目中，工程由中小企业承建，即工程施工单位为中小企业</w:t>
      </w:r>
      <w:r>
        <w:rPr>
          <w:rFonts w:hint="eastAsia" w:cs="宋体"/>
          <w:i w:val="0"/>
          <w:iCs w:val="0"/>
          <w:color w:val="auto"/>
          <w:sz w:val="21"/>
          <w:szCs w:val="21"/>
          <w:highlight w:val="none"/>
          <w:lang w:eastAsia="zh-CN"/>
        </w:rPr>
        <w:t>。</w:t>
      </w:r>
    </w:p>
    <w:p w14:paraId="1BDF6370">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3.3 </w:t>
      </w:r>
      <w:r>
        <w:rPr>
          <w:rFonts w:hint="eastAsia" w:ascii="宋体" w:hAnsi="宋体" w:eastAsia="宋体" w:cs="宋体"/>
          <w:i w:val="0"/>
          <w:iCs w:val="0"/>
          <w:color w:val="auto"/>
          <w:sz w:val="21"/>
          <w:szCs w:val="21"/>
          <w:highlight w:val="none"/>
        </w:rPr>
        <w:t>中小企业享受扶持政策获得政府采购合同的，小微企业不得将合同分包给大中型企业，中型企业不得将合同分包给大型企业。</w:t>
      </w:r>
    </w:p>
    <w:p w14:paraId="3163FBD7">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3.4 </w:t>
      </w:r>
      <w:r>
        <w:rPr>
          <w:rFonts w:hint="eastAsia" w:ascii="宋体" w:hAnsi="宋体" w:eastAsia="宋体" w:cs="宋体"/>
          <w:i w:val="0"/>
          <w:iCs w:val="0"/>
          <w:color w:val="auto"/>
          <w:sz w:val="21"/>
          <w:szCs w:val="21"/>
          <w:highlight w:val="none"/>
        </w:rPr>
        <w:t>以联合体形式参加政府采购活动，联合体各方均为中小企业的，联合体视同中小企业。其中，联合体各方均为小微企业的，联合体视同小微企业。</w:t>
      </w:r>
    </w:p>
    <w:p w14:paraId="1F3A2E58">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3.5 </w:t>
      </w:r>
      <w:r>
        <w:rPr>
          <w:rFonts w:hint="eastAsia" w:ascii="宋体" w:hAnsi="宋体" w:eastAsia="宋体" w:cs="宋体"/>
          <w:i w:val="0"/>
          <w:iCs w:val="0"/>
          <w:color w:val="auto"/>
          <w:sz w:val="21"/>
          <w:szCs w:val="21"/>
          <w:highlight w:val="none"/>
        </w:rPr>
        <w:t>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21B6EB41">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组成联合体或者接受分包合同的中小企业与联合体内其他企业、分包企业之间不得存在直接控股、管理关系。</w:t>
      </w:r>
    </w:p>
    <w:p w14:paraId="3DE1C915">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专门面向中小企业采购的项目或者采购包，不再执行价格评审优惠的扶持政策。</w:t>
      </w:r>
    </w:p>
    <w:p w14:paraId="10A39980">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3.6 </w:t>
      </w:r>
      <w:r>
        <w:rPr>
          <w:rFonts w:hint="eastAsia" w:ascii="宋体" w:hAnsi="宋体" w:eastAsia="宋体" w:cs="宋体"/>
          <w:i w:val="0"/>
          <w:iCs w:val="0"/>
          <w:color w:val="auto"/>
          <w:sz w:val="21"/>
          <w:szCs w:val="21"/>
          <w:highlight w:val="none"/>
        </w:rPr>
        <w:t>未预留份额专门面向中小企业采购的采购项目，以及预留份额项目中的非预留部分采购包，对符合《政府采购促进中小企业发展管理办法》规定的小微企业报价给予（工程项目为5%）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工程项目为2%）的扣除，用扣除后的价格参加评审。组成联合体或者接受分包的小微企业与联合体内其他企业、分包企业之间存在直接控股、管理关系的，不享受价格扣除优惠政策。</w:t>
      </w:r>
    </w:p>
    <w:p w14:paraId="36F16E6F">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3.7 </w:t>
      </w:r>
      <w:r>
        <w:rPr>
          <w:rFonts w:hint="eastAsia" w:ascii="宋体" w:hAnsi="宋体" w:eastAsia="宋体" w:cs="宋体"/>
          <w:color w:val="auto"/>
          <w:sz w:val="21"/>
          <w:szCs w:val="21"/>
          <w:highlight w:val="none"/>
          <w:lang w:eastAsia="zh-CN"/>
        </w:rPr>
        <w:t>中小企业参加政府采购活动，应当出具本办法规定的《中小企业声明函》，否则不得享受相关中小企业扶持政策。</w:t>
      </w:r>
    </w:p>
    <w:p w14:paraId="640D134D">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《中小企业声明函》由参加政府采购活动的供应商出具。以联合体形式参加政府采购活动或者合同分包的，《中小企业声明函》中需填写联合体中的中小企业或签订分包意向协议的中小企业相关信息。</w:t>
      </w:r>
    </w:p>
    <w:p w14:paraId="2834F461">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 xml:space="preserve">3.8 </w:t>
      </w:r>
      <w:r>
        <w:rPr>
          <w:rFonts w:hint="eastAsia" w:ascii="宋体" w:hAnsi="宋体" w:eastAsia="宋体" w:cs="宋体"/>
          <w:i w:val="0"/>
          <w:iCs w:val="0"/>
          <w:color w:val="auto"/>
          <w:sz w:val="21"/>
          <w:szCs w:val="21"/>
          <w:highlight w:val="none"/>
        </w:rPr>
        <w:t>供应商提供《中小企业声明函》内容不实的，属于提供虚假材料谋取中标、成交，依照《中华人民共和国政府采购法》等国家有关规定追究相应责任。</w:t>
      </w:r>
    </w:p>
    <w:p w14:paraId="604622AE">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eastAsia="zh-CN"/>
        </w:rPr>
      </w:pPr>
      <w:r>
        <w:rPr>
          <w:rFonts w:hint="eastAsia" w:ascii="宋体" w:hAnsi="宋体" w:eastAsia="宋体" w:cs="宋体"/>
          <w:i w:val="0"/>
          <w:iCs w:val="0"/>
          <w:color w:val="auto"/>
          <w:sz w:val="21"/>
          <w:szCs w:val="21"/>
          <w:highlight w:val="none"/>
          <w:u w:val="single"/>
          <w:lang w:val="en-US" w:eastAsia="zh-CN"/>
        </w:rPr>
        <w:t>3.9 供应商</w:t>
      </w:r>
      <w:r>
        <w:rPr>
          <w:rFonts w:hint="eastAsia" w:ascii="宋体" w:hAnsi="宋体" w:eastAsia="宋体" w:cs="宋体"/>
          <w:i w:val="0"/>
          <w:iCs w:val="0"/>
          <w:color w:val="auto"/>
          <w:sz w:val="21"/>
          <w:szCs w:val="21"/>
          <w:highlight w:val="none"/>
          <w:u w:val="single"/>
        </w:rPr>
        <w:t>提供的《中小企业声明函》中，企业数据（如从业人员，营业收入，资产总额）有误的，</w:t>
      </w:r>
      <w:r>
        <w:rPr>
          <w:rFonts w:hint="eastAsia" w:ascii="宋体" w:hAnsi="宋体" w:eastAsia="宋体" w:cs="宋体"/>
          <w:i w:val="0"/>
          <w:iCs w:val="0"/>
          <w:color w:val="auto"/>
          <w:sz w:val="21"/>
          <w:szCs w:val="21"/>
          <w:highlight w:val="none"/>
          <w:u w:val="single"/>
          <w:lang w:val="en-US" w:eastAsia="zh-CN"/>
        </w:rPr>
        <w:t>采购组织机构或</w:t>
      </w:r>
      <w:r>
        <w:rPr>
          <w:rFonts w:hint="eastAsia" w:ascii="宋体" w:hAnsi="宋体" w:eastAsia="宋体" w:cs="宋体"/>
          <w:i w:val="0"/>
          <w:iCs w:val="0"/>
          <w:color w:val="auto"/>
          <w:sz w:val="21"/>
          <w:szCs w:val="21"/>
          <w:highlight w:val="none"/>
          <w:u w:val="single"/>
        </w:rPr>
        <w:t>评标委员会可以要求供应商进行澄清、说明。</w:t>
      </w:r>
      <w:r>
        <w:rPr>
          <w:rFonts w:hint="eastAsia" w:ascii="宋体" w:hAnsi="宋体" w:eastAsia="宋体" w:cs="宋体"/>
          <w:i w:val="0"/>
          <w:iCs w:val="0"/>
          <w:color w:val="auto"/>
          <w:sz w:val="21"/>
          <w:szCs w:val="21"/>
          <w:highlight w:val="none"/>
          <w:u w:val="single"/>
          <w:lang w:val="en-US" w:eastAsia="zh-CN"/>
        </w:rPr>
        <w:t>但</w:t>
      </w:r>
      <w:r>
        <w:rPr>
          <w:rFonts w:hint="eastAsia" w:ascii="宋体" w:hAnsi="宋体" w:eastAsia="宋体" w:cs="宋体"/>
          <w:i w:val="0"/>
          <w:iCs w:val="0"/>
          <w:color w:val="auto"/>
          <w:sz w:val="21"/>
          <w:szCs w:val="21"/>
          <w:highlight w:val="none"/>
          <w:u w:val="single"/>
        </w:rPr>
        <w:t>《中小企业声明函》</w:t>
      </w:r>
      <w:r>
        <w:rPr>
          <w:rFonts w:hint="eastAsia" w:ascii="宋体" w:hAnsi="宋体" w:eastAsia="宋体" w:cs="宋体"/>
          <w:i w:val="0"/>
          <w:iCs w:val="0"/>
          <w:color w:val="auto"/>
          <w:sz w:val="21"/>
          <w:szCs w:val="21"/>
          <w:highlight w:val="none"/>
          <w:u w:val="single"/>
          <w:lang w:val="en-US" w:eastAsia="zh-CN"/>
        </w:rPr>
        <w:t>出现下列情形的，</w:t>
      </w:r>
      <w:r>
        <w:rPr>
          <w:rFonts w:hint="eastAsia" w:ascii="宋体" w:hAnsi="宋体" w:eastAsia="宋体" w:cs="宋体"/>
          <w:i w:val="0"/>
          <w:iCs w:val="0"/>
          <w:color w:val="auto"/>
          <w:sz w:val="21"/>
          <w:szCs w:val="21"/>
          <w:highlight w:val="none"/>
          <w:u w:val="single"/>
        </w:rPr>
        <w:t>《中小企业声明函》无效</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rPr>
        <w:t>不享受《政府采购促进中小企业发展管理办法》规定的中小企业扶持政策</w:t>
      </w:r>
      <w:r>
        <w:rPr>
          <w:rFonts w:hint="eastAsia" w:ascii="宋体" w:hAnsi="宋体" w:eastAsia="宋体" w:cs="宋体"/>
          <w:i w:val="0"/>
          <w:iCs w:val="0"/>
          <w:color w:val="auto"/>
          <w:sz w:val="21"/>
          <w:szCs w:val="21"/>
          <w:highlight w:val="none"/>
          <w:u w:val="single"/>
          <w:lang w:eastAsia="zh-CN"/>
        </w:rPr>
        <w:t>：</w:t>
      </w:r>
    </w:p>
    <w:p w14:paraId="5D0E31DD">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1</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内容未包括全部采购标的；</w:t>
      </w:r>
    </w:p>
    <w:p w14:paraId="0495E7ED">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val="en-US" w:eastAsia="zh-CN"/>
        </w:rPr>
        <w:t>（2）</w:t>
      </w:r>
      <w:r>
        <w:rPr>
          <w:rFonts w:hint="eastAsia" w:ascii="宋体" w:hAnsi="宋体" w:eastAsia="宋体" w:cs="宋体"/>
          <w:i w:val="0"/>
          <w:iCs w:val="0"/>
          <w:color w:val="auto"/>
          <w:sz w:val="21"/>
          <w:szCs w:val="21"/>
          <w:highlight w:val="none"/>
          <w:u w:val="single"/>
        </w:rPr>
        <w:t>未填写</w:t>
      </w:r>
      <w:r>
        <w:rPr>
          <w:rFonts w:hint="eastAsia" w:ascii="宋体" w:hAnsi="宋体" w:eastAsia="宋体" w:cs="宋体"/>
          <w:i w:val="0"/>
          <w:iCs w:val="0"/>
          <w:color w:val="auto"/>
          <w:sz w:val="21"/>
          <w:szCs w:val="21"/>
          <w:highlight w:val="none"/>
          <w:u w:val="single"/>
          <w:lang w:val="en-US" w:eastAsia="zh-CN"/>
        </w:rPr>
        <w:t>标的所属</w:t>
      </w:r>
      <w:r>
        <w:rPr>
          <w:rFonts w:hint="eastAsia" w:ascii="宋体" w:hAnsi="宋体" w:eastAsia="宋体" w:cs="宋体"/>
          <w:i w:val="0"/>
          <w:iCs w:val="0"/>
          <w:color w:val="auto"/>
          <w:sz w:val="21"/>
          <w:szCs w:val="21"/>
          <w:highlight w:val="none"/>
          <w:u w:val="single"/>
        </w:rPr>
        <w:t>行业</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rPr>
        <w:t>或者填写</w:t>
      </w:r>
      <w:r>
        <w:rPr>
          <w:rFonts w:hint="eastAsia" w:ascii="宋体" w:hAnsi="宋体" w:eastAsia="宋体" w:cs="宋体"/>
          <w:i w:val="0"/>
          <w:iCs w:val="0"/>
          <w:color w:val="auto"/>
          <w:sz w:val="21"/>
          <w:szCs w:val="21"/>
          <w:highlight w:val="none"/>
          <w:u w:val="single"/>
          <w:lang w:val="en-US" w:eastAsia="zh-CN"/>
        </w:rPr>
        <w:t>的所属</w:t>
      </w:r>
      <w:r>
        <w:rPr>
          <w:rFonts w:hint="eastAsia" w:ascii="宋体" w:hAnsi="宋体" w:eastAsia="宋体" w:cs="宋体"/>
          <w:i w:val="0"/>
          <w:iCs w:val="0"/>
          <w:color w:val="auto"/>
          <w:sz w:val="21"/>
          <w:szCs w:val="21"/>
          <w:highlight w:val="none"/>
          <w:u w:val="single"/>
        </w:rPr>
        <w:t>行业</w:t>
      </w:r>
      <w:r>
        <w:rPr>
          <w:rFonts w:hint="eastAsia" w:ascii="宋体" w:hAnsi="宋体" w:eastAsia="宋体" w:cs="宋体"/>
          <w:i w:val="0"/>
          <w:iCs w:val="0"/>
          <w:color w:val="auto"/>
          <w:sz w:val="21"/>
          <w:szCs w:val="21"/>
          <w:highlight w:val="none"/>
          <w:u w:val="single"/>
          <w:lang w:val="en-US" w:eastAsia="zh-CN"/>
        </w:rPr>
        <w:t>与磋商文件明确的所属行业不一致；</w:t>
      </w:r>
    </w:p>
    <w:p w14:paraId="0BEF1C7C">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eastAsia="zh-CN"/>
        </w:rPr>
      </w:pP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3</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未填写</w:t>
      </w:r>
      <w:r>
        <w:rPr>
          <w:rFonts w:hint="eastAsia" w:ascii="宋体" w:hAnsi="宋体" w:eastAsia="宋体" w:cs="宋体"/>
          <w:i w:val="0"/>
          <w:iCs w:val="0"/>
          <w:color w:val="auto"/>
          <w:sz w:val="21"/>
          <w:szCs w:val="21"/>
          <w:highlight w:val="none"/>
          <w:u w:val="single"/>
        </w:rPr>
        <w:t>企业类型</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填写的企业类型不明确</w:t>
      </w:r>
      <w:r>
        <w:rPr>
          <w:rFonts w:hint="eastAsia" w:ascii="宋体" w:hAnsi="宋体" w:eastAsia="宋体" w:cs="宋体"/>
          <w:i w:val="0"/>
          <w:iCs w:val="0"/>
          <w:color w:val="auto"/>
          <w:sz w:val="21"/>
          <w:szCs w:val="21"/>
          <w:highlight w:val="none"/>
          <w:u w:val="single"/>
        </w:rPr>
        <w:t>或</w:t>
      </w:r>
      <w:r>
        <w:rPr>
          <w:rFonts w:hint="eastAsia" w:ascii="宋体" w:hAnsi="宋体" w:eastAsia="宋体" w:cs="宋体"/>
          <w:i w:val="0"/>
          <w:iCs w:val="0"/>
          <w:color w:val="auto"/>
          <w:sz w:val="21"/>
          <w:szCs w:val="21"/>
          <w:highlight w:val="none"/>
          <w:u w:val="single"/>
          <w:lang w:val="en-US" w:eastAsia="zh-CN"/>
        </w:rPr>
        <w:t>填写</w:t>
      </w:r>
      <w:r>
        <w:rPr>
          <w:rFonts w:hint="eastAsia" w:ascii="宋体" w:hAnsi="宋体" w:eastAsia="宋体" w:cs="宋体"/>
          <w:i w:val="0"/>
          <w:iCs w:val="0"/>
          <w:color w:val="auto"/>
          <w:sz w:val="21"/>
          <w:szCs w:val="21"/>
          <w:highlight w:val="none"/>
          <w:u w:val="single"/>
        </w:rPr>
        <w:t>的企业类型与实际不符</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即：</w:t>
      </w:r>
      <w:r>
        <w:rPr>
          <w:rFonts w:hint="eastAsia" w:ascii="宋体" w:hAnsi="宋体" w:eastAsia="宋体" w:cs="宋体"/>
          <w:i w:val="0"/>
          <w:iCs w:val="0"/>
          <w:color w:val="auto"/>
          <w:sz w:val="21"/>
          <w:szCs w:val="21"/>
          <w:highlight w:val="none"/>
          <w:u w:val="single"/>
        </w:rPr>
        <w:t>企业类型（中型企业、小型企业</w:t>
      </w:r>
      <w:r>
        <w:rPr>
          <w:rFonts w:hint="eastAsia" w:ascii="宋体" w:hAnsi="宋体" w:eastAsia="宋体" w:cs="宋体"/>
          <w:i w:val="0"/>
          <w:iCs w:val="0"/>
          <w:color w:val="auto"/>
          <w:sz w:val="21"/>
          <w:szCs w:val="21"/>
          <w:highlight w:val="none"/>
          <w:u w:val="single"/>
          <w:lang w:val="en-US" w:eastAsia="zh-CN"/>
        </w:rPr>
        <w:t>或</w:t>
      </w:r>
      <w:r>
        <w:rPr>
          <w:rFonts w:hint="eastAsia" w:ascii="宋体" w:hAnsi="宋体" w:eastAsia="宋体" w:cs="宋体"/>
          <w:i w:val="0"/>
          <w:iCs w:val="0"/>
          <w:color w:val="auto"/>
          <w:sz w:val="21"/>
          <w:szCs w:val="21"/>
          <w:highlight w:val="none"/>
          <w:u w:val="single"/>
        </w:rPr>
        <w:t>微型企业）填写错误</w:t>
      </w:r>
      <w:r>
        <w:rPr>
          <w:rFonts w:hint="eastAsia" w:ascii="宋体" w:hAnsi="宋体" w:eastAsia="宋体" w:cs="宋体"/>
          <w:i w:val="0"/>
          <w:iCs w:val="0"/>
          <w:color w:val="auto"/>
          <w:sz w:val="21"/>
          <w:szCs w:val="21"/>
          <w:highlight w:val="none"/>
          <w:u w:val="single"/>
          <w:lang w:eastAsia="zh-CN"/>
        </w:rPr>
        <w:t>）。</w:t>
      </w:r>
    </w:p>
    <w:p w14:paraId="6696F04A">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default"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4</w:t>
      </w:r>
      <w:r>
        <w:rPr>
          <w:rFonts w:hint="eastAsia" w:ascii="宋体" w:hAnsi="宋体" w:eastAsia="宋体" w:cs="宋体"/>
          <w:i w:val="0"/>
          <w:iCs w:val="0"/>
          <w:color w:val="auto"/>
          <w:sz w:val="21"/>
          <w:szCs w:val="21"/>
          <w:highlight w:val="none"/>
          <w:u w:val="single"/>
          <w:lang w:eastAsia="zh-CN"/>
        </w:rPr>
        <w:t>）未填写承建企业</w:t>
      </w:r>
      <w:r>
        <w:rPr>
          <w:rFonts w:hint="eastAsia" w:ascii="宋体" w:hAnsi="宋体" w:eastAsia="宋体" w:cs="宋体"/>
          <w:i w:val="0"/>
          <w:iCs w:val="0"/>
          <w:color w:val="auto"/>
          <w:sz w:val="21"/>
          <w:szCs w:val="21"/>
          <w:highlight w:val="none"/>
          <w:u w:val="single"/>
          <w:lang w:val="en-US" w:eastAsia="zh-CN"/>
        </w:rPr>
        <w:t>名称。</w:t>
      </w:r>
    </w:p>
    <w:p w14:paraId="34538B5D">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lang w:val="en-US" w:eastAsia="zh-CN"/>
        </w:rPr>
        <w:t>供应商声明的类型获得了本不应获得的利益（价格扣除或者资格审查通过）</w:t>
      </w:r>
      <w:r>
        <w:rPr>
          <w:rFonts w:hint="eastAsia" w:ascii="宋体" w:hAnsi="宋体" w:eastAsia="宋体" w:cs="宋体"/>
          <w:i w:val="0"/>
          <w:iCs w:val="0"/>
          <w:color w:val="auto"/>
          <w:sz w:val="21"/>
          <w:szCs w:val="21"/>
          <w:highlight w:val="none"/>
          <w:u w:val="single"/>
        </w:rPr>
        <w:t>，属于提供虚假材料。构成“</w:t>
      </w:r>
      <w:r>
        <w:rPr>
          <w:rFonts w:hint="eastAsia" w:ascii="宋体" w:hAnsi="宋体" w:eastAsia="宋体" w:cs="宋体"/>
          <w:i w:val="0"/>
          <w:iCs w:val="0"/>
          <w:color w:val="auto"/>
          <w:sz w:val="21"/>
          <w:szCs w:val="21"/>
          <w:highlight w:val="none"/>
          <w:u w:val="single"/>
          <w:lang w:val="en-US" w:eastAsia="zh-CN"/>
        </w:rPr>
        <w:t>提供</w:t>
      </w:r>
      <w:r>
        <w:rPr>
          <w:rFonts w:hint="eastAsia" w:ascii="宋体" w:hAnsi="宋体" w:eastAsia="宋体" w:cs="宋体"/>
          <w:i w:val="0"/>
          <w:iCs w:val="0"/>
          <w:color w:val="auto"/>
          <w:sz w:val="21"/>
          <w:szCs w:val="21"/>
          <w:highlight w:val="none"/>
          <w:u w:val="single"/>
        </w:rPr>
        <w:t>虚假材料谋取中标的”，依法承担法律责任。</w:t>
      </w:r>
    </w:p>
    <w:p w14:paraId="3D7F95B5">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4.</w:t>
      </w:r>
      <w:r>
        <w:rPr>
          <w:rFonts w:hint="eastAsia" w:ascii="宋体" w:hAnsi="宋体" w:eastAsia="宋体" w:cs="宋体"/>
          <w:b/>
          <w:bCs/>
          <w:i w:val="0"/>
          <w:iCs w:val="0"/>
          <w:color w:val="auto"/>
          <w:sz w:val="21"/>
          <w:szCs w:val="21"/>
          <w:highlight w:val="none"/>
        </w:rPr>
        <w:t>支持监狱企业发展</w:t>
      </w:r>
    </w:p>
    <w:p w14:paraId="6CA1DFC0">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58455844">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5.</w:t>
      </w:r>
      <w:r>
        <w:rPr>
          <w:rFonts w:hint="eastAsia" w:ascii="宋体" w:hAnsi="宋体" w:eastAsia="宋体" w:cs="宋体"/>
          <w:b/>
          <w:bCs/>
          <w:i w:val="0"/>
          <w:iCs w:val="0"/>
          <w:color w:val="auto"/>
          <w:sz w:val="21"/>
          <w:szCs w:val="21"/>
          <w:highlight w:val="none"/>
        </w:rPr>
        <w:t>促进残疾人就业</w:t>
      </w:r>
    </w:p>
    <w:p w14:paraId="7F1C3619">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符合《关于促进残疾人就业政府采购政策的通知》（财库[2017]141号）规定的条件并提供《残疾人福利性单位声明函》的残疾人福利性单位视同小型、微型企业。</w:t>
      </w:r>
    </w:p>
    <w:p w14:paraId="654DAB1B">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lang w:eastAsia="zh-CN"/>
        </w:rPr>
      </w:pPr>
      <w:r>
        <w:rPr>
          <w:rFonts w:hint="eastAsia" w:ascii="宋体" w:hAnsi="宋体" w:eastAsia="宋体" w:cs="宋体"/>
          <w:b/>
          <w:bCs/>
          <w:i w:val="0"/>
          <w:iCs w:val="0"/>
          <w:color w:val="auto"/>
          <w:sz w:val="21"/>
          <w:szCs w:val="21"/>
          <w:highlight w:val="none"/>
          <w:lang w:val="en-US" w:eastAsia="zh-CN"/>
        </w:rPr>
        <w:t>6.</w:t>
      </w:r>
      <w:r>
        <w:rPr>
          <w:rFonts w:hint="eastAsia" w:ascii="宋体" w:hAnsi="宋体" w:eastAsia="宋体" w:cs="宋体"/>
          <w:b/>
          <w:bCs/>
          <w:i w:val="0"/>
          <w:iCs w:val="0"/>
          <w:color w:val="auto"/>
          <w:sz w:val="21"/>
          <w:szCs w:val="21"/>
          <w:highlight w:val="none"/>
        </w:rPr>
        <w:t>支持创新发展</w:t>
      </w:r>
      <w:r>
        <w:rPr>
          <w:rFonts w:hint="eastAsia" w:ascii="宋体" w:hAnsi="宋体" w:eastAsia="宋体" w:cs="宋体"/>
          <w:b/>
          <w:bCs/>
          <w:i w:val="0"/>
          <w:iCs w:val="0"/>
          <w:color w:val="auto"/>
          <w:sz w:val="21"/>
          <w:szCs w:val="21"/>
          <w:highlight w:val="none"/>
          <w:lang w:eastAsia="zh-CN"/>
        </w:rPr>
        <w:t>（</w:t>
      </w:r>
      <w:r>
        <w:rPr>
          <w:rFonts w:hint="eastAsia" w:ascii="宋体" w:hAnsi="宋体" w:eastAsia="宋体" w:cs="宋体"/>
          <w:b/>
          <w:bCs/>
          <w:i w:val="0"/>
          <w:iCs w:val="0"/>
          <w:color w:val="auto"/>
          <w:sz w:val="21"/>
          <w:szCs w:val="21"/>
          <w:highlight w:val="none"/>
          <w:lang w:val="en-US" w:eastAsia="zh-CN"/>
        </w:rPr>
        <w:t>本项目不适用</w:t>
      </w:r>
      <w:r>
        <w:rPr>
          <w:rFonts w:hint="eastAsia" w:ascii="宋体" w:hAnsi="宋体" w:eastAsia="宋体" w:cs="宋体"/>
          <w:b/>
          <w:bCs/>
          <w:i w:val="0"/>
          <w:iCs w:val="0"/>
          <w:color w:val="auto"/>
          <w:sz w:val="21"/>
          <w:szCs w:val="21"/>
          <w:highlight w:val="none"/>
          <w:lang w:eastAsia="zh-CN"/>
        </w:rPr>
        <w:t>）</w:t>
      </w:r>
    </w:p>
    <w:p w14:paraId="50C89AB9">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采购人优先采购被认定为首台套产品和“制造精品”的自主创新产品。</w:t>
      </w:r>
    </w:p>
    <w:p w14:paraId="4192D36E">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对省级以上主管部门认定的首台套产品，自纳入《省推广应用指导目录》起</w:t>
      </w: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年内参加政府采购活动，视同已具备相应销售业绩，业绩分为满分。</w:t>
      </w:r>
    </w:p>
    <w:p w14:paraId="24BE34BA">
      <w:pPr>
        <w:adjustRightInd w:val="0"/>
        <w:snapToGrid w:val="0"/>
        <w:spacing w:line="288" w:lineRule="auto"/>
        <w:ind w:firstLine="420" w:firstLineChars="200"/>
        <w:jc w:val="left"/>
        <w:rPr>
          <w:rFonts w:cs="Times New Roman"/>
          <w:color w:val="auto"/>
          <w:spacing w:val="-6"/>
          <w:sz w:val="21"/>
          <w:szCs w:val="21"/>
          <w:highlight w:val="none"/>
        </w:rPr>
      </w:pPr>
      <w:r>
        <w:rPr>
          <w:rFonts w:hint="eastAsia" w:ascii="宋体" w:hAnsi="宋体" w:eastAsia="宋体" w:cs="宋体"/>
          <w:i w:val="0"/>
          <w:iCs w:val="0"/>
          <w:color w:val="auto"/>
          <w:sz w:val="21"/>
          <w:szCs w:val="21"/>
          <w:highlight w:val="none"/>
        </w:rPr>
        <w:t>产品核心技术高于国内领先水平，并具有明晰自主知识产权的“制造精品”产品，自认定之日起</w:t>
      </w:r>
      <w:r>
        <w:rPr>
          <w:rFonts w:hint="eastAsia" w:ascii="宋体" w:hAnsi="宋体" w:eastAsia="宋体" w:cs="宋体"/>
          <w:i w:val="0"/>
          <w:iCs w:val="0"/>
          <w:color w:val="auto"/>
          <w:sz w:val="21"/>
          <w:szCs w:val="21"/>
          <w:highlight w:val="none"/>
          <w:lang w:val="en-US" w:eastAsia="zh-CN"/>
        </w:rPr>
        <w:t>2</w:t>
      </w:r>
      <w:r>
        <w:rPr>
          <w:rFonts w:hint="eastAsia" w:ascii="宋体" w:hAnsi="宋体" w:eastAsia="宋体" w:cs="宋体"/>
          <w:i w:val="0"/>
          <w:iCs w:val="0"/>
          <w:color w:val="auto"/>
          <w:sz w:val="21"/>
          <w:szCs w:val="21"/>
          <w:highlight w:val="none"/>
        </w:rPr>
        <w:t>年内视同已具备相应销售业绩，参加政府采购活动时业绩分值为满分。</w:t>
      </w:r>
    </w:p>
    <w:p w14:paraId="0F831084">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35D39201">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14:paraId="532FE6AC">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14:paraId="45FD489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14:paraId="3A1A2B1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14:paraId="7136F26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14:paraId="19C2E99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14:paraId="74FED28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14:paraId="5697F93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14:paraId="2A523C3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14:paraId="3AE98D9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14:paraId="75C83309">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14:paraId="3A43B1D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14:paraId="7793A7D2">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14:paraId="307E1AF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14:paraId="1FD1DCB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14:paraId="478FDAA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14:paraId="38A02CA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14:paraId="2B88B9B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14:paraId="6DC698DB">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4A26EE5">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14:paraId="05DC7378">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14:paraId="108359C8">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14:paraId="217208DD">
      <w:pPr>
        <w:adjustRightInd w:val="0"/>
        <w:snapToGrid w:val="0"/>
        <w:spacing w:line="288" w:lineRule="auto"/>
        <w:ind w:firstLine="396" w:firstLineChars="200"/>
        <w:jc w:val="left"/>
        <w:rPr>
          <w:rFonts w:cs="Times New Roman"/>
          <w:color w:val="auto"/>
          <w:spacing w:val="-6"/>
          <w:sz w:val="21"/>
          <w:szCs w:val="21"/>
          <w:highlight w:val="none"/>
        </w:rPr>
      </w:pPr>
      <w:bookmarkStart w:id="41" w:name="_Hlk97039967"/>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bookmarkEnd w:id="41"/>
    <w:p w14:paraId="3EE8F498">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14:paraId="11F123F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7D8C8A8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42" w:name="_Hlk96329193"/>
      <w:r>
        <w:rPr>
          <w:rFonts w:hint="eastAsia"/>
          <w:color w:val="auto"/>
          <w:sz w:val="21"/>
          <w:szCs w:val="21"/>
          <w:highlight w:val="none"/>
        </w:rPr>
        <w:t>，供应商应写全称。</w:t>
      </w:r>
      <w:bookmarkEnd w:id="42"/>
    </w:p>
    <w:p w14:paraId="2E54148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3.响应文件不得涂改，若有修改错漏处，须由供应商加盖公章，或者由供应商代表签名。响应文件因字迹潦草或表达不清所引起的后果由供应商负责。</w:t>
      </w:r>
    </w:p>
    <w:p w14:paraId="63B0F69B">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14:paraId="01828167">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val="en-US" w:eastAsia="zh-CN"/>
        </w:rPr>
        <w:t>陈培特</w:t>
      </w:r>
      <w:r>
        <w:rPr>
          <w:rFonts w:hint="eastAsia"/>
          <w:b/>
          <w:bCs/>
          <w:color w:val="auto"/>
          <w:sz w:val="21"/>
          <w:szCs w:val="21"/>
          <w:highlight w:val="none"/>
        </w:rPr>
        <w:t>）收，电话：0571-87666115，寄出后将（快递单号、项目名称、公司名称、联系方式等相关信息）发至：zb03@qszb.net，以便查收）。</w:t>
      </w:r>
    </w:p>
    <w:p w14:paraId="18D0B8BB">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14:paraId="7FBF373D">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14:paraId="4734C90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14:paraId="30B42AE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14:paraId="10FDDAB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14:paraId="4A36ABA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14:paraId="639853C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14:paraId="2C59D87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14:paraId="702CE73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14:paraId="045D89B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14:paraId="543D948D">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▲d.供应商仅递交备份响应文件而未将电子加密响应文件成功上传至政府采购云平台的，响应无效。</w:t>
      </w:r>
    </w:p>
    <w:p w14:paraId="3F48345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14:paraId="19763844">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14:paraId="1B4565D8">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14:paraId="046E56B8">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14:paraId="400DFE2C">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14:paraId="13E54087">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14:paraId="5F34BCB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14:paraId="1CD6AC91">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14:paraId="2283CDC9">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14:paraId="5F4CE4DC">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14:paraId="7CE9131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3.最后磋商报价是履行合同的最终价格，有关本项目实施所涉及的一切费用均计入报价。总价不为零，分项报价中部分产品、服务单价为零的，视作已包含在总价中。</w:t>
      </w:r>
    </w:p>
    <w:p w14:paraId="432C5A16">
      <w:pPr>
        <w:adjustRightInd w:val="0"/>
        <w:snapToGrid w:val="0"/>
        <w:spacing w:line="288" w:lineRule="auto"/>
        <w:ind w:firstLine="420" w:firstLineChars="200"/>
        <w:jc w:val="left"/>
        <w:rPr>
          <w:rFonts w:cs="Times New Roman"/>
          <w:color w:val="auto"/>
          <w:sz w:val="21"/>
          <w:szCs w:val="21"/>
          <w:highlight w:val="none"/>
        </w:rPr>
      </w:pPr>
      <w:r>
        <w:rPr>
          <w:rFonts w:hint="eastAsia"/>
          <w:color w:val="auto"/>
          <w:sz w:val="21"/>
          <w:szCs w:val="21"/>
          <w:highlight w:val="none"/>
        </w:rPr>
        <w:t>▲4.采购人将以合同形式有偿取得货物、工程和服务，不接受供应商给予的赠品、回扣或者与采购无关的其他商品、服务。</w:t>
      </w:r>
    </w:p>
    <w:p w14:paraId="7E5BCB51">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14:paraId="69D8471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14:paraId="58793874">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14:paraId="55264AA0">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14:paraId="30532A55">
      <w:pPr>
        <w:adjustRightInd w:val="0"/>
        <w:snapToGrid w:val="0"/>
        <w:spacing w:line="288" w:lineRule="auto"/>
        <w:ind w:firstLine="420" w:firstLineChars="200"/>
        <w:rPr>
          <w:color w:val="auto"/>
          <w:sz w:val="21"/>
          <w:szCs w:val="21"/>
          <w:highlight w:val="none"/>
        </w:rPr>
      </w:pPr>
      <w:bookmarkStart w:id="43" w:name="_Hlk97039899"/>
      <w:r>
        <w:rPr>
          <w:rFonts w:hint="eastAsia"/>
          <w:color w:val="auto"/>
          <w:sz w:val="21"/>
          <w:szCs w:val="21"/>
          <w:highlight w:val="none"/>
        </w:rPr>
        <w:t>未响应磋商文件“▲”标记条款要求的，响应无效。</w:t>
      </w:r>
    </w:p>
    <w:bookmarkEnd w:id="43"/>
    <w:p w14:paraId="0D068D9C">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14:paraId="091CBF0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14:paraId="7019954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14:paraId="13CDEBD3">
      <w:pPr>
        <w:adjustRightInd w:val="0"/>
        <w:snapToGrid w:val="0"/>
        <w:spacing w:line="288" w:lineRule="auto"/>
        <w:ind w:firstLine="420" w:firstLineChars="200"/>
        <w:rPr>
          <w:color w:val="auto"/>
          <w:sz w:val="21"/>
          <w:szCs w:val="21"/>
          <w:highlight w:val="none"/>
        </w:rPr>
      </w:pPr>
      <w:bookmarkStart w:id="44" w:name="_Hlk97039841"/>
      <w:r>
        <w:rPr>
          <w:rFonts w:hint="eastAsia"/>
          <w:color w:val="auto"/>
          <w:sz w:val="21"/>
          <w:szCs w:val="21"/>
          <w:highlight w:val="none"/>
        </w:rPr>
        <w:t>（3）资格文件未按要求签署、盖章的。</w:t>
      </w:r>
    </w:p>
    <w:bookmarkEnd w:id="44"/>
    <w:p w14:paraId="2F31AB60">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14:paraId="67A53945">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14:paraId="61DE12E4">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（2）未提供或未按要求提供响应函、授权委托书、项目经理无在建工程声明函；</w:t>
      </w:r>
    </w:p>
    <w:p w14:paraId="48EBC8B2">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w:t>
      </w:r>
      <w:r>
        <w:rPr>
          <w:color w:val="auto"/>
          <w:sz w:val="21"/>
          <w:szCs w:val="21"/>
          <w:highlight w:val="none"/>
        </w:rPr>
        <w:t>委托授权代表参加</w:t>
      </w:r>
      <w:r>
        <w:rPr>
          <w:rFonts w:hint="eastAsia"/>
          <w:color w:val="auto"/>
          <w:sz w:val="21"/>
          <w:szCs w:val="21"/>
          <w:highlight w:val="none"/>
        </w:rPr>
        <w:t>采购活动</w:t>
      </w:r>
      <w:r>
        <w:rPr>
          <w:color w:val="auto"/>
          <w:sz w:val="21"/>
          <w:szCs w:val="21"/>
          <w:highlight w:val="none"/>
        </w:rPr>
        <w:t>但未提供符合要求的授权代表社保缴纳证明</w:t>
      </w:r>
      <w:r>
        <w:rPr>
          <w:rFonts w:hint="eastAsia"/>
          <w:color w:val="auto"/>
          <w:sz w:val="21"/>
          <w:szCs w:val="21"/>
          <w:highlight w:val="none"/>
        </w:rPr>
        <w:t>；</w:t>
      </w:r>
    </w:p>
    <w:p w14:paraId="09CD31F3">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14:paraId="44100A27">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视为采购人不能接受的附加条件；</w:t>
      </w:r>
    </w:p>
    <w:p w14:paraId="07275221">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）响应技术方案不明确，存在一个或一个以上备选（替代）响应方案的；</w:t>
      </w:r>
    </w:p>
    <w:p w14:paraId="453499FE">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）响应文件含有采购人不能接受的附加条件的；</w:t>
      </w:r>
    </w:p>
    <w:p w14:paraId="2F0CF561">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14:paraId="06973D52">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响应报价评审是指对响应方的工程量清单的范围、数量、报价进行全面审核和对比分析。重点列出投标报价相对于法律法规和采购文件的重大偏差和有无严重的不平衡报价，通过质询、判断作出书面评审意见。）</w:t>
      </w:r>
    </w:p>
    <w:p w14:paraId="5EE6418B">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14:paraId="01A6727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14:paraId="5334696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报价文件</w:t>
      </w:r>
      <w:r>
        <w:rPr>
          <w:color w:val="auto"/>
          <w:sz w:val="21"/>
          <w:szCs w:val="21"/>
          <w:highlight w:val="none"/>
        </w:rPr>
        <w:t>没有编制人员签字、盖章的，或盖章无效的，或存在弄虚作假情况的；</w:t>
      </w:r>
    </w:p>
    <w:p w14:paraId="5EAABD1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4）改变竞争性磋商文件提供的工程量清单（项目编码、计量单位、工程数量、项目特征描述等）的；</w:t>
      </w:r>
    </w:p>
    <w:p w14:paraId="616026B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w:t>
      </w:r>
      <w:r>
        <w:rPr>
          <w:rFonts w:hint="eastAsia"/>
          <w:color w:val="auto"/>
          <w:sz w:val="21"/>
          <w:szCs w:val="21"/>
          <w:highlight w:val="none"/>
        </w:rPr>
        <w:t>供应商</w:t>
      </w:r>
      <w:r>
        <w:rPr>
          <w:color w:val="auto"/>
          <w:sz w:val="21"/>
          <w:szCs w:val="21"/>
          <w:highlight w:val="none"/>
        </w:rPr>
        <w:t>拒绝按磋商小组要求提供报价分析说明和证明材料的；</w:t>
      </w:r>
    </w:p>
    <w:p w14:paraId="5BCE04D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6）工程量清单报价与工、料、机报价及对应的报价分析不相符的，或与本项目的施工组织设计及施工方案明显不匹配的，经磋商小组书面质询，</w:t>
      </w:r>
      <w:r>
        <w:rPr>
          <w:rFonts w:hint="eastAsia"/>
          <w:color w:val="auto"/>
          <w:sz w:val="21"/>
          <w:szCs w:val="21"/>
          <w:highlight w:val="none"/>
        </w:rPr>
        <w:t>供应商</w:t>
      </w:r>
      <w:r>
        <w:rPr>
          <w:color w:val="auto"/>
          <w:sz w:val="21"/>
          <w:szCs w:val="21"/>
          <w:highlight w:val="none"/>
        </w:rPr>
        <w:t>不能说明理由或磋商小组认定其理由不成立的；</w:t>
      </w:r>
    </w:p>
    <w:p w14:paraId="697C831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7）当磋商小组发现其错误达到或超过原总报价0.5%时,将认定其响应文件质量较差,其错误不予修正,作</w:t>
      </w:r>
      <w:r>
        <w:rPr>
          <w:rFonts w:hint="eastAsia"/>
          <w:color w:val="auto"/>
          <w:sz w:val="21"/>
          <w:szCs w:val="21"/>
          <w:highlight w:val="none"/>
        </w:rPr>
        <w:t>响应文件无效</w:t>
      </w:r>
      <w:r>
        <w:rPr>
          <w:color w:val="auto"/>
          <w:sz w:val="21"/>
          <w:szCs w:val="21"/>
          <w:highlight w:val="none"/>
        </w:rPr>
        <w:t>处理；</w:t>
      </w:r>
    </w:p>
    <w:p w14:paraId="043D113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8）供应商根据国家法律法规及自身缴纳规费的实际情况，自主确定其投标费率，但在规费政策平稳过渡期内不得低于标准费率的30%；</w:t>
      </w:r>
    </w:p>
    <w:p w14:paraId="46C96AB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9）法律、法规、规章及现行招投标管理规定必须</w:t>
      </w:r>
      <w:r>
        <w:rPr>
          <w:rFonts w:hint="eastAsia"/>
          <w:color w:val="auto"/>
          <w:sz w:val="21"/>
          <w:szCs w:val="21"/>
          <w:highlight w:val="none"/>
        </w:rPr>
        <w:t>无效</w:t>
      </w:r>
      <w:r>
        <w:rPr>
          <w:color w:val="auto"/>
          <w:sz w:val="21"/>
          <w:szCs w:val="21"/>
          <w:highlight w:val="none"/>
        </w:rPr>
        <w:t>的。</w:t>
      </w:r>
    </w:p>
    <w:p w14:paraId="3D48453B">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240FD99A">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14:paraId="71C50A0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14:paraId="42FE688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14:paraId="56B6EDF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14:paraId="7592DE9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14:paraId="5B6DFC74">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（5）不同供应商的响应文件相互混装。</w:t>
      </w:r>
    </w:p>
    <w:p w14:paraId="096C01EA">
      <w:pPr>
        <w:keepNext w:val="0"/>
        <w:keepLines w:val="0"/>
        <w:pageBreakBefore w:val="0"/>
        <w:widowControl w:val="0"/>
        <w:kinsoku/>
        <w:wordWrap/>
        <w:overflowPunct/>
        <w:topLinePunct w:val="0"/>
        <w:autoSpaceDE/>
        <w:bidi w:val="0"/>
        <w:adjustRightInd w:val="0"/>
        <w:snapToGrid w:val="0"/>
        <w:spacing w:line="288" w:lineRule="auto"/>
        <w:ind w:firstLine="398" w:firstLineChars="200"/>
        <w:textAlignment w:val="auto"/>
        <w:outlineLvl w:val="9"/>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color w:val="auto"/>
          <w:spacing w:val="-6"/>
          <w:sz w:val="21"/>
          <w:szCs w:val="21"/>
          <w:highlight w:val="none"/>
          <w:lang w:val="en-US" w:eastAsia="zh-CN"/>
        </w:rPr>
        <w:t>5.</w:t>
      </w:r>
      <w:r>
        <w:rPr>
          <w:rFonts w:hint="eastAsia" w:ascii="宋体" w:hAnsi="宋体" w:eastAsia="宋体" w:cs="宋体"/>
          <w:b/>
          <w:bCs/>
          <w:i w:val="0"/>
          <w:iCs w:val="0"/>
          <w:color w:val="auto"/>
          <w:sz w:val="21"/>
          <w:szCs w:val="21"/>
          <w:highlight w:val="none"/>
          <w:lang w:val="en-US" w:eastAsia="zh-CN"/>
        </w:rPr>
        <w:t>参与同一个采购包（标项）的供应商存在下列情形之一且无法合理解释的，其</w:t>
      </w:r>
      <w:r>
        <w:rPr>
          <w:rFonts w:hint="eastAsia" w:cs="宋体"/>
          <w:b/>
          <w:bCs/>
          <w:i w:val="0"/>
          <w:iCs w:val="0"/>
          <w:color w:val="auto"/>
          <w:sz w:val="21"/>
          <w:szCs w:val="21"/>
          <w:highlight w:val="none"/>
          <w:lang w:val="en-US" w:eastAsia="zh-CN"/>
        </w:rPr>
        <w:t>响应</w:t>
      </w:r>
      <w:r>
        <w:rPr>
          <w:rFonts w:hint="eastAsia" w:ascii="宋体" w:hAnsi="宋体" w:eastAsia="宋体" w:cs="宋体"/>
          <w:b/>
          <w:bCs/>
          <w:i w:val="0"/>
          <w:iCs w:val="0"/>
          <w:color w:val="auto"/>
          <w:sz w:val="21"/>
          <w:szCs w:val="21"/>
          <w:highlight w:val="none"/>
          <w:lang w:val="en-US" w:eastAsia="zh-CN"/>
        </w:rPr>
        <w:t>文件无效：</w:t>
      </w:r>
    </w:p>
    <w:p w14:paraId="6DF934AF">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（1）不同供应商的电子响应文件上传计算机的网卡MAC地址或硬盘序列号等硬件信息相同的；</w:t>
      </w:r>
    </w:p>
    <w:p w14:paraId="54AF32A1">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（2）上传的电子响应文件若出现使用本项目其他响应供应商的数字证书加密的，或者加盖本项目其他响应供应商的电子印章的；</w:t>
      </w:r>
    </w:p>
    <w:p w14:paraId="0908E50B">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（3）不同供应商的响应文件的内容存在3处（含）以上错误一致的；</w:t>
      </w:r>
    </w:p>
    <w:p w14:paraId="00A85705">
      <w:pPr>
        <w:adjustRightInd w:val="0"/>
        <w:snapToGrid w:val="0"/>
        <w:spacing w:line="288" w:lineRule="auto"/>
        <w:ind w:firstLine="420" w:firstLineChars="200"/>
        <w:rPr>
          <w:rFonts w:hint="eastAsia"/>
          <w:color w:val="auto"/>
          <w:sz w:val="21"/>
          <w:szCs w:val="21"/>
          <w:highlight w:val="none"/>
        </w:rPr>
      </w:pPr>
      <w:r>
        <w:rPr>
          <w:rFonts w:hint="eastAsia" w:ascii="宋体" w:hAnsi="宋体" w:eastAsia="宋体" w:cs="宋体"/>
          <w:i w:val="0"/>
          <w:iCs w:val="0"/>
          <w:color w:val="auto"/>
          <w:sz w:val="21"/>
          <w:szCs w:val="21"/>
          <w:highlight w:val="none"/>
          <w:lang w:val="en-US" w:eastAsia="zh-CN"/>
        </w:rPr>
        <w:t>（4）不同供应商联系人为同一人或不同联系人的联系电话一致的。</w:t>
      </w:r>
    </w:p>
    <w:p w14:paraId="7F21009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br w:type="page"/>
      </w:r>
    </w:p>
    <w:p w14:paraId="1E45AA32">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14:paraId="2BF38986">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14:paraId="2B18246E">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14:paraId="3BEE01DA">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14:paraId="077C1276">
      <w:pPr>
        <w:adjustRightInd w:val="0"/>
        <w:snapToGrid w:val="0"/>
        <w:spacing w:line="288" w:lineRule="auto"/>
        <w:ind w:firstLine="398" w:firstLineChars="200"/>
        <w:rPr>
          <w:rFonts w:cs="Times New Roman"/>
          <w:b/>
          <w:bCs/>
          <w:color w:val="auto"/>
          <w:spacing w:val="-6"/>
          <w:sz w:val="21"/>
          <w:szCs w:val="21"/>
          <w:highlight w:val="none"/>
        </w:rPr>
      </w:pPr>
    </w:p>
    <w:p w14:paraId="31896CA0">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14:paraId="79833F46">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3B2C8EAB">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14:paraId="53A9283E">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EC86A55">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14:paraId="045E9C52">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14:paraId="44155D2C">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14:paraId="28C6C93D">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14:paraId="37035454">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w:t>
      </w:r>
      <w:r>
        <w:rPr>
          <w:rFonts w:hint="eastAsia" w:cs="仿宋_GB2312"/>
          <w:color w:val="auto"/>
          <w:sz w:val="21"/>
          <w:szCs w:val="21"/>
          <w:highlight w:val="none"/>
        </w:rPr>
        <w:t>评审</w:t>
      </w:r>
      <w:r>
        <w:rPr>
          <w:rFonts w:cs="仿宋_GB2312"/>
          <w:color w:val="auto"/>
          <w:sz w:val="21"/>
          <w:szCs w:val="21"/>
          <w:highlight w:val="none"/>
        </w:rPr>
        <w:t>。</w:t>
      </w:r>
    </w:p>
    <w:p w14:paraId="4851D41F">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14:paraId="2ADC8EF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根据财库</w:t>
      </w:r>
      <w:r>
        <w:rPr>
          <w:color w:val="auto"/>
          <w:sz w:val="21"/>
          <w:szCs w:val="21"/>
          <w:highlight w:val="none"/>
        </w:rPr>
        <w:t>[2016]125号《关于在政府采购活动中查询及使用信用记录有关问题的通知》要求，采购代理机构会对供应商信用记录进行查询并甄别。信用信息查询的截止时点：响应截止时间；</w:t>
      </w:r>
    </w:p>
    <w:p w14:paraId="6B21408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14:paraId="1CA10DA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14:paraId="1C5AE40C">
      <w:pPr>
        <w:adjustRightInd w:val="0"/>
        <w:snapToGrid w:val="0"/>
        <w:spacing w:line="288" w:lineRule="auto"/>
        <w:ind w:firstLine="422" w:firstLineChars="201"/>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14:paraId="20C49F40">
      <w:pPr>
        <w:adjustRightInd w:val="0"/>
        <w:snapToGrid w:val="0"/>
        <w:spacing w:line="288" w:lineRule="auto"/>
        <w:ind w:firstLine="422" w:firstLineChars="201"/>
        <w:rPr>
          <w:color w:val="auto"/>
          <w:kern w:val="0"/>
          <w:sz w:val="21"/>
          <w:szCs w:val="21"/>
          <w:highlight w:val="none"/>
        </w:rPr>
      </w:pPr>
      <w:r>
        <w:rPr>
          <w:rFonts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仿宋_GB2312"/>
          <w:color w:val="auto"/>
          <w:sz w:val="21"/>
          <w:szCs w:val="21"/>
          <w:highlight w:val="none"/>
        </w:rPr>
        <w:t>。</w:t>
      </w:r>
    </w:p>
    <w:p w14:paraId="7DC0E74F">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14:paraId="6139A1EB">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14:paraId="59DDB66A">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14:paraId="2BC9BF9B">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14:paraId="151D7FD0">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49062C08">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14:paraId="42DD7CEC">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提交磋商记录，并由供应商代表签名或者加盖公章。</w:t>
      </w:r>
    </w:p>
    <w:p w14:paraId="340DF5A9">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w:t>
      </w:r>
      <w:r>
        <w:rPr>
          <w:color w:val="auto"/>
          <w:kern w:val="0"/>
          <w:sz w:val="21"/>
          <w:szCs w:val="21"/>
          <w:highlight w:val="none"/>
        </w:rPr>
        <w:t>zb03@qszb.net）或传真号码（0571-87666116）提交。</w:t>
      </w:r>
    </w:p>
    <w:p w14:paraId="67DBCB75">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14:paraId="6A37AD7A">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14:paraId="4855381C">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14:paraId="17CBD601">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）第三条第四项情形的，提交最后报价的供应商可以为</w:t>
      </w:r>
      <w:r>
        <w:rPr>
          <w:rFonts w:cs="Arial"/>
          <w:color w:val="auto"/>
          <w:kern w:val="0"/>
          <w:sz w:val="21"/>
          <w:szCs w:val="21"/>
          <w:highlight w:val="none"/>
        </w:rPr>
        <w:t>2家。</w:t>
      </w:r>
    </w:p>
    <w:p w14:paraId="765DC4A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4" w:firstLineChars="200"/>
        <w:jc w:val="both"/>
        <w:textAlignment w:val="auto"/>
        <w:rPr>
          <w:rFonts w:hint="eastAsia" w:ascii="宋体" w:hAnsi="宋体" w:eastAsia="宋体" w:cs="宋体"/>
          <w:b/>
          <w:bCs/>
          <w:i w:val="0"/>
          <w:iCs w:val="0"/>
          <w:caps w:val="0"/>
          <w:color w:val="auto"/>
          <w:spacing w:val="-2"/>
          <w:kern w:val="0"/>
          <w:sz w:val="21"/>
          <w:szCs w:val="21"/>
          <w:highlight w:val="none"/>
          <w:shd w:val="clear" w:fill="FFFFFF"/>
          <w:lang w:val="en-US" w:eastAsia="zh-CN" w:bidi="ar"/>
        </w:rPr>
      </w:pP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评审中出现下列情形之一的，</w:t>
      </w:r>
      <w:r>
        <w:rPr>
          <w:rFonts w:hint="eastAsia" w:cs="宋体"/>
          <w:b/>
          <w:bCs/>
          <w:i w:val="0"/>
          <w:iCs w:val="0"/>
          <w:caps w:val="0"/>
          <w:color w:val="auto"/>
          <w:spacing w:val="-2"/>
          <w:kern w:val="0"/>
          <w:sz w:val="21"/>
          <w:szCs w:val="21"/>
          <w:highlight w:val="none"/>
          <w:shd w:val="clear" w:fill="FFFFFF"/>
          <w:lang w:val="en-US" w:eastAsia="zh-CN" w:bidi="ar"/>
        </w:rPr>
        <w:t>磋商</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应当启动异常低价</w:t>
      </w:r>
      <w:r>
        <w:rPr>
          <w:rFonts w:hint="eastAsia" w:cs="宋体"/>
          <w:b/>
          <w:bCs/>
          <w:i w:val="0"/>
          <w:iCs w:val="0"/>
          <w:caps w:val="0"/>
          <w:color w:val="auto"/>
          <w:spacing w:val="-2"/>
          <w:kern w:val="0"/>
          <w:sz w:val="21"/>
          <w:szCs w:val="21"/>
          <w:highlight w:val="none"/>
          <w:shd w:val="clear" w:fill="FFFFFF"/>
          <w:lang w:val="en-US" w:eastAsia="zh-CN" w:bidi="ar"/>
        </w:rPr>
        <w:t>响应</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审查程序：</w:t>
      </w:r>
    </w:p>
    <w:p w14:paraId="4AFA807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4" w:firstLineChars="200"/>
        <w:jc w:val="both"/>
        <w:textAlignment w:val="auto"/>
        <w:rPr>
          <w:rFonts w:hint="eastAsia" w:ascii="宋体" w:hAnsi="宋体" w:eastAsia="宋体" w:cs="宋体"/>
          <w:b/>
          <w:bCs/>
          <w:i w:val="0"/>
          <w:iCs w:val="0"/>
          <w:caps w:val="0"/>
          <w:color w:val="auto"/>
          <w:spacing w:val="-2"/>
          <w:kern w:val="0"/>
          <w:sz w:val="21"/>
          <w:szCs w:val="21"/>
          <w:highlight w:val="none"/>
          <w:shd w:val="clear" w:fill="FFFFFF"/>
          <w:lang w:val="en-US" w:eastAsia="zh-CN" w:bidi="ar"/>
        </w:rPr>
      </w:pP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（一）</w:t>
      </w:r>
      <w:r>
        <w:rPr>
          <w:rFonts w:hint="eastAsia" w:cs="宋体"/>
          <w:b/>
          <w:bCs/>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低于全部通过符合性审查供应商</w:t>
      </w:r>
      <w:r>
        <w:rPr>
          <w:rFonts w:hint="eastAsia" w:cs="宋体"/>
          <w:b/>
          <w:bCs/>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平均值50%的，即</w:t>
      </w:r>
      <w:r>
        <w:rPr>
          <w:rFonts w:hint="eastAsia" w:cs="宋体"/>
          <w:b/>
          <w:bCs/>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&lt;全部通过符合性审查供应商</w:t>
      </w:r>
      <w:r>
        <w:rPr>
          <w:rFonts w:hint="eastAsia" w:cs="宋体"/>
          <w:b/>
          <w:bCs/>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平均值×50%；</w:t>
      </w:r>
    </w:p>
    <w:p w14:paraId="68F9E37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4" w:firstLineChars="200"/>
        <w:jc w:val="both"/>
        <w:textAlignment w:val="auto"/>
        <w:rPr>
          <w:rFonts w:hint="eastAsia" w:ascii="宋体" w:hAnsi="宋体" w:eastAsia="宋体" w:cs="宋体"/>
          <w:b/>
          <w:bCs/>
          <w:i w:val="0"/>
          <w:iCs w:val="0"/>
          <w:caps w:val="0"/>
          <w:color w:val="auto"/>
          <w:spacing w:val="-2"/>
          <w:kern w:val="0"/>
          <w:sz w:val="21"/>
          <w:szCs w:val="21"/>
          <w:highlight w:val="none"/>
          <w:shd w:val="clear" w:fill="FFFFFF"/>
          <w:lang w:val="en-US" w:eastAsia="zh-CN" w:bidi="ar"/>
        </w:rPr>
      </w:pP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（二）</w:t>
      </w:r>
      <w:r>
        <w:rPr>
          <w:rFonts w:hint="eastAsia" w:cs="宋体"/>
          <w:b/>
          <w:bCs/>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低于通过符合性审查且报价次低供应商</w:t>
      </w:r>
      <w:r>
        <w:rPr>
          <w:rFonts w:hint="eastAsia" w:cs="宋体"/>
          <w:b/>
          <w:bCs/>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50%的，即</w:t>
      </w:r>
      <w:r>
        <w:rPr>
          <w:rFonts w:hint="eastAsia" w:cs="宋体"/>
          <w:b/>
          <w:bCs/>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&lt;通过符合性审查且报价次低供应商</w:t>
      </w:r>
      <w:r>
        <w:rPr>
          <w:rFonts w:hint="eastAsia" w:cs="宋体"/>
          <w:b/>
          <w:bCs/>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×50%；</w:t>
      </w:r>
    </w:p>
    <w:p w14:paraId="7D3578A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4" w:firstLineChars="200"/>
        <w:jc w:val="both"/>
        <w:textAlignment w:val="auto"/>
        <w:rPr>
          <w:rFonts w:hint="eastAsia" w:ascii="宋体" w:hAnsi="宋体" w:eastAsia="宋体" w:cs="宋体"/>
          <w:b/>
          <w:bCs/>
          <w:i w:val="0"/>
          <w:iCs w:val="0"/>
          <w:caps w:val="0"/>
          <w:color w:val="auto"/>
          <w:spacing w:val="-2"/>
          <w:kern w:val="0"/>
          <w:sz w:val="21"/>
          <w:szCs w:val="21"/>
          <w:highlight w:val="none"/>
          <w:shd w:val="clear" w:fill="FFFFFF"/>
          <w:lang w:val="en-US" w:eastAsia="zh-CN" w:bidi="ar"/>
        </w:rPr>
      </w:pP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（三）</w:t>
      </w:r>
      <w:r>
        <w:rPr>
          <w:rFonts w:hint="eastAsia" w:cs="宋体"/>
          <w:b/>
          <w:bCs/>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低于采购项目最高限价45%的，即</w:t>
      </w:r>
      <w:r>
        <w:rPr>
          <w:rFonts w:hint="eastAsia" w:cs="宋体"/>
          <w:b/>
          <w:bCs/>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&lt;采购项目最高限价×45%；</w:t>
      </w:r>
    </w:p>
    <w:p w14:paraId="358D650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4" w:firstLineChars="200"/>
        <w:jc w:val="both"/>
        <w:textAlignment w:val="auto"/>
        <w:rPr>
          <w:rFonts w:hint="eastAsia" w:ascii="宋体" w:hAnsi="宋体" w:eastAsia="宋体" w:cs="宋体"/>
          <w:b/>
          <w:bCs/>
          <w:i w:val="0"/>
          <w:iCs w:val="0"/>
          <w:caps w:val="0"/>
          <w:color w:val="auto"/>
          <w:spacing w:val="-2"/>
          <w:kern w:val="0"/>
          <w:sz w:val="21"/>
          <w:szCs w:val="21"/>
          <w:highlight w:val="none"/>
          <w:shd w:val="clear" w:fill="FFFFFF"/>
          <w:lang w:val="en-US" w:eastAsia="zh-CN" w:bidi="ar"/>
        </w:rPr>
      </w:pP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（四）其他</w:t>
      </w:r>
      <w:r>
        <w:rPr>
          <w:rFonts w:hint="eastAsia" w:cs="宋体"/>
          <w:b/>
          <w:bCs/>
          <w:i w:val="0"/>
          <w:iCs w:val="0"/>
          <w:caps w:val="0"/>
          <w:color w:val="auto"/>
          <w:spacing w:val="-2"/>
          <w:kern w:val="0"/>
          <w:sz w:val="21"/>
          <w:szCs w:val="21"/>
          <w:highlight w:val="none"/>
          <w:shd w:val="clear" w:fill="FFFFFF"/>
          <w:lang w:val="en-US" w:eastAsia="zh-CN" w:bidi="ar"/>
        </w:rPr>
        <w:t>磋商小组</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认为供应商报价过低，有可能影响产品质量或者不能诚信履约的情形。</w:t>
      </w:r>
    </w:p>
    <w:p w14:paraId="344725F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4" w:firstLineChars="200"/>
        <w:jc w:val="both"/>
        <w:textAlignment w:val="auto"/>
        <w:rPr>
          <w:rFonts w:hint="eastAsia" w:ascii="宋体" w:hAnsi="宋体" w:eastAsia="宋体" w:cs="宋体"/>
          <w:b/>
          <w:bCs/>
          <w:i w:val="0"/>
          <w:iCs w:val="0"/>
          <w:caps w:val="0"/>
          <w:color w:val="auto"/>
          <w:spacing w:val="-2"/>
          <w:kern w:val="0"/>
          <w:sz w:val="21"/>
          <w:szCs w:val="21"/>
          <w:highlight w:val="none"/>
          <w:shd w:val="clear" w:fill="FFFFFF"/>
          <w:lang w:val="en-US" w:eastAsia="zh-CN" w:bidi="ar"/>
        </w:rPr>
      </w:pPr>
      <w:r>
        <w:rPr>
          <w:rFonts w:hint="eastAsia" w:cs="宋体"/>
          <w:b/>
          <w:bCs/>
          <w:i w:val="0"/>
          <w:iCs w:val="0"/>
          <w:caps w:val="0"/>
          <w:color w:val="auto"/>
          <w:spacing w:val="-2"/>
          <w:kern w:val="0"/>
          <w:sz w:val="21"/>
          <w:szCs w:val="21"/>
          <w:highlight w:val="none"/>
          <w:shd w:val="clear" w:fill="FFFFFF"/>
          <w:lang w:val="en-US" w:eastAsia="zh-CN" w:bidi="ar"/>
        </w:rPr>
        <w:t>磋商小组</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启动异常低价</w:t>
      </w:r>
      <w:r>
        <w:rPr>
          <w:rFonts w:hint="eastAsia" w:cs="宋体"/>
          <w:b/>
          <w:bCs/>
          <w:i w:val="0"/>
          <w:iCs w:val="0"/>
          <w:caps w:val="0"/>
          <w:color w:val="auto"/>
          <w:spacing w:val="-2"/>
          <w:kern w:val="0"/>
          <w:sz w:val="21"/>
          <w:szCs w:val="21"/>
          <w:highlight w:val="none"/>
          <w:shd w:val="clear" w:fill="FFFFFF"/>
          <w:lang w:val="en-US" w:eastAsia="zh-CN" w:bidi="ar"/>
        </w:rPr>
        <w:t>响应</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审查后，</w:t>
      </w:r>
      <w:r>
        <w:rPr>
          <w:rFonts w:hint="eastAsia" w:ascii="宋体" w:hAnsi="宋体" w:eastAsia="宋体" w:cs="宋体"/>
          <w:b/>
          <w:bCs/>
          <w:i w:val="0"/>
          <w:iCs w:val="0"/>
          <w:caps w:val="0"/>
          <w:color w:val="auto"/>
          <w:spacing w:val="-2"/>
          <w:kern w:val="0"/>
          <w:sz w:val="21"/>
          <w:szCs w:val="21"/>
          <w:highlight w:val="none"/>
          <w:u w:val="single"/>
          <w:shd w:val="clear" w:fill="FFFFFF"/>
          <w:lang w:val="en-US" w:eastAsia="zh-CN" w:bidi="ar"/>
        </w:rPr>
        <w:t>应当要求相关供应商在评审现场合理的时间内提供书面说明及必要的证明材料，对</w:t>
      </w:r>
      <w:r>
        <w:rPr>
          <w:rFonts w:hint="eastAsia" w:cs="宋体"/>
          <w:b/>
          <w:bCs/>
          <w:i w:val="0"/>
          <w:iCs w:val="0"/>
          <w:caps w:val="0"/>
          <w:color w:val="auto"/>
          <w:spacing w:val="-2"/>
          <w:kern w:val="0"/>
          <w:sz w:val="21"/>
          <w:szCs w:val="21"/>
          <w:highlight w:val="none"/>
          <w:u w:val="single"/>
          <w:shd w:val="clear" w:fill="FFFFFF"/>
          <w:lang w:val="en-US" w:eastAsia="zh-CN" w:bidi="ar"/>
        </w:rPr>
        <w:t>响应</w:t>
      </w:r>
      <w:r>
        <w:rPr>
          <w:rFonts w:hint="eastAsia" w:ascii="宋体" w:hAnsi="宋体" w:eastAsia="宋体" w:cs="宋体"/>
          <w:b/>
          <w:bCs/>
          <w:i w:val="0"/>
          <w:iCs w:val="0"/>
          <w:caps w:val="0"/>
          <w:color w:val="auto"/>
          <w:spacing w:val="-2"/>
          <w:kern w:val="0"/>
          <w:sz w:val="21"/>
          <w:szCs w:val="21"/>
          <w:highlight w:val="none"/>
          <w:u w:val="single"/>
          <w:shd w:val="clear" w:fill="FFFFFF"/>
          <w:lang w:val="en-US" w:eastAsia="zh-CN" w:bidi="ar"/>
        </w:rPr>
        <w:t>价格作出解释。</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书面说明、证明材料主要是项目具体成本测算等与报价合理性相关的说明、材料。</w:t>
      </w:r>
    </w:p>
    <w:p w14:paraId="3DF503F5">
      <w:pPr>
        <w:adjustRightInd w:val="0"/>
        <w:snapToGrid w:val="0"/>
        <w:spacing w:line="288" w:lineRule="auto"/>
        <w:ind w:firstLine="418" w:firstLineChars="202"/>
        <w:rPr>
          <w:rFonts w:cs="Arial"/>
          <w:b/>
          <w:bCs/>
          <w:color w:val="auto"/>
          <w:kern w:val="0"/>
          <w:sz w:val="21"/>
          <w:szCs w:val="21"/>
          <w:highlight w:val="none"/>
        </w:rPr>
      </w:pPr>
      <w:r>
        <w:rPr>
          <w:rFonts w:hint="eastAsia" w:cs="宋体"/>
          <w:b/>
          <w:bCs/>
          <w:i w:val="0"/>
          <w:iCs w:val="0"/>
          <w:caps w:val="0"/>
          <w:color w:val="auto"/>
          <w:spacing w:val="-2"/>
          <w:kern w:val="0"/>
          <w:sz w:val="21"/>
          <w:szCs w:val="21"/>
          <w:highlight w:val="none"/>
          <w:shd w:val="clear" w:fill="FFFFFF"/>
          <w:lang w:val="en-US" w:eastAsia="zh-CN" w:bidi="ar"/>
        </w:rPr>
        <w:t>磋商小组</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应当</w:t>
      </w:r>
      <w:r>
        <w:rPr>
          <w:rFonts w:hint="eastAsia" w:ascii="宋体" w:hAnsi="宋体" w:eastAsia="宋体" w:cs="宋体"/>
          <w:b/>
          <w:bCs/>
          <w:i w:val="0"/>
          <w:iCs w:val="0"/>
          <w:caps w:val="0"/>
          <w:color w:val="auto"/>
          <w:spacing w:val="-2"/>
          <w:kern w:val="0"/>
          <w:sz w:val="21"/>
          <w:szCs w:val="21"/>
          <w:highlight w:val="none"/>
          <w:u w:val="single"/>
          <w:shd w:val="clear" w:fill="FFFFFF"/>
          <w:lang w:val="en-US" w:eastAsia="zh-CN" w:bidi="ar"/>
        </w:rPr>
        <w:t>结合同类产品在主要电商平台的价格、该行业当地薪资水平等情况，依据专业经验对报价合理性进行判断。</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如果</w:t>
      </w:r>
      <w:r>
        <w:rPr>
          <w:rFonts w:hint="eastAsia" w:cs="宋体"/>
          <w:b/>
          <w:bCs/>
          <w:i w:val="0"/>
          <w:iCs w:val="0"/>
          <w:caps w:val="0"/>
          <w:color w:val="auto"/>
          <w:spacing w:val="-2"/>
          <w:kern w:val="0"/>
          <w:sz w:val="21"/>
          <w:szCs w:val="21"/>
          <w:highlight w:val="none"/>
          <w:shd w:val="clear" w:fill="FFFFFF"/>
          <w:lang w:val="en-US" w:eastAsia="zh-CN" w:bidi="ar"/>
        </w:rPr>
        <w:t>响应</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供应商不提供书面说明、证明材料，或者提供的书面说明、证明材料不能证明其报价合理性的，应当将其作为无效</w:t>
      </w:r>
      <w:r>
        <w:rPr>
          <w:rFonts w:hint="eastAsia" w:cs="宋体"/>
          <w:b/>
          <w:bCs/>
          <w:i w:val="0"/>
          <w:iCs w:val="0"/>
          <w:caps w:val="0"/>
          <w:color w:val="auto"/>
          <w:spacing w:val="-2"/>
          <w:kern w:val="0"/>
          <w:sz w:val="21"/>
          <w:szCs w:val="21"/>
          <w:highlight w:val="none"/>
          <w:shd w:val="clear" w:fill="FFFFFF"/>
          <w:lang w:val="en-US" w:eastAsia="zh-CN" w:bidi="ar"/>
        </w:rPr>
        <w:t>响应</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处理。审查相关情况应当在评审报告中记录。</w:t>
      </w:r>
    </w:p>
    <w:p w14:paraId="6C9FD44B">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14:paraId="38690207">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14:paraId="2386DDB3">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14:paraId="670E3004">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14:paraId="0C5AE84E">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14:paraId="0A75D662">
      <w:pPr>
        <w:adjustRightInd w:val="0"/>
        <w:snapToGrid w:val="0"/>
        <w:spacing w:line="288" w:lineRule="auto"/>
        <w:ind w:firstLine="424" w:firstLineChars="202"/>
        <w:rPr>
          <w:rFonts w:cs="Arial"/>
          <w:color w:val="auto"/>
          <w:kern w:val="0"/>
          <w:sz w:val="21"/>
          <w:szCs w:val="21"/>
          <w:highlight w:val="none"/>
        </w:rPr>
      </w:pPr>
      <w:bookmarkStart w:id="45"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5"/>
    <w:p w14:paraId="568AAA37">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14:paraId="5E869091">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14:paraId="70F4AD68">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w:t>
      </w:r>
      <w:r>
        <w:rPr>
          <w:rFonts w:hint="eastAsia" w:cs="Arial"/>
          <w:b/>
          <w:color w:val="auto"/>
          <w:kern w:val="0"/>
          <w:sz w:val="21"/>
          <w:szCs w:val="21"/>
          <w:highlight w:val="none"/>
        </w:rPr>
        <w:t>评审</w:t>
      </w:r>
      <w:r>
        <w:rPr>
          <w:rFonts w:cs="Arial"/>
          <w:b/>
          <w:color w:val="auto"/>
          <w:kern w:val="0"/>
          <w:sz w:val="21"/>
          <w:szCs w:val="21"/>
          <w:highlight w:val="none"/>
        </w:rPr>
        <w:t>报告</w:t>
      </w:r>
    </w:p>
    <w:p w14:paraId="09506F52">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6880E98D">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14:paraId="097DDA9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14:paraId="1F62A54F">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14:paraId="506ED8DC">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14:paraId="7AE45EBD">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14:paraId="414288C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01A58DD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14:paraId="1A30F922">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14:paraId="4527B39C">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14:paraId="43640F55">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5F74D71E">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321C122B">
      <w:pPr>
        <w:adjustRightInd w:val="0"/>
        <w:snapToGrid w:val="0"/>
        <w:spacing w:line="288" w:lineRule="auto"/>
        <w:rPr>
          <w:color w:val="auto"/>
          <w:sz w:val="21"/>
          <w:szCs w:val="21"/>
          <w:highlight w:val="none"/>
        </w:rPr>
      </w:pPr>
    </w:p>
    <w:p w14:paraId="1E455EA4">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14:paraId="7B47F770">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09DEC7A">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14:paraId="6BA66AD7">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1D9476D">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4C95DF73">
      <w:pPr>
        <w:adjustRightInd w:val="0"/>
        <w:snapToGrid w:val="0"/>
        <w:spacing w:line="288" w:lineRule="auto"/>
        <w:rPr>
          <w:color w:val="auto"/>
          <w:sz w:val="21"/>
          <w:szCs w:val="21"/>
          <w:highlight w:val="none"/>
        </w:rPr>
      </w:pPr>
    </w:p>
    <w:p w14:paraId="37DBD415">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14:paraId="535BA08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14:paraId="64DE724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14:paraId="4C2C73B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14:paraId="18C8DC1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14:paraId="2A19DDE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14:paraId="38E2B32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14:paraId="3CF3480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14:paraId="75E01807">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14:paraId="6BE9C80F">
      <w:pPr>
        <w:adjustRightInd w:val="0"/>
        <w:snapToGrid w:val="0"/>
        <w:spacing w:line="288" w:lineRule="auto"/>
        <w:rPr>
          <w:b/>
          <w:bCs/>
          <w:color w:val="auto"/>
          <w:sz w:val="21"/>
          <w:szCs w:val="21"/>
          <w:highlight w:val="none"/>
        </w:rPr>
      </w:pPr>
      <w:r>
        <w:rPr>
          <w:rFonts w:hint="eastAsia"/>
          <w:b/>
          <w:bCs/>
          <w:color w:val="auto"/>
          <w:sz w:val="21"/>
          <w:szCs w:val="21"/>
          <w:highlight w:val="none"/>
        </w:rPr>
        <w:t>一、评审方法</w:t>
      </w:r>
    </w:p>
    <w:p w14:paraId="14FF5B5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14:paraId="5614EDE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14:paraId="3FAD837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312034EF">
      <w:pPr>
        <w:adjustRightInd w:val="0"/>
        <w:snapToGrid w:val="0"/>
        <w:spacing w:line="288" w:lineRule="auto"/>
        <w:rPr>
          <w:b/>
          <w:bCs/>
          <w:color w:val="auto"/>
          <w:sz w:val="21"/>
          <w:szCs w:val="21"/>
          <w:highlight w:val="none"/>
        </w:rPr>
      </w:pPr>
      <w:r>
        <w:rPr>
          <w:rFonts w:hint="eastAsia"/>
          <w:b/>
          <w:bCs/>
          <w:color w:val="auto"/>
          <w:sz w:val="21"/>
          <w:szCs w:val="21"/>
          <w:highlight w:val="none"/>
        </w:rPr>
        <w:t>二、评审标准</w:t>
      </w:r>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8"/>
        <w:gridCol w:w="780"/>
        <w:gridCol w:w="7130"/>
      </w:tblGrid>
      <w:tr w14:paraId="1536E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2" w:type="pct"/>
            <w:tcBorders>
              <w:top w:val="single" w:color="auto" w:sz="4" w:space="0"/>
              <w:left w:val="single" w:color="auto" w:sz="4" w:space="0"/>
              <w:bottom w:val="single" w:color="auto" w:sz="4" w:space="0"/>
              <w:right w:val="single" w:color="auto" w:sz="4" w:space="0"/>
            </w:tcBorders>
            <w:vAlign w:val="center"/>
          </w:tcPr>
          <w:p w14:paraId="16E34B86">
            <w:pPr>
              <w:spacing w:line="288" w:lineRule="auto"/>
              <w:jc w:val="center"/>
              <w:rPr>
                <w:b/>
                <w:bCs/>
                <w:color w:val="auto"/>
                <w:sz w:val="21"/>
                <w:szCs w:val="21"/>
                <w:highlight w:val="none"/>
              </w:rPr>
            </w:pPr>
            <w:r>
              <w:rPr>
                <w:rFonts w:hint="eastAsia"/>
                <w:b/>
                <w:bCs/>
                <w:color w:val="auto"/>
                <w:sz w:val="21"/>
                <w:szCs w:val="21"/>
                <w:highlight w:val="none"/>
              </w:rPr>
              <w:t>评审因素</w:t>
            </w:r>
          </w:p>
        </w:tc>
        <w:tc>
          <w:tcPr>
            <w:tcW w:w="405" w:type="pct"/>
            <w:tcBorders>
              <w:top w:val="single" w:color="auto" w:sz="4" w:space="0"/>
              <w:left w:val="single" w:color="auto" w:sz="4" w:space="0"/>
              <w:bottom w:val="single" w:color="auto" w:sz="4" w:space="0"/>
              <w:right w:val="single" w:color="auto" w:sz="4" w:space="0"/>
            </w:tcBorders>
            <w:vAlign w:val="center"/>
          </w:tcPr>
          <w:p w14:paraId="0ED5802D">
            <w:pPr>
              <w:spacing w:line="288" w:lineRule="auto"/>
              <w:jc w:val="center"/>
              <w:rPr>
                <w:b/>
                <w:bCs/>
                <w:color w:val="auto"/>
                <w:sz w:val="21"/>
                <w:szCs w:val="21"/>
                <w:highlight w:val="none"/>
              </w:rPr>
            </w:pPr>
            <w:r>
              <w:rPr>
                <w:rFonts w:hint="eastAsia"/>
                <w:b/>
                <w:bCs/>
                <w:color w:val="auto"/>
                <w:sz w:val="21"/>
                <w:szCs w:val="21"/>
                <w:highlight w:val="none"/>
              </w:rPr>
              <w:t>分值</w:t>
            </w:r>
          </w:p>
        </w:tc>
        <w:tc>
          <w:tcPr>
            <w:tcW w:w="3702" w:type="pct"/>
            <w:tcBorders>
              <w:top w:val="single" w:color="auto" w:sz="4" w:space="0"/>
              <w:left w:val="single" w:color="auto" w:sz="4" w:space="0"/>
              <w:bottom w:val="single" w:color="auto" w:sz="4" w:space="0"/>
              <w:right w:val="single" w:color="auto" w:sz="4" w:space="0"/>
            </w:tcBorders>
            <w:vAlign w:val="center"/>
          </w:tcPr>
          <w:p w14:paraId="24E01967">
            <w:pPr>
              <w:spacing w:line="288" w:lineRule="auto"/>
              <w:jc w:val="center"/>
              <w:rPr>
                <w:b/>
                <w:bCs/>
                <w:color w:val="auto"/>
                <w:sz w:val="21"/>
                <w:szCs w:val="21"/>
                <w:highlight w:val="none"/>
              </w:rPr>
            </w:pPr>
            <w:r>
              <w:rPr>
                <w:rFonts w:hint="eastAsia"/>
                <w:b/>
                <w:bCs/>
                <w:color w:val="auto"/>
                <w:sz w:val="21"/>
                <w:szCs w:val="21"/>
                <w:highlight w:val="none"/>
              </w:rPr>
              <w:t>评分细则</w:t>
            </w:r>
          </w:p>
        </w:tc>
      </w:tr>
      <w:tr w14:paraId="4499F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3"/>
            <w:tcBorders>
              <w:top w:val="single" w:color="auto" w:sz="4" w:space="0"/>
              <w:left w:val="single" w:color="auto" w:sz="4" w:space="0"/>
              <w:bottom w:val="single" w:color="auto" w:sz="4" w:space="0"/>
              <w:right w:val="single" w:color="auto" w:sz="4" w:space="0"/>
            </w:tcBorders>
            <w:vAlign w:val="center"/>
          </w:tcPr>
          <w:p w14:paraId="2E6914EA">
            <w:pPr>
              <w:spacing w:line="288" w:lineRule="auto"/>
              <w:rPr>
                <w:rFonts w:hint="eastAsia" w:eastAsia="宋体"/>
                <w:b/>
                <w:bCs/>
                <w:color w:val="auto"/>
                <w:sz w:val="21"/>
                <w:szCs w:val="21"/>
                <w:highlight w:val="none"/>
                <w:lang w:eastAsia="zh-CN"/>
              </w:rPr>
            </w:pPr>
            <w:r>
              <w:rPr>
                <w:rFonts w:hint="eastAsia"/>
                <w:b/>
                <w:bCs/>
                <w:color w:val="auto"/>
                <w:sz w:val="21"/>
                <w:szCs w:val="21"/>
                <w:highlight w:val="none"/>
              </w:rPr>
              <w:t>价格分</w:t>
            </w:r>
            <w:r>
              <w:rPr>
                <w:rFonts w:hint="eastAsia"/>
                <w:b/>
                <w:bCs/>
                <w:color w:val="auto"/>
                <w:sz w:val="21"/>
                <w:szCs w:val="21"/>
                <w:highlight w:val="none"/>
                <w:lang w:eastAsia="zh-CN"/>
              </w:rPr>
              <w:t>（</w:t>
            </w:r>
            <w:r>
              <w:rPr>
                <w:rFonts w:hint="eastAsia"/>
                <w:b/>
                <w:bCs/>
                <w:color w:val="auto"/>
                <w:sz w:val="21"/>
                <w:szCs w:val="21"/>
                <w:highlight w:val="none"/>
                <w:lang w:val="en-US" w:eastAsia="zh-CN"/>
              </w:rPr>
              <w:t>30</w:t>
            </w:r>
            <w:r>
              <w:rPr>
                <w:rFonts w:hint="eastAsia"/>
                <w:b/>
                <w:bCs/>
                <w:color w:val="auto"/>
                <w:sz w:val="21"/>
                <w:szCs w:val="21"/>
                <w:highlight w:val="none"/>
                <w:lang w:eastAsia="zh-CN"/>
              </w:rPr>
              <w:t>）</w:t>
            </w:r>
          </w:p>
        </w:tc>
      </w:tr>
      <w:tr w14:paraId="654FE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2" w:type="pct"/>
            <w:tcBorders>
              <w:top w:val="single" w:color="auto" w:sz="4" w:space="0"/>
              <w:left w:val="single" w:color="auto" w:sz="4" w:space="0"/>
              <w:bottom w:val="single" w:color="auto" w:sz="4" w:space="0"/>
              <w:right w:val="single" w:color="auto" w:sz="4" w:space="0"/>
            </w:tcBorders>
            <w:vAlign w:val="center"/>
          </w:tcPr>
          <w:p w14:paraId="59E57B6F">
            <w:pPr>
              <w:pStyle w:val="12"/>
              <w:spacing w:line="288" w:lineRule="auto"/>
              <w:ind w:firstLine="0"/>
              <w:jc w:val="center"/>
              <w:rPr>
                <w:rFonts w:hAnsi="宋体"/>
                <w:b/>
                <w:bCs/>
                <w:color w:val="auto"/>
                <w:spacing w:val="-6"/>
                <w:sz w:val="21"/>
                <w:szCs w:val="21"/>
                <w:highlight w:val="none"/>
              </w:rPr>
            </w:pPr>
            <w:r>
              <w:rPr>
                <w:rFonts w:hint="eastAsia" w:hAnsi="宋体"/>
                <w:b/>
                <w:bCs/>
                <w:color w:val="auto"/>
                <w:spacing w:val="-6"/>
                <w:sz w:val="21"/>
                <w:szCs w:val="21"/>
                <w:highlight w:val="none"/>
              </w:rPr>
              <w:t>最后磋商报价</w:t>
            </w:r>
          </w:p>
        </w:tc>
        <w:tc>
          <w:tcPr>
            <w:tcW w:w="405" w:type="pct"/>
            <w:tcBorders>
              <w:top w:val="single" w:color="auto" w:sz="4" w:space="0"/>
              <w:left w:val="single" w:color="auto" w:sz="4" w:space="0"/>
              <w:bottom w:val="single" w:color="auto" w:sz="4" w:space="0"/>
              <w:right w:val="single" w:color="auto" w:sz="4" w:space="0"/>
            </w:tcBorders>
            <w:vAlign w:val="center"/>
          </w:tcPr>
          <w:p w14:paraId="75211AB0">
            <w:pPr>
              <w:spacing w:line="288" w:lineRule="auto"/>
              <w:jc w:val="center"/>
              <w:rPr>
                <w:b/>
                <w:bCs/>
                <w:color w:val="auto"/>
                <w:spacing w:val="-6"/>
                <w:sz w:val="21"/>
                <w:szCs w:val="21"/>
                <w:highlight w:val="none"/>
              </w:rPr>
            </w:pPr>
            <w:r>
              <w:rPr>
                <w:rFonts w:hint="eastAsia"/>
                <w:b/>
                <w:bCs/>
                <w:color w:val="auto"/>
                <w:spacing w:val="-6"/>
                <w:sz w:val="21"/>
                <w:szCs w:val="21"/>
                <w:highlight w:val="none"/>
              </w:rPr>
              <w:t>30</w:t>
            </w:r>
          </w:p>
        </w:tc>
        <w:tc>
          <w:tcPr>
            <w:tcW w:w="3702" w:type="pct"/>
            <w:tcBorders>
              <w:top w:val="single" w:color="auto" w:sz="4" w:space="0"/>
              <w:left w:val="single" w:color="auto" w:sz="4" w:space="0"/>
              <w:bottom w:val="single" w:color="auto" w:sz="4" w:space="0"/>
              <w:right w:val="single" w:color="auto" w:sz="4" w:space="0"/>
            </w:tcBorders>
            <w:vAlign w:val="center"/>
          </w:tcPr>
          <w:p w14:paraId="11419275">
            <w:pPr>
              <w:pStyle w:val="12"/>
              <w:keepNext w:val="0"/>
              <w:keepLines w:val="0"/>
              <w:pageBreakBefore w:val="0"/>
              <w:kinsoku/>
              <w:wordWrap/>
              <w:overflowPunct/>
              <w:topLinePunct w:val="0"/>
              <w:autoSpaceDE/>
              <w:autoSpaceDN/>
              <w:bidi w:val="0"/>
              <w:snapToGrid w:val="0"/>
              <w:spacing w:line="288" w:lineRule="auto"/>
              <w:ind w:firstLine="0"/>
              <w:textAlignment w:val="auto"/>
              <w:rPr>
                <w:rFonts w:hAnsi="宋体"/>
                <w:color w:val="auto"/>
                <w:spacing w:val="-6"/>
                <w:sz w:val="21"/>
                <w:szCs w:val="21"/>
                <w:highlight w:val="none"/>
              </w:rPr>
            </w:pPr>
            <w:r>
              <w:rPr>
                <w:rFonts w:hint="eastAsia" w:hAnsi="宋体"/>
                <w:color w:val="auto"/>
                <w:spacing w:val="-6"/>
                <w:sz w:val="21"/>
                <w:szCs w:val="21"/>
                <w:highlight w:val="none"/>
              </w:rPr>
              <w:t>价格分统一采用低价优先法计算，即满足磋商文件要求且最后报价最低的供应商的价格为磋商基准价，其价格分为满分。其他供应商的价格分统一按照下列公式计算：</w:t>
            </w:r>
          </w:p>
          <w:p w14:paraId="7A1CD5BF">
            <w:pPr>
              <w:pStyle w:val="12"/>
              <w:keepNext w:val="0"/>
              <w:keepLines w:val="0"/>
              <w:pageBreakBefore w:val="0"/>
              <w:kinsoku/>
              <w:wordWrap/>
              <w:overflowPunct/>
              <w:topLinePunct w:val="0"/>
              <w:autoSpaceDE/>
              <w:autoSpaceDN/>
              <w:bidi w:val="0"/>
              <w:snapToGrid w:val="0"/>
              <w:spacing w:line="288" w:lineRule="auto"/>
              <w:ind w:firstLine="0"/>
              <w:textAlignment w:val="auto"/>
              <w:rPr>
                <w:rFonts w:hint="eastAsia" w:hAnsi="宋体"/>
                <w:color w:val="auto"/>
                <w:spacing w:val="-6"/>
                <w:sz w:val="21"/>
                <w:szCs w:val="21"/>
                <w:highlight w:val="none"/>
              </w:rPr>
            </w:pPr>
            <w:r>
              <w:rPr>
                <w:rFonts w:hint="eastAsia" w:hAnsi="宋体"/>
                <w:color w:val="auto"/>
                <w:spacing w:val="-6"/>
                <w:sz w:val="21"/>
                <w:szCs w:val="21"/>
                <w:highlight w:val="none"/>
              </w:rPr>
              <w:t>磋商报价得分=（磋商基准价/最后磋商报价）×30%×100</w:t>
            </w:r>
          </w:p>
          <w:p w14:paraId="78193C6E">
            <w:pPr>
              <w:pStyle w:val="12"/>
              <w:keepNext w:val="0"/>
              <w:keepLines w:val="0"/>
              <w:pageBreakBefore w:val="0"/>
              <w:kinsoku/>
              <w:wordWrap/>
              <w:overflowPunct/>
              <w:topLinePunct w:val="0"/>
              <w:autoSpaceDE/>
              <w:autoSpaceDN/>
              <w:bidi w:val="0"/>
              <w:snapToGrid w:val="0"/>
              <w:spacing w:line="288" w:lineRule="auto"/>
              <w:ind w:firstLine="0"/>
              <w:textAlignment w:val="auto"/>
              <w:rPr>
                <w:rFonts w:hAnsi="宋体"/>
                <w:color w:val="auto"/>
                <w:spacing w:val="-6"/>
                <w:sz w:val="21"/>
                <w:szCs w:val="21"/>
                <w:highlight w:val="none"/>
              </w:rPr>
            </w:pPr>
            <w:r>
              <w:rPr>
                <w:rFonts w:hint="eastAsia" w:ascii="宋体" w:hAnsi="宋体" w:eastAsia="宋体" w:cs="宋体"/>
                <w:b/>
                <w:bCs/>
                <w:color w:val="auto"/>
                <w:sz w:val="21"/>
                <w:szCs w:val="21"/>
                <w:highlight w:val="none"/>
                <w:lang w:val="en-US" w:eastAsia="zh-CN"/>
              </w:rPr>
              <w:t>注：</w:t>
            </w:r>
            <w:r>
              <w:rPr>
                <w:rFonts w:hint="eastAsia" w:ascii="宋体" w:hAnsi="宋体" w:eastAsia="宋体" w:cs="Times New Roman"/>
                <w:b/>
                <w:bCs/>
                <w:color w:val="auto"/>
                <w:spacing w:val="-6"/>
                <w:sz w:val="21"/>
                <w:szCs w:val="21"/>
                <w:highlight w:val="none"/>
                <w:u w:val="none"/>
                <w:lang w:val="en-US" w:eastAsia="zh-CN"/>
              </w:rPr>
              <w:t>本</w:t>
            </w:r>
            <w:r>
              <w:rPr>
                <w:rFonts w:hint="eastAsia" w:ascii="宋体" w:hAnsi="宋体" w:eastAsia="宋体" w:cs="Times New Roman"/>
                <w:b/>
                <w:bCs/>
                <w:color w:val="auto"/>
                <w:spacing w:val="-6"/>
                <w:sz w:val="21"/>
                <w:szCs w:val="21"/>
                <w:highlight w:val="none"/>
                <w:u w:val="none"/>
                <w:lang w:eastAsia="zh-CN"/>
              </w:rPr>
              <w:t>项目专门面向中小企业采购，不再执行价格评审优惠的扶持政策</w:t>
            </w:r>
          </w:p>
        </w:tc>
      </w:tr>
      <w:tr w14:paraId="241F4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3"/>
            <w:tcBorders>
              <w:top w:val="single" w:color="auto" w:sz="4" w:space="0"/>
              <w:left w:val="single" w:color="auto" w:sz="4" w:space="0"/>
              <w:bottom w:val="single" w:color="auto" w:sz="4" w:space="0"/>
              <w:right w:val="single" w:color="auto" w:sz="4" w:space="0"/>
            </w:tcBorders>
            <w:vAlign w:val="center"/>
          </w:tcPr>
          <w:p w14:paraId="31B244C6">
            <w:pPr>
              <w:keepNext w:val="0"/>
              <w:keepLines w:val="0"/>
              <w:pageBreakBefore w:val="0"/>
              <w:kinsoku/>
              <w:wordWrap/>
              <w:overflowPunct/>
              <w:topLinePunct w:val="0"/>
              <w:autoSpaceDE/>
              <w:autoSpaceDN/>
              <w:bidi w:val="0"/>
              <w:snapToGrid w:val="0"/>
              <w:spacing w:line="288" w:lineRule="auto"/>
              <w:textAlignment w:val="auto"/>
              <w:rPr>
                <w:rFonts w:hint="eastAsia" w:eastAsia="宋体"/>
                <w:b/>
                <w:bCs/>
                <w:color w:val="auto"/>
                <w:sz w:val="21"/>
                <w:szCs w:val="21"/>
                <w:highlight w:val="none"/>
                <w:lang w:eastAsia="zh-CN"/>
              </w:rPr>
            </w:pPr>
            <w:r>
              <w:rPr>
                <w:rFonts w:hint="eastAsia"/>
                <w:b/>
                <w:bCs/>
                <w:color w:val="auto"/>
                <w:sz w:val="21"/>
                <w:szCs w:val="21"/>
                <w:highlight w:val="none"/>
              </w:rPr>
              <w:t>商务分</w:t>
            </w:r>
            <w:r>
              <w:rPr>
                <w:rFonts w:hint="eastAsia"/>
                <w:b/>
                <w:bCs/>
                <w:color w:val="auto"/>
                <w:sz w:val="21"/>
                <w:szCs w:val="21"/>
                <w:highlight w:val="none"/>
                <w:lang w:eastAsia="zh-CN"/>
              </w:rPr>
              <w:t>（</w:t>
            </w:r>
            <w:r>
              <w:rPr>
                <w:rFonts w:hint="eastAsia"/>
                <w:b/>
                <w:bCs/>
                <w:color w:val="auto"/>
                <w:sz w:val="21"/>
                <w:szCs w:val="21"/>
                <w:highlight w:val="none"/>
                <w:lang w:val="en-US" w:eastAsia="zh-CN"/>
              </w:rPr>
              <w:t>6</w:t>
            </w:r>
            <w:r>
              <w:rPr>
                <w:rFonts w:hint="eastAsia"/>
                <w:b/>
                <w:bCs/>
                <w:color w:val="auto"/>
                <w:sz w:val="21"/>
                <w:szCs w:val="21"/>
                <w:highlight w:val="none"/>
                <w:lang w:eastAsia="zh-CN"/>
              </w:rPr>
              <w:t>）</w:t>
            </w:r>
          </w:p>
        </w:tc>
      </w:tr>
      <w:tr w14:paraId="5B2BB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2" w:type="pct"/>
            <w:tcBorders>
              <w:top w:val="single" w:color="auto" w:sz="4" w:space="0"/>
              <w:left w:val="single" w:color="auto" w:sz="4" w:space="0"/>
              <w:bottom w:val="single" w:color="auto" w:sz="4" w:space="0"/>
              <w:right w:val="single" w:color="auto" w:sz="4" w:space="0"/>
            </w:tcBorders>
            <w:vAlign w:val="center"/>
          </w:tcPr>
          <w:p w14:paraId="2A463BD0">
            <w:pPr>
              <w:spacing w:line="288"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体系认证</w:t>
            </w:r>
          </w:p>
        </w:tc>
        <w:tc>
          <w:tcPr>
            <w:tcW w:w="405" w:type="pct"/>
            <w:tcBorders>
              <w:top w:val="single" w:color="auto" w:sz="4" w:space="0"/>
              <w:left w:val="single" w:color="auto" w:sz="4" w:space="0"/>
              <w:bottom w:val="single" w:color="auto" w:sz="4" w:space="0"/>
              <w:right w:val="single" w:color="auto" w:sz="4" w:space="0"/>
            </w:tcBorders>
            <w:vAlign w:val="center"/>
          </w:tcPr>
          <w:p w14:paraId="5CE93E4F">
            <w:pPr>
              <w:spacing w:line="288"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3</w:t>
            </w:r>
          </w:p>
        </w:tc>
        <w:tc>
          <w:tcPr>
            <w:tcW w:w="3702" w:type="pct"/>
            <w:tcBorders>
              <w:top w:val="single" w:color="auto" w:sz="4" w:space="0"/>
              <w:left w:val="single" w:color="auto" w:sz="4" w:space="0"/>
              <w:bottom w:val="single" w:color="auto" w:sz="4" w:space="0"/>
              <w:right w:val="single" w:color="auto" w:sz="4" w:space="0"/>
            </w:tcBorders>
            <w:vAlign w:val="center"/>
          </w:tcPr>
          <w:p w14:paraId="484E52E0">
            <w:pPr>
              <w:keepNext w:val="0"/>
              <w:keepLines w:val="0"/>
              <w:pageBreakBefore w:val="0"/>
              <w:kinsoku/>
              <w:wordWrap/>
              <w:overflowPunct/>
              <w:topLinePunct w:val="0"/>
              <w:autoSpaceDE/>
              <w:autoSpaceDN/>
              <w:bidi w:val="0"/>
              <w:snapToGrid w:val="0"/>
              <w:spacing w:line="288"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p>
          <w:p w14:paraId="591B1B51">
            <w:pPr>
              <w:keepNext w:val="0"/>
              <w:keepLines w:val="0"/>
              <w:pageBreakBefore w:val="0"/>
              <w:kinsoku/>
              <w:wordWrap/>
              <w:overflowPunct/>
              <w:topLinePunct w:val="0"/>
              <w:autoSpaceDE/>
              <w:autoSpaceDN/>
              <w:bidi w:val="0"/>
              <w:snapToGrid w:val="0"/>
              <w:spacing w:line="288"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供应商具有有效的质量、环境、职业健康安全管理体系：每提供1份证明材料得1分，最高得3分。</w:t>
            </w:r>
          </w:p>
          <w:p w14:paraId="3CE007C9">
            <w:pPr>
              <w:keepNext w:val="0"/>
              <w:keepLines w:val="0"/>
              <w:pageBreakBefore w:val="0"/>
              <w:kinsoku/>
              <w:wordWrap/>
              <w:overflowPunct/>
              <w:topLinePunct w:val="0"/>
              <w:autoSpaceDE/>
              <w:autoSpaceDN/>
              <w:bidi w:val="0"/>
              <w:snapToGrid w:val="0"/>
              <w:spacing w:line="288" w:lineRule="auto"/>
              <w:textAlignment w:val="auto"/>
              <w:rPr>
                <w:rFonts w:hint="eastAsia"/>
                <w:color w:val="auto"/>
                <w:highlight w:val="none"/>
                <w:lang w:val="en-US" w:eastAsia="zh-CN"/>
              </w:rPr>
            </w:pPr>
            <w:r>
              <w:rPr>
                <w:rFonts w:hint="eastAsia" w:ascii="宋体" w:hAnsi="宋体" w:eastAsia="宋体" w:cs="宋体"/>
                <w:color w:val="auto"/>
                <w:sz w:val="21"/>
                <w:szCs w:val="21"/>
                <w:highlight w:val="none"/>
              </w:rPr>
              <w:t>响应文件中提供证书</w:t>
            </w:r>
            <w:r>
              <w:rPr>
                <w:rFonts w:hint="eastAsia" w:ascii="宋体" w:hAnsi="宋体" w:eastAsia="宋体" w:cs="宋体"/>
                <w:color w:val="auto"/>
                <w:sz w:val="21"/>
                <w:szCs w:val="21"/>
                <w:highlight w:val="none"/>
                <w:lang w:val="en-US" w:eastAsia="zh-CN"/>
              </w:rPr>
              <w:t>扫描件</w:t>
            </w:r>
            <w:r>
              <w:rPr>
                <w:rFonts w:hint="eastAsia" w:ascii="宋体" w:hAnsi="宋体" w:eastAsia="宋体" w:cs="宋体"/>
                <w:color w:val="auto"/>
                <w:sz w:val="21"/>
                <w:szCs w:val="21"/>
                <w:highlight w:val="none"/>
              </w:rPr>
              <w:t>及www.cnca.gov.cn“认证结果”查询截图，不提供或不符合要求不得分</w:t>
            </w:r>
          </w:p>
        </w:tc>
      </w:tr>
      <w:tr w14:paraId="51371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2" w:type="pct"/>
            <w:tcBorders>
              <w:top w:val="single" w:color="auto" w:sz="4" w:space="0"/>
              <w:left w:val="single" w:color="auto" w:sz="4" w:space="0"/>
              <w:bottom w:val="single" w:color="auto" w:sz="4" w:space="0"/>
              <w:right w:val="single" w:color="auto" w:sz="4" w:space="0"/>
            </w:tcBorders>
            <w:vAlign w:val="center"/>
          </w:tcPr>
          <w:p w14:paraId="00992FF2">
            <w:pPr>
              <w:spacing w:line="288" w:lineRule="auto"/>
              <w:jc w:val="center"/>
              <w:rPr>
                <w:rFonts w:hint="default"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项目负责人业绩</w:t>
            </w:r>
          </w:p>
        </w:tc>
        <w:tc>
          <w:tcPr>
            <w:tcW w:w="405" w:type="pct"/>
            <w:tcBorders>
              <w:top w:val="single" w:color="auto" w:sz="4" w:space="0"/>
              <w:left w:val="single" w:color="auto" w:sz="4" w:space="0"/>
              <w:bottom w:val="single" w:color="auto" w:sz="4" w:space="0"/>
              <w:right w:val="single" w:color="auto" w:sz="4" w:space="0"/>
            </w:tcBorders>
            <w:vAlign w:val="center"/>
          </w:tcPr>
          <w:p w14:paraId="45C0908C">
            <w:pPr>
              <w:spacing w:line="288" w:lineRule="auto"/>
              <w:jc w:val="center"/>
              <w:rPr>
                <w:rFonts w:hint="eastAsia"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1</w:t>
            </w:r>
          </w:p>
        </w:tc>
        <w:tc>
          <w:tcPr>
            <w:tcW w:w="3702" w:type="pct"/>
            <w:tcBorders>
              <w:top w:val="single" w:color="auto" w:sz="4" w:space="0"/>
              <w:left w:val="single" w:color="auto" w:sz="4" w:space="0"/>
              <w:bottom w:val="single" w:color="auto" w:sz="4" w:space="0"/>
              <w:right w:val="single" w:color="auto" w:sz="4" w:space="0"/>
            </w:tcBorders>
            <w:vAlign w:val="center"/>
          </w:tcPr>
          <w:p w14:paraId="4E520EF3">
            <w:pPr>
              <w:keepNext w:val="0"/>
              <w:keepLines w:val="0"/>
              <w:pageBreakBefore w:val="0"/>
              <w:kinsoku/>
              <w:wordWrap/>
              <w:overflowPunct/>
              <w:topLinePunct w:val="0"/>
              <w:autoSpaceDE/>
              <w:autoSpaceDN/>
              <w:bidi w:val="0"/>
              <w:snapToGrid w:val="0"/>
              <w:spacing w:line="288"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客</w:t>
            </w:r>
            <w:r>
              <w:rPr>
                <w:rFonts w:hint="eastAsia" w:ascii="宋体" w:hAnsi="宋体" w:eastAsia="宋体" w:cs="宋体"/>
                <w:color w:val="auto"/>
                <w:sz w:val="21"/>
                <w:szCs w:val="21"/>
                <w:highlight w:val="none"/>
              </w:rPr>
              <w:t>观分】供应商拟派项目负责人自</w:t>
            </w:r>
            <w:r>
              <w:rPr>
                <w:rFonts w:hint="eastAsia" w:ascii="宋体" w:hAnsi="宋体" w:eastAsia="宋体" w:cs="宋体"/>
                <w:color w:val="auto"/>
                <w:sz w:val="21"/>
                <w:szCs w:val="21"/>
                <w:highlight w:val="none"/>
                <w:lang w:eastAsia="zh-CN"/>
              </w:rPr>
              <w:t>202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年1月1日以来</w:t>
            </w:r>
            <w:r>
              <w:rPr>
                <w:rFonts w:hint="eastAsia" w:ascii="宋体" w:hAnsi="宋体" w:eastAsia="宋体" w:cs="宋体"/>
                <w:color w:val="auto"/>
                <w:sz w:val="21"/>
                <w:szCs w:val="21"/>
                <w:highlight w:val="none"/>
              </w:rPr>
              <w:t>（以合同签订时间为准）</w:t>
            </w:r>
            <w:r>
              <w:rPr>
                <w:rFonts w:hint="eastAsia" w:ascii="宋体" w:hAnsi="宋体" w:eastAsia="宋体" w:cs="宋体"/>
                <w:color w:val="auto"/>
                <w:sz w:val="21"/>
                <w:szCs w:val="21"/>
                <w:highlight w:val="none"/>
                <w:lang w:val="en-US" w:eastAsia="zh-CN"/>
              </w:rPr>
              <w:t>同类</w:t>
            </w:r>
            <w:r>
              <w:rPr>
                <w:rFonts w:hint="eastAsia" w:ascii="宋体" w:hAnsi="宋体" w:eastAsia="宋体" w:cs="宋体"/>
                <w:color w:val="auto"/>
                <w:sz w:val="21"/>
                <w:szCs w:val="21"/>
                <w:highlight w:val="none"/>
              </w:rPr>
              <w:t>项目业绩（以提供的合同扫描件</w:t>
            </w:r>
            <w:r>
              <w:rPr>
                <w:rFonts w:hint="eastAsia" w:ascii="宋体" w:hAnsi="宋体" w:eastAsia="宋体" w:cs="宋体"/>
                <w:color w:val="auto"/>
                <w:sz w:val="21"/>
                <w:szCs w:val="21"/>
                <w:highlight w:val="none"/>
                <w:lang w:val="en-US" w:eastAsia="zh-CN"/>
              </w:rPr>
              <w:t>和</w:t>
            </w:r>
            <w:r>
              <w:rPr>
                <w:rFonts w:hint="eastAsia" w:ascii="宋体" w:hAnsi="宋体" w:eastAsia="宋体" w:cs="宋体"/>
                <w:color w:val="auto"/>
                <w:sz w:val="21"/>
                <w:szCs w:val="21"/>
                <w:highlight w:val="none"/>
              </w:rPr>
              <w:t>中标通知书扫描件为准，与公司业绩不重复得分）：每提供1份合同业绩得</w:t>
            </w: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sz w:val="21"/>
                <w:szCs w:val="21"/>
                <w:highlight w:val="none"/>
              </w:rPr>
              <w:t>分，最高得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分（响应文件中提供证明材料</w:t>
            </w:r>
            <w:r>
              <w:rPr>
                <w:rFonts w:hint="eastAsia" w:ascii="宋体" w:hAnsi="宋体" w:eastAsia="宋体" w:cs="宋体"/>
                <w:color w:val="auto"/>
                <w:sz w:val="21"/>
                <w:szCs w:val="21"/>
                <w:highlight w:val="none"/>
                <w:lang w:val="en-US" w:eastAsia="zh-CN"/>
              </w:rPr>
              <w:t>和项目负责人社保缴纳证明并加盖公章</w:t>
            </w:r>
            <w:r>
              <w:rPr>
                <w:rFonts w:hint="eastAsia" w:ascii="宋体" w:hAnsi="宋体" w:eastAsia="宋体" w:cs="宋体"/>
                <w:color w:val="auto"/>
                <w:sz w:val="21"/>
                <w:szCs w:val="21"/>
                <w:highlight w:val="none"/>
              </w:rPr>
              <w:t>，不提供</w:t>
            </w:r>
            <w:r>
              <w:rPr>
                <w:rFonts w:hint="eastAsia" w:ascii="宋体" w:hAnsi="宋体" w:eastAsia="宋体" w:cs="宋体"/>
                <w:color w:val="auto"/>
                <w:sz w:val="21"/>
                <w:szCs w:val="21"/>
                <w:highlight w:val="none"/>
                <w:lang w:val="en-US" w:eastAsia="zh-CN"/>
              </w:rPr>
              <w:t>或未体现关键部分的</w:t>
            </w:r>
            <w:r>
              <w:rPr>
                <w:rFonts w:hint="eastAsia" w:ascii="宋体" w:hAnsi="宋体" w:eastAsia="宋体" w:cs="宋体"/>
                <w:color w:val="auto"/>
                <w:sz w:val="21"/>
                <w:szCs w:val="21"/>
                <w:highlight w:val="none"/>
              </w:rPr>
              <w:t>不得分）。</w:t>
            </w:r>
          </w:p>
        </w:tc>
      </w:tr>
      <w:tr w14:paraId="61C9D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2" w:type="pct"/>
            <w:tcBorders>
              <w:top w:val="single" w:color="auto" w:sz="4" w:space="0"/>
              <w:left w:val="single" w:color="auto" w:sz="4" w:space="0"/>
              <w:bottom w:val="single" w:color="auto" w:sz="4" w:space="0"/>
              <w:right w:val="single" w:color="auto" w:sz="4" w:space="0"/>
            </w:tcBorders>
            <w:vAlign w:val="center"/>
          </w:tcPr>
          <w:p w14:paraId="1E1DE11C">
            <w:pPr>
              <w:spacing w:line="288" w:lineRule="auto"/>
              <w:jc w:val="center"/>
              <w:rPr>
                <w:b/>
                <w:bCs/>
                <w:color w:val="auto"/>
                <w:sz w:val="21"/>
                <w:szCs w:val="21"/>
                <w:highlight w:val="none"/>
              </w:rPr>
            </w:pPr>
            <w:r>
              <w:rPr>
                <w:rFonts w:hint="eastAsia"/>
                <w:b/>
                <w:bCs/>
                <w:color w:val="auto"/>
                <w:sz w:val="21"/>
                <w:szCs w:val="21"/>
                <w:highlight w:val="none"/>
              </w:rPr>
              <w:t>政府采购政策</w:t>
            </w:r>
          </w:p>
        </w:tc>
        <w:tc>
          <w:tcPr>
            <w:tcW w:w="405" w:type="pct"/>
            <w:tcBorders>
              <w:top w:val="single" w:color="auto" w:sz="4" w:space="0"/>
              <w:left w:val="single" w:color="auto" w:sz="4" w:space="0"/>
              <w:bottom w:val="single" w:color="auto" w:sz="4" w:space="0"/>
              <w:right w:val="single" w:color="auto" w:sz="4" w:space="0"/>
            </w:tcBorders>
            <w:vAlign w:val="center"/>
          </w:tcPr>
          <w:p w14:paraId="79465F0E">
            <w:pPr>
              <w:spacing w:line="288" w:lineRule="auto"/>
              <w:jc w:val="center"/>
              <w:rPr>
                <w:rFonts w:hint="eastAsia" w:eastAsia="宋体"/>
                <w:b/>
                <w:bCs/>
                <w:color w:val="auto"/>
                <w:sz w:val="21"/>
                <w:szCs w:val="21"/>
                <w:highlight w:val="none"/>
                <w:lang w:eastAsia="zh-CN"/>
              </w:rPr>
            </w:pPr>
            <w:r>
              <w:rPr>
                <w:rFonts w:hint="eastAsia"/>
                <w:b/>
                <w:bCs/>
                <w:color w:val="auto"/>
                <w:sz w:val="21"/>
                <w:szCs w:val="21"/>
                <w:highlight w:val="none"/>
                <w:lang w:val="en-US" w:eastAsia="zh-CN"/>
              </w:rPr>
              <w:t>2</w:t>
            </w:r>
          </w:p>
        </w:tc>
        <w:tc>
          <w:tcPr>
            <w:tcW w:w="3702" w:type="pct"/>
            <w:tcBorders>
              <w:top w:val="single" w:color="auto" w:sz="4" w:space="0"/>
              <w:left w:val="single" w:color="auto" w:sz="4" w:space="0"/>
              <w:bottom w:val="single" w:color="auto" w:sz="4" w:space="0"/>
              <w:right w:val="single" w:color="auto" w:sz="4" w:space="0"/>
            </w:tcBorders>
            <w:vAlign w:val="center"/>
          </w:tcPr>
          <w:p w14:paraId="146599DF">
            <w:pPr>
              <w:keepNext w:val="0"/>
              <w:keepLines w:val="0"/>
              <w:pageBreakBefore w:val="0"/>
              <w:kinsoku/>
              <w:wordWrap/>
              <w:overflowPunct/>
              <w:topLinePunct w:val="0"/>
              <w:autoSpaceDE/>
              <w:autoSpaceDN/>
              <w:bidi w:val="0"/>
              <w:snapToGrid w:val="0"/>
              <w:spacing w:line="288" w:lineRule="auto"/>
              <w:textAlignment w:val="auto"/>
              <w:rPr>
                <w:color w:val="auto"/>
                <w:sz w:val="21"/>
                <w:szCs w:val="21"/>
                <w:highlight w:val="none"/>
              </w:rPr>
            </w:pPr>
            <w:r>
              <w:rPr>
                <w:rFonts w:hint="eastAsia"/>
                <w:color w:val="auto"/>
                <w:sz w:val="21"/>
                <w:szCs w:val="21"/>
                <w:highlight w:val="none"/>
              </w:rPr>
              <w:t>【客观分】</w:t>
            </w:r>
          </w:p>
          <w:p w14:paraId="55AEDBE1">
            <w:pPr>
              <w:keepNext w:val="0"/>
              <w:keepLines w:val="0"/>
              <w:pageBreakBefore w:val="0"/>
              <w:kinsoku/>
              <w:wordWrap/>
              <w:overflowPunct/>
              <w:topLinePunct w:val="0"/>
              <w:autoSpaceDE/>
              <w:autoSpaceDN/>
              <w:bidi w:val="0"/>
              <w:snapToGrid w:val="0"/>
              <w:spacing w:line="288" w:lineRule="auto"/>
              <w:textAlignment w:val="auto"/>
              <w:rPr>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响应</w:t>
            </w:r>
            <w:r>
              <w:rPr>
                <w:rFonts w:hint="eastAsia"/>
                <w:color w:val="auto"/>
                <w:sz w:val="21"/>
                <w:szCs w:val="21"/>
                <w:highlight w:val="none"/>
              </w:rPr>
              <w:t>产品有一项列入财政部、发展改革委发布的节能产品品目清单的，提供国家市场监督管理总局公布的《参与实施政府采购节能产品认证机构名录》内的认证机构出具的、处于有效期之内的节能标志产品认证证书的，得</w:t>
            </w:r>
            <w:r>
              <w:rPr>
                <w:rFonts w:hint="eastAsia"/>
                <w:color w:val="auto"/>
                <w:sz w:val="21"/>
                <w:szCs w:val="21"/>
                <w:highlight w:val="none"/>
                <w:lang w:val="en-US" w:eastAsia="zh-CN"/>
              </w:rPr>
              <w:t>1</w:t>
            </w:r>
            <w:r>
              <w:rPr>
                <w:rFonts w:hint="eastAsia"/>
                <w:color w:val="auto"/>
                <w:sz w:val="21"/>
                <w:szCs w:val="21"/>
                <w:highlight w:val="none"/>
              </w:rPr>
              <w:t>分；</w:t>
            </w:r>
          </w:p>
          <w:p w14:paraId="4FE99B14">
            <w:pPr>
              <w:keepNext w:val="0"/>
              <w:keepLines w:val="0"/>
              <w:pageBreakBefore w:val="0"/>
              <w:kinsoku/>
              <w:wordWrap/>
              <w:overflowPunct/>
              <w:topLinePunct w:val="0"/>
              <w:autoSpaceDE/>
              <w:autoSpaceDN/>
              <w:bidi w:val="0"/>
              <w:snapToGrid w:val="0"/>
              <w:spacing w:line="288" w:lineRule="auto"/>
              <w:textAlignment w:val="auto"/>
              <w:rPr>
                <w:rFonts w:hint="eastAsia"/>
                <w:color w:val="auto"/>
                <w:sz w:val="21"/>
                <w:szCs w:val="21"/>
                <w:highlight w:val="none"/>
              </w:rPr>
            </w:pPr>
            <w:r>
              <w:rPr>
                <w:rFonts w:hint="eastAsia"/>
                <w:color w:val="auto"/>
                <w:sz w:val="21"/>
                <w:szCs w:val="21"/>
                <w:highlight w:val="none"/>
              </w:rPr>
              <w:t>2）</w:t>
            </w:r>
            <w:r>
              <w:rPr>
                <w:rFonts w:hint="eastAsia"/>
                <w:color w:val="auto"/>
                <w:sz w:val="21"/>
                <w:szCs w:val="21"/>
                <w:highlight w:val="none"/>
                <w:lang w:val="en-US" w:eastAsia="zh-CN"/>
              </w:rPr>
              <w:t>响应</w:t>
            </w:r>
            <w:r>
              <w:rPr>
                <w:rFonts w:hint="eastAsia"/>
                <w:color w:val="auto"/>
                <w:sz w:val="21"/>
                <w:szCs w:val="21"/>
                <w:highlight w:val="none"/>
              </w:rPr>
              <w:t>产品有一项列入财政部、生态环境部发布的环境标志产品品目清单的，提供国家市场监督管理总局公布的《参与实施政府采购环境标志产品认证机构名录》内的认证机构出具的、处于有效期之内的环境标志产品认证证书，得</w:t>
            </w:r>
            <w:r>
              <w:rPr>
                <w:rFonts w:hint="eastAsia"/>
                <w:color w:val="auto"/>
                <w:sz w:val="21"/>
                <w:szCs w:val="21"/>
                <w:highlight w:val="none"/>
                <w:lang w:val="en-US" w:eastAsia="zh-CN"/>
              </w:rPr>
              <w:t>1</w:t>
            </w:r>
            <w:r>
              <w:rPr>
                <w:rFonts w:hint="eastAsia"/>
                <w:color w:val="auto"/>
                <w:sz w:val="21"/>
                <w:szCs w:val="21"/>
                <w:highlight w:val="none"/>
              </w:rPr>
              <w:t>分。</w:t>
            </w:r>
          </w:p>
          <w:p w14:paraId="718B76CA">
            <w:pPr>
              <w:keepNext w:val="0"/>
              <w:keepLines w:val="0"/>
              <w:pageBreakBefore w:val="0"/>
              <w:kinsoku/>
              <w:wordWrap/>
              <w:overflowPunct/>
              <w:topLinePunct w:val="0"/>
              <w:autoSpaceDE/>
              <w:autoSpaceDN/>
              <w:bidi w:val="0"/>
              <w:snapToGrid w:val="0"/>
              <w:spacing w:line="288" w:lineRule="auto"/>
              <w:textAlignment w:val="auto"/>
              <w:rPr>
                <w:color w:val="auto"/>
                <w:sz w:val="21"/>
                <w:szCs w:val="21"/>
                <w:highlight w:val="none"/>
              </w:rPr>
            </w:pPr>
            <w:r>
              <w:rPr>
                <w:rFonts w:hint="eastAsia"/>
                <w:b/>
                <w:bCs/>
                <w:color w:val="auto"/>
                <w:sz w:val="21"/>
                <w:szCs w:val="21"/>
                <w:highlight w:val="none"/>
              </w:rPr>
              <w:t>注：政府强制采购的节能产品的除外。</w:t>
            </w:r>
          </w:p>
        </w:tc>
      </w:tr>
      <w:tr w14:paraId="4D7D4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3"/>
            <w:tcBorders>
              <w:top w:val="single" w:color="auto" w:sz="4" w:space="0"/>
              <w:left w:val="single" w:color="auto" w:sz="4" w:space="0"/>
              <w:bottom w:val="single" w:color="auto" w:sz="4" w:space="0"/>
              <w:right w:val="single" w:color="auto" w:sz="4" w:space="0"/>
            </w:tcBorders>
            <w:vAlign w:val="center"/>
          </w:tcPr>
          <w:p w14:paraId="379B88BD">
            <w:pPr>
              <w:keepNext w:val="0"/>
              <w:keepLines w:val="0"/>
              <w:pageBreakBefore w:val="0"/>
              <w:kinsoku/>
              <w:wordWrap/>
              <w:overflowPunct/>
              <w:topLinePunct w:val="0"/>
              <w:autoSpaceDE/>
              <w:autoSpaceDN/>
              <w:bidi w:val="0"/>
              <w:snapToGrid w:val="0"/>
              <w:spacing w:line="288" w:lineRule="auto"/>
              <w:textAlignment w:val="auto"/>
              <w:rPr>
                <w:rFonts w:hint="eastAsia" w:eastAsia="宋体"/>
                <w:b/>
                <w:bCs/>
                <w:color w:val="auto"/>
                <w:sz w:val="21"/>
                <w:szCs w:val="21"/>
                <w:highlight w:val="none"/>
                <w:lang w:eastAsia="zh-CN"/>
              </w:rPr>
            </w:pPr>
            <w:r>
              <w:rPr>
                <w:rFonts w:hint="eastAsia"/>
                <w:b/>
                <w:bCs/>
                <w:color w:val="auto"/>
                <w:sz w:val="21"/>
                <w:szCs w:val="21"/>
                <w:highlight w:val="none"/>
              </w:rPr>
              <w:t>技术分</w:t>
            </w:r>
            <w:r>
              <w:rPr>
                <w:rFonts w:hint="eastAsia"/>
                <w:b/>
                <w:bCs/>
                <w:color w:val="auto"/>
                <w:sz w:val="21"/>
                <w:szCs w:val="21"/>
                <w:highlight w:val="none"/>
                <w:lang w:eastAsia="zh-CN"/>
              </w:rPr>
              <w:t>（</w:t>
            </w:r>
            <w:r>
              <w:rPr>
                <w:rFonts w:hint="eastAsia"/>
                <w:b/>
                <w:bCs/>
                <w:color w:val="auto"/>
                <w:sz w:val="21"/>
                <w:szCs w:val="21"/>
                <w:highlight w:val="none"/>
                <w:lang w:val="en-US" w:eastAsia="zh-CN"/>
              </w:rPr>
              <w:t>64</w:t>
            </w:r>
            <w:r>
              <w:rPr>
                <w:rFonts w:hint="eastAsia"/>
                <w:b/>
                <w:bCs/>
                <w:color w:val="auto"/>
                <w:sz w:val="21"/>
                <w:szCs w:val="21"/>
                <w:highlight w:val="none"/>
                <w:lang w:eastAsia="zh-CN"/>
              </w:rPr>
              <w:t>）</w:t>
            </w:r>
          </w:p>
        </w:tc>
      </w:tr>
      <w:tr w14:paraId="2F391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8" w:type="dxa"/>
            <w:vMerge w:val="restart"/>
            <w:vAlign w:val="center"/>
          </w:tcPr>
          <w:p w14:paraId="6F3A1278">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rPr>
              <w:t>技术方案</w:t>
            </w:r>
          </w:p>
        </w:tc>
        <w:tc>
          <w:tcPr>
            <w:tcW w:w="780" w:type="dxa"/>
            <w:vAlign w:val="center"/>
          </w:tcPr>
          <w:p w14:paraId="651A5B57">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5</w:t>
            </w:r>
          </w:p>
        </w:tc>
        <w:tc>
          <w:tcPr>
            <w:tcW w:w="7130" w:type="dxa"/>
            <w:vAlign w:val="center"/>
          </w:tcPr>
          <w:p w14:paraId="71F2C87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【主观分】总体概述：工程概况，施工组织总体设想、方案的针对性及施工阶段的划分等方面情况。</w:t>
            </w:r>
          </w:p>
          <w:p w14:paraId="27F70FC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Cs/>
                <w:color w:val="auto"/>
                <w:sz w:val="21"/>
                <w:szCs w:val="21"/>
                <w:highlight w:val="none"/>
              </w:rPr>
              <w:t>（评分范围：</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4,3,2,1,0）</w:t>
            </w:r>
          </w:p>
        </w:tc>
      </w:tr>
      <w:tr w14:paraId="18491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8" w:type="dxa"/>
            <w:vMerge w:val="continue"/>
            <w:vAlign w:val="center"/>
          </w:tcPr>
          <w:p w14:paraId="702D1FE1">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sz w:val="21"/>
                <w:szCs w:val="21"/>
                <w:highlight w:val="none"/>
              </w:rPr>
            </w:pPr>
          </w:p>
        </w:tc>
        <w:tc>
          <w:tcPr>
            <w:tcW w:w="780" w:type="dxa"/>
            <w:vAlign w:val="center"/>
          </w:tcPr>
          <w:p w14:paraId="13BE7476">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5</w:t>
            </w:r>
          </w:p>
        </w:tc>
        <w:tc>
          <w:tcPr>
            <w:tcW w:w="7130" w:type="dxa"/>
            <w:vAlign w:val="center"/>
          </w:tcPr>
          <w:p w14:paraId="6E66DF3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【主观分】施工用材料、半成品、外购件质量</w:t>
            </w:r>
            <w:r>
              <w:rPr>
                <w:rFonts w:hint="eastAsia" w:ascii="宋体" w:hAnsi="宋体" w:eastAsia="宋体" w:cs="宋体"/>
                <w:bCs/>
                <w:color w:val="auto"/>
                <w:sz w:val="21"/>
                <w:szCs w:val="21"/>
                <w:highlight w:val="none"/>
                <w:lang w:val="en-US" w:eastAsia="zh-CN"/>
              </w:rPr>
              <w:t>选用的品牌型号的档次优劣情况</w:t>
            </w:r>
            <w:r>
              <w:rPr>
                <w:rFonts w:hint="eastAsia" w:ascii="宋体" w:hAnsi="宋体" w:eastAsia="宋体" w:cs="宋体"/>
                <w:bCs/>
                <w:color w:val="auto"/>
                <w:sz w:val="21"/>
                <w:szCs w:val="21"/>
                <w:highlight w:val="none"/>
              </w:rPr>
              <w:t>。</w:t>
            </w:r>
          </w:p>
          <w:p w14:paraId="4756FD4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sz w:val="21"/>
                <w:szCs w:val="21"/>
                <w:highlight w:val="none"/>
              </w:rPr>
              <w:t>（评分范围：</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4,3,2,1,0）</w:t>
            </w:r>
          </w:p>
        </w:tc>
      </w:tr>
      <w:tr w14:paraId="659A4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8" w:type="dxa"/>
            <w:vMerge w:val="continue"/>
            <w:vAlign w:val="center"/>
          </w:tcPr>
          <w:p w14:paraId="603D8417">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sz w:val="21"/>
                <w:szCs w:val="21"/>
                <w:highlight w:val="none"/>
              </w:rPr>
            </w:pPr>
          </w:p>
        </w:tc>
        <w:tc>
          <w:tcPr>
            <w:tcW w:w="780" w:type="dxa"/>
            <w:vAlign w:val="center"/>
          </w:tcPr>
          <w:p w14:paraId="197D01AF">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5</w:t>
            </w:r>
          </w:p>
        </w:tc>
        <w:tc>
          <w:tcPr>
            <w:tcW w:w="7130" w:type="dxa"/>
            <w:vAlign w:val="center"/>
          </w:tcPr>
          <w:p w14:paraId="3E25BC67">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【主观分】对本项目现场情况的了解程度</w:t>
            </w:r>
            <w:r>
              <w:rPr>
                <w:rFonts w:hint="eastAsia" w:ascii="宋体" w:hAnsi="宋体" w:eastAsia="宋体" w:cs="宋体"/>
                <w:bCs/>
                <w:color w:val="auto"/>
                <w:sz w:val="21"/>
                <w:szCs w:val="21"/>
                <w:highlight w:val="none"/>
                <w:lang w:val="en-US" w:eastAsia="zh-CN"/>
              </w:rPr>
              <w:t>及分析</w:t>
            </w:r>
            <w:r>
              <w:rPr>
                <w:rFonts w:hint="eastAsia" w:ascii="宋体" w:hAnsi="宋体" w:eastAsia="宋体" w:cs="宋体"/>
                <w:bCs/>
                <w:color w:val="auto"/>
                <w:sz w:val="21"/>
                <w:szCs w:val="21"/>
                <w:highlight w:val="none"/>
              </w:rPr>
              <w:t>；对校园区域特殊环境下施工措施的阐述。</w:t>
            </w:r>
          </w:p>
          <w:p w14:paraId="6980B8B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sz w:val="21"/>
                <w:szCs w:val="21"/>
                <w:highlight w:val="none"/>
              </w:rPr>
              <w:t>（评分范围：</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4,3,2,1,0）</w:t>
            </w:r>
          </w:p>
        </w:tc>
      </w:tr>
      <w:tr w14:paraId="04348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8" w:type="dxa"/>
            <w:vMerge w:val="continue"/>
            <w:vAlign w:val="center"/>
          </w:tcPr>
          <w:p w14:paraId="4995FBCB">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sz w:val="21"/>
                <w:szCs w:val="21"/>
                <w:highlight w:val="none"/>
              </w:rPr>
            </w:pPr>
          </w:p>
        </w:tc>
        <w:tc>
          <w:tcPr>
            <w:tcW w:w="780" w:type="dxa"/>
            <w:vAlign w:val="center"/>
          </w:tcPr>
          <w:p w14:paraId="25171218">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5</w:t>
            </w:r>
          </w:p>
        </w:tc>
        <w:tc>
          <w:tcPr>
            <w:tcW w:w="7130" w:type="dxa"/>
            <w:vAlign w:val="center"/>
          </w:tcPr>
          <w:p w14:paraId="4F72452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【主观分】针对本工程项目实施的解决方案及施工进度计划网络图。</w:t>
            </w:r>
          </w:p>
          <w:p w14:paraId="49B0599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sz w:val="21"/>
                <w:szCs w:val="21"/>
                <w:highlight w:val="none"/>
              </w:rPr>
              <w:t>（评分范围：</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4,3,2,1,0）</w:t>
            </w:r>
          </w:p>
        </w:tc>
      </w:tr>
      <w:tr w14:paraId="5B23A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8" w:type="dxa"/>
            <w:vMerge w:val="restart"/>
            <w:vAlign w:val="center"/>
          </w:tcPr>
          <w:p w14:paraId="13C0D642">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保障措施</w:t>
            </w:r>
          </w:p>
        </w:tc>
        <w:tc>
          <w:tcPr>
            <w:tcW w:w="780" w:type="dxa"/>
            <w:vAlign w:val="center"/>
          </w:tcPr>
          <w:p w14:paraId="002FE4F9">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5</w:t>
            </w:r>
          </w:p>
        </w:tc>
        <w:tc>
          <w:tcPr>
            <w:tcW w:w="7130" w:type="dxa"/>
            <w:vAlign w:val="center"/>
          </w:tcPr>
          <w:p w14:paraId="03392FD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【主观分】内部管理制度是否全面、有针对性、措施完善，措施得力。</w:t>
            </w:r>
          </w:p>
          <w:p w14:paraId="013D335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sz w:val="21"/>
                <w:szCs w:val="21"/>
                <w:highlight w:val="none"/>
              </w:rPr>
              <w:t>（评分范围：</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4,3,2,1,0）</w:t>
            </w:r>
          </w:p>
        </w:tc>
      </w:tr>
      <w:tr w14:paraId="0F352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8" w:type="dxa"/>
            <w:vMerge w:val="continue"/>
            <w:vAlign w:val="center"/>
          </w:tcPr>
          <w:p w14:paraId="7E7BA9BF">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sz w:val="21"/>
                <w:szCs w:val="21"/>
                <w:highlight w:val="none"/>
              </w:rPr>
            </w:pPr>
          </w:p>
        </w:tc>
        <w:tc>
          <w:tcPr>
            <w:tcW w:w="780" w:type="dxa"/>
            <w:vAlign w:val="center"/>
          </w:tcPr>
          <w:p w14:paraId="356CA9AD">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5</w:t>
            </w:r>
          </w:p>
        </w:tc>
        <w:tc>
          <w:tcPr>
            <w:tcW w:w="7130" w:type="dxa"/>
            <w:vAlign w:val="center"/>
          </w:tcPr>
          <w:p w14:paraId="2AC97B8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【主观分】劳动力、施工机械设备及材料的投入安排，施工各阶段的进度计划以及进度保证措施</w:t>
            </w:r>
            <w:r>
              <w:rPr>
                <w:rFonts w:hint="eastAsia" w:ascii="宋体" w:hAnsi="宋体" w:eastAsia="宋体" w:cs="宋体"/>
                <w:bCs/>
                <w:color w:val="auto"/>
                <w:sz w:val="21"/>
                <w:szCs w:val="21"/>
                <w:highlight w:val="none"/>
                <w:lang w:eastAsia="zh-CN"/>
              </w:rPr>
              <w:t>。</w:t>
            </w:r>
          </w:p>
          <w:p w14:paraId="5368B60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Cs/>
                <w:color w:val="auto"/>
                <w:sz w:val="21"/>
                <w:szCs w:val="21"/>
                <w:highlight w:val="none"/>
              </w:rPr>
              <w:t>（评分范围：</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4,3,2,1,0）</w:t>
            </w:r>
          </w:p>
        </w:tc>
      </w:tr>
      <w:tr w14:paraId="00B9A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8" w:type="dxa"/>
            <w:vMerge w:val="continue"/>
            <w:vAlign w:val="center"/>
          </w:tcPr>
          <w:p w14:paraId="2F010851">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sz w:val="21"/>
                <w:szCs w:val="21"/>
                <w:highlight w:val="none"/>
              </w:rPr>
            </w:pPr>
          </w:p>
        </w:tc>
        <w:tc>
          <w:tcPr>
            <w:tcW w:w="780" w:type="dxa"/>
            <w:vAlign w:val="center"/>
          </w:tcPr>
          <w:p w14:paraId="63CABF22">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5</w:t>
            </w:r>
          </w:p>
        </w:tc>
        <w:tc>
          <w:tcPr>
            <w:tcW w:w="7130" w:type="dxa"/>
            <w:vAlign w:val="center"/>
          </w:tcPr>
          <w:p w14:paraId="2C4409C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【主观分】服从采购人协调和统一管理及配合措施，以及特殊服务承诺措施。</w:t>
            </w:r>
          </w:p>
          <w:p w14:paraId="50FC019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Cs/>
                <w:color w:val="auto"/>
                <w:sz w:val="21"/>
                <w:szCs w:val="21"/>
                <w:highlight w:val="none"/>
              </w:rPr>
              <w:t>（评分范围：</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4,3,2,1,0）</w:t>
            </w:r>
          </w:p>
        </w:tc>
      </w:tr>
      <w:tr w14:paraId="3EA40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8" w:type="dxa"/>
            <w:vMerge w:val="continue"/>
            <w:vAlign w:val="center"/>
          </w:tcPr>
          <w:p w14:paraId="4A72B7B2">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sz w:val="21"/>
                <w:szCs w:val="21"/>
                <w:highlight w:val="none"/>
              </w:rPr>
            </w:pPr>
          </w:p>
        </w:tc>
        <w:tc>
          <w:tcPr>
            <w:tcW w:w="780" w:type="dxa"/>
            <w:vAlign w:val="center"/>
          </w:tcPr>
          <w:p w14:paraId="71E15BE6">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5</w:t>
            </w:r>
          </w:p>
        </w:tc>
        <w:tc>
          <w:tcPr>
            <w:tcW w:w="7130" w:type="dxa"/>
            <w:vAlign w:val="center"/>
          </w:tcPr>
          <w:p w14:paraId="69DBF96D">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Cs/>
                <w:color w:val="auto"/>
                <w:sz w:val="21"/>
                <w:szCs w:val="21"/>
                <w:highlight w:val="none"/>
              </w:rPr>
              <w:t>【主观分】安全、文明施工及市政、市容、环保、消防</w:t>
            </w:r>
            <w:r>
              <w:rPr>
                <w:rFonts w:hint="eastAsia" w:ascii="宋体" w:hAnsi="宋体" w:eastAsia="宋体" w:cs="宋体"/>
                <w:bCs/>
                <w:color w:val="auto"/>
                <w:sz w:val="21"/>
                <w:szCs w:val="21"/>
                <w:highlight w:val="none"/>
                <w:lang w:eastAsia="zh-CN"/>
              </w:rPr>
              <w:t>等</w:t>
            </w:r>
            <w:r>
              <w:rPr>
                <w:rFonts w:hint="eastAsia" w:ascii="宋体" w:hAnsi="宋体" w:eastAsia="宋体" w:cs="宋体"/>
                <w:bCs/>
                <w:color w:val="auto"/>
                <w:sz w:val="21"/>
                <w:szCs w:val="21"/>
                <w:highlight w:val="none"/>
              </w:rPr>
              <w:t>措施的科学性、合理性、合规性。（评分范围：</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4,3,2,1,0）</w:t>
            </w:r>
          </w:p>
        </w:tc>
      </w:tr>
      <w:tr w14:paraId="48F2C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8" w:type="dxa"/>
            <w:vMerge w:val="continue"/>
            <w:vAlign w:val="center"/>
          </w:tcPr>
          <w:p w14:paraId="06557BE7">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sz w:val="21"/>
                <w:szCs w:val="21"/>
                <w:highlight w:val="none"/>
              </w:rPr>
            </w:pPr>
          </w:p>
        </w:tc>
        <w:tc>
          <w:tcPr>
            <w:tcW w:w="780" w:type="dxa"/>
            <w:vAlign w:val="center"/>
          </w:tcPr>
          <w:p w14:paraId="7E15EAA6">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5</w:t>
            </w:r>
          </w:p>
        </w:tc>
        <w:tc>
          <w:tcPr>
            <w:tcW w:w="7130" w:type="dxa"/>
            <w:vAlign w:val="center"/>
          </w:tcPr>
          <w:p w14:paraId="256E162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Cs/>
                <w:color w:val="auto"/>
                <w:sz w:val="21"/>
                <w:szCs w:val="21"/>
                <w:highlight w:val="none"/>
              </w:rPr>
              <w:t>【主观分】施工方案的重难点分析以及控制</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突发事件的应急措施及故障处理</w:t>
            </w:r>
            <w:r>
              <w:rPr>
                <w:rFonts w:hint="eastAsia" w:ascii="宋体" w:hAnsi="宋体" w:eastAsia="宋体" w:cs="宋体"/>
                <w:bCs/>
                <w:color w:val="auto"/>
                <w:sz w:val="21"/>
                <w:szCs w:val="21"/>
                <w:highlight w:val="none"/>
                <w:lang w:val="en-US" w:eastAsia="zh-CN"/>
              </w:rPr>
              <w:t>方案</w:t>
            </w:r>
            <w:r>
              <w:rPr>
                <w:rFonts w:hint="eastAsia" w:ascii="宋体" w:hAnsi="宋体" w:eastAsia="宋体" w:cs="宋体"/>
                <w:bCs/>
                <w:color w:val="auto"/>
                <w:sz w:val="21"/>
                <w:szCs w:val="21"/>
                <w:highlight w:val="none"/>
              </w:rPr>
              <w:t>。（评分范围：</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4,3,2,1,0）</w:t>
            </w:r>
          </w:p>
        </w:tc>
      </w:tr>
      <w:tr w14:paraId="2DA27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8" w:type="dxa"/>
            <w:vAlign w:val="center"/>
          </w:tcPr>
          <w:p w14:paraId="11347AB4">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项目负责人</w:t>
            </w:r>
            <w:r>
              <w:rPr>
                <w:rFonts w:hint="eastAsia" w:ascii="宋体" w:hAnsi="宋体" w:eastAsia="宋体" w:cs="宋体"/>
                <w:b/>
                <w:bCs/>
                <w:color w:val="auto"/>
                <w:sz w:val="21"/>
                <w:szCs w:val="21"/>
                <w:highlight w:val="none"/>
              </w:rPr>
              <w:t>要求</w:t>
            </w:r>
          </w:p>
        </w:tc>
        <w:tc>
          <w:tcPr>
            <w:tcW w:w="780" w:type="dxa"/>
            <w:vAlign w:val="center"/>
          </w:tcPr>
          <w:p w14:paraId="15A8DF17">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w:t>
            </w:r>
          </w:p>
        </w:tc>
        <w:tc>
          <w:tcPr>
            <w:tcW w:w="7130" w:type="dxa"/>
            <w:vAlign w:val="center"/>
          </w:tcPr>
          <w:p w14:paraId="3D96358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Cs/>
                <w:color w:val="auto"/>
                <w:sz w:val="21"/>
                <w:szCs w:val="21"/>
                <w:highlight w:val="none"/>
              </w:rPr>
              <w:t>【主观分】项目负责人</w:t>
            </w:r>
            <w:r>
              <w:rPr>
                <w:rFonts w:hint="eastAsia" w:ascii="宋体" w:hAnsi="宋体" w:eastAsia="宋体" w:cs="宋体"/>
                <w:bCs/>
                <w:color w:val="auto"/>
                <w:sz w:val="21"/>
                <w:szCs w:val="21"/>
                <w:highlight w:val="none"/>
                <w:lang w:val="en-US" w:eastAsia="zh-CN"/>
              </w:rPr>
              <w:t>到位率情况。</w:t>
            </w:r>
            <w:r>
              <w:rPr>
                <w:rFonts w:hint="eastAsia" w:ascii="宋体" w:hAnsi="宋体" w:eastAsia="宋体" w:cs="宋体"/>
                <w:bCs/>
                <w:color w:val="auto"/>
                <w:sz w:val="21"/>
                <w:szCs w:val="21"/>
                <w:highlight w:val="none"/>
              </w:rPr>
              <w:t>（评分范围：4,3,2,1,0）</w:t>
            </w:r>
          </w:p>
        </w:tc>
      </w:tr>
      <w:tr w14:paraId="0449E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8" w:type="dxa"/>
            <w:vMerge w:val="restart"/>
            <w:vAlign w:val="center"/>
          </w:tcPr>
          <w:p w14:paraId="0DAB17C7">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团队人员要求</w:t>
            </w:r>
          </w:p>
        </w:tc>
        <w:tc>
          <w:tcPr>
            <w:tcW w:w="780" w:type="dxa"/>
            <w:vAlign w:val="center"/>
          </w:tcPr>
          <w:p w14:paraId="0C816374">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5</w:t>
            </w:r>
          </w:p>
        </w:tc>
        <w:tc>
          <w:tcPr>
            <w:tcW w:w="7130" w:type="dxa"/>
            <w:vAlign w:val="center"/>
          </w:tcPr>
          <w:p w14:paraId="35695F2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sz w:val="21"/>
                <w:szCs w:val="21"/>
                <w:highlight w:val="none"/>
              </w:rPr>
              <w:t>【主观分】项目管理班子的人员配备情况，项目组人员的数量是否充分、配备是否合理、资质情况等。（评分范围：</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4,3,2,1,0）</w:t>
            </w:r>
          </w:p>
        </w:tc>
      </w:tr>
      <w:tr w14:paraId="7E85E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8" w:type="dxa"/>
            <w:vMerge w:val="continue"/>
            <w:vAlign w:val="center"/>
          </w:tcPr>
          <w:p w14:paraId="53E928A0">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kern w:val="2"/>
                <w:sz w:val="21"/>
                <w:szCs w:val="21"/>
                <w:highlight w:val="none"/>
                <w:lang w:val="en-US" w:eastAsia="zh-CN" w:bidi="ar-SA"/>
              </w:rPr>
            </w:pPr>
          </w:p>
        </w:tc>
        <w:tc>
          <w:tcPr>
            <w:tcW w:w="780" w:type="dxa"/>
            <w:shd w:val="clear" w:color="auto" w:fill="auto"/>
            <w:vAlign w:val="center"/>
          </w:tcPr>
          <w:p w14:paraId="6D2B346C">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5</w:t>
            </w:r>
          </w:p>
        </w:tc>
        <w:tc>
          <w:tcPr>
            <w:tcW w:w="7130" w:type="dxa"/>
            <w:shd w:val="clear" w:color="auto" w:fill="auto"/>
            <w:vAlign w:val="center"/>
          </w:tcPr>
          <w:p w14:paraId="2303A5E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sz w:val="21"/>
                <w:szCs w:val="21"/>
                <w:highlight w:val="none"/>
              </w:rPr>
              <w:t>【主观分】项目管理班子的人员类似经验</w:t>
            </w:r>
            <w:r>
              <w:rPr>
                <w:rFonts w:hint="eastAsia" w:ascii="宋体" w:hAnsi="宋体" w:eastAsia="宋体" w:cs="宋体"/>
                <w:bCs/>
                <w:color w:val="auto"/>
                <w:sz w:val="21"/>
                <w:szCs w:val="21"/>
                <w:highlight w:val="none"/>
                <w:lang w:val="en-US" w:eastAsia="zh-CN"/>
              </w:rPr>
              <w:t>情况</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（评分范围：</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4,3,2,1,0）</w:t>
            </w:r>
          </w:p>
        </w:tc>
      </w:tr>
      <w:tr w14:paraId="56121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8" w:type="dxa"/>
            <w:vMerge w:val="continue"/>
            <w:vAlign w:val="center"/>
          </w:tcPr>
          <w:p w14:paraId="37CB9352">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kern w:val="2"/>
                <w:sz w:val="21"/>
                <w:szCs w:val="21"/>
                <w:highlight w:val="none"/>
                <w:lang w:val="en-US" w:eastAsia="zh-CN" w:bidi="ar-SA"/>
              </w:rPr>
            </w:pPr>
          </w:p>
        </w:tc>
        <w:tc>
          <w:tcPr>
            <w:tcW w:w="780" w:type="dxa"/>
            <w:vAlign w:val="center"/>
          </w:tcPr>
          <w:p w14:paraId="21B8FE7D">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5</w:t>
            </w:r>
          </w:p>
        </w:tc>
        <w:tc>
          <w:tcPr>
            <w:tcW w:w="7130" w:type="dxa"/>
            <w:vAlign w:val="center"/>
          </w:tcPr>
          <w:p w14:paraId="2D0B938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Cs/>
                <w:color w:val="auto"/>
                <w:sz w:val="21"/>
                <w:szCs w:val="21"/>
                <w:highlight w:val="none"/>
              </w:rPr>
              <w:t>【主观分】</w:t>
            </w:r>
            <w:r>
              <w:rPr>
                <w:rFonts w:hint="eastAsia" w:ascii="宋体" w:hAnsi="宋体" w:eastAsia="宋体" w:cs="宋体"/>
                <w:bCs/>
                <w:color w:val="auto"/>
                <w:sz w:val="21"/>
                <w:szCs w:val="21"/>
                <w:highlight w:val="none"/>
                <w:lang w:val="en-US" w:eastAsia="zh-CN"/>
              </w:rPr>
              <w:t>技术负责人到位率、</w:t>
            </w:r>
            <w:r>
              <w:rPr>
                <w:rFonts w:hint="eastAsia" w:ascii="宋体" w:hAnsi="宋体" w:eastAsia="宋体" w:cs="宋体"/>
                <w:bCs/>
                <w:color w:val="auto"/>
                <w:sz w:val="21"/>
                <w:szCs w:val="21"/>
                <w:highlight w:val="none"/>
              </w:rPr>
              <w:t>类似经验</w:t>
            </w:r>
            <w:r>
              <w:rPr>
                <w:rFonts w:hint="eastAsia" w:ascii="宋体" w:hAnsi="宋体" w:eastAsia="宋体" w:cs="宋体"/>
                <w:bCs/>
                <w:color w:val="auto"/>
                <w:sz w:val="21"/>
                <w:szCs w:val="21"/>
                <w:highlight w:val="none"/>
                <w:lang w:val="en-US" w:eastAsia="zh-CN"/>
              </w:rPr>
              <w:t>情况</w:t>
            </w:r>
            <w:r>
              <w:rPr>
                <w:rFonts w:hint="eastAsia" w:ascii="宋体" w:hAnsi="宋体" w:eastAsia="宋体" w:cs="宋体"/>
                <w:bCs/>
                <w:color w:val="auto"/>
                <w:sz w:val="21"/>
                <w:szCs w:val="21"/>
                <w:highlight w:val="none"/>
              </w:rPr>
              <w:t>。（评分范围：</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4,3,2,1,0）</w:t>
            </w:r>
          </w:p>
        </w:tc>
      </w:tr>
    </w:tbl>
    <w:p w14:paraId="452A5F5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4C47167B">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14:paraId="2CB05CA8">
      <w:pPr>
        <w:widowControl w:val="0"/>
        <w:snapToGrid w:val="0"/>
        <w:spacing w:before="120" w:beforeLines="0" w:after="120" w:afterLines="0" w:line="288" w:lineRule="auto"/>
        <w:jc w:val="center"/>
        <w:rPr>
          <w:rFonts w:hint="eastAsia" w:ascii="方正小标宋简体" w:hAnsi="方正小标宋简体" w:eastAsia="方正小标宋简体" w:cs="方正小标宋简体"/>
          <w:b w:val="0"/>
          <w:bCs/>
          <w:color w:val="auto"/>
          <w:spacing w:val="-6"/>
          <w:kern w:val="2"/>
          <w:sz w:val="36"/>
          <w:szCs w:val="36"/>
          <w:highlight w:val="none"/>
          <w:lang w:val="en-US" w:eastAsia="zh-CN" w:bidi="ar-SA"/>
        </w:rPr>
      </w:pPr>
      <w:r>
        <w:rPr>
          <w:rFonts w:hint="eastAsia" w:ascii="方正小标宋简体" w:hAnsi="方正小标宋简体" w:eastAsia="方正小标宋简体" w:cs="方正小标宋简体"/>
          <w:b w:val="0"/>
          <w:bCs/>
          <w:color w:val="auto"/>
          <w:spacing w:val="-6"/>
          <w:kern w:val="2"/>
          <w:sz w:val="36"/>
          <w:szCs w:val="36"/>
          <w:highlight w:val="none"/>
          <w:lang w:val="en-US" w:eastAsia="zh-CN" w:bidi="ar-SA"/>
        </w:rPr>
        <w:t>项目采购合同</w:t>
      </w:r>
    </w:p>
    <w:p w14:paraId="0D097199">
      <w:pPr>
        <w:spacing w:line="288" w:lineRule="auto"/>
        <w:rPr>
          <w:rFonts w:hint="eastAsia" w:ascii="宋体" w:hAnsi="宋体" w:eastAsia="宋体" w:cs="宋体"/>
          <w:color w:val="auto"/>
          <w:spacing w:val="-6"/>
          <w:sz w:val="21"/>
          <w:szCs w:val="21"/>
          <w:highlight w:val="none"/>
          <w:lang w:bidi="ar"/>
        </w:rPr>
      </w:pPr>
    </w:p>
    <w:p w14:paraId="596BA872">
      <w:pPr>
        <w:spacing w:line="288" w:lineRule="auto"/>
        <w:rPr>
          <w:rFonts w:hint="eastAsia" w:ascii="宋体" w:hAnsi="宋体" w:eastAsia="宋体" w:cs="Times New Roman"/>
          <w:color w:val="auto"/>
          <w:sz w:val="21"/>
          <w:szCs w:val="21"/>
          <w:highlight w:val="none"/>
        </w:rPr>
      </w:pPr>
      <w:r>
        <w:rPr>
          <w:rFonts w:hint="eastAsia" w:ascii="宋体" w:hAnsi="宋体" w:eastAsia="宋体" w:cs="宋体"/>
          <w:color w:val="auto"/>
          <w:spacing w:val="-6"/>
          <w:sz w:val="21"/>
          <w:szCs w:val="21"/>
          <w:highlight w:val="none"/>
          <w:lang w:bidi="ar"/>
        </w:rPr>
        <w:t>采购编号：</w:t>
      </w:r>
      <w:r>
        <w:rPr>
          <w:rFonts w:hint="eastAsia" w:ascii="宋体" w:hAnsi="宋体" w:eastAsia="宋体" w:cs="宋体"/>
          <w:color w:val="auto"/>
          <w:spacing w:val="-6"/>
          <w:sz w:val="21"/>
          <w:szCs w:val="21"/>
          <w:highlight w:val="none"/>
          <w:lang w:val="en-US" w:eastAsia="zh-CN" w:bidi="ar"/>
        </w:rPr>
        <w:t xml:space="preserve">      </w:t>
      </w:r>
      <w:r>
        <w:rPr>
          <w:rFonts w:hint="eastAsia" w:ascii="宋体" w:hAnsi="宋体" w:eastAsia="宋体" w:cs="宋体"/>
          <w:color w:val="auto"/>
          <w:spacing w:val="-6"/>
          <w:sz w:val="21"/>
          <w:szCs w:val="21"/>
          <w:highlight w:val="none"/>
          <w:lang w:bidi="ar"/>
        </w:rPr>
        <w:t xml:space="preserve">                                 确认书号：</w:t>
      </w:r>
    </w:p>
    <w:p w14:paraId="7ABE696C">
      <w:pPr>
        <w:spacing w:line="288" w:lineRule="auto"/>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lang w:bidi="ar"/>
        </w:rPr>
        <w:t>甲方（发包人）：</w:t>
      </w:r>
      <w:r>
        <w:rPr>
          <w:rFonts w:hint="eastAsia" w:ascii="宋体" w:hAnsi="宋体" w:eastAsia="宋体" w:cs="宋体"/>
          <w:color w:val="auto"/>
          <w:spacing w:val="-6"/>
          <w:sz w:val="21"/>
          <w:szCs w:val="21"/>
          <w:highlight w:val="none"/>
          <w:lang w:eastAsia="zh-CN" w:bidi="ar"/>
        </w:rPr>
        <w:t>浙江省人防指挥工程管理所</w:t>
      </w:r>
    </w:p>
    <w:p w14:paraId="0EC88DC3">
      <w:pPr>
        <w:spacing w:line="288"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乙方（承包人）：</w:t>
      </w:r>
    </w:p>
    <w:p w14:paraId="79156189">
      <w:pPr>
        <w:spacing w:line="288"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采购代理机构：浙江求是招标代理有限公司</w:t>
      </w:r>
    </w:p>
    <w:p w14:paraId="17321BF6">
      <w:pPr>
        <w:spacing w:line="288" w:lineRule="auto"/>
        <w:rPr>
          <w:rFonts w:hint="eastAsia" w:ascii="宋体" w:hAnsi="宋体" w:eastAsia="宋体" w:cs="宋体"/>
          <w:color w:val="auto"/>
          <w:spacing w:val="-6"/>
          <w:sz w:val="21"/>
          <w:szCs w:val="21"/>
          <w:highlight w:val="none"/>
          <w:lang w:bidi="ar"/>
        </w:rPr>
      </w:pPr>
      <w:r>
        <w:rPr>
          <w:rFonts w:hint="eastAsia" w:ascii="宋体" w:hAnsi="宋体" w:eastAsia="宋体" w:cs="宋体"/>
          <w:color w:val="auto"/>
          <w:spacing w:val="-6"/>
          <w:sz w:val="21"/>
          <w:szCs w:val="21"/>
          <w:highlight w:val="none"/>
          <w:lang w:bidi="ar"/>
        </w:rPr>
        <w:t>签约时间、地点： 202</w:t>
      </w:r>
      <w:r>
        <w:rPr>
          <w:rFonts w:hint="eastAsia" w:ascii="宋体" w:hAnsi="宋体" w:eastAsia="宋体" w:cs="宋体"/>
          <w:color w:val="auto"/>
          <w:spacing w:val="-6"/>
          <w:sz w:val="21"/>
          <w:szCs w:val="21"/>
          <w:highlight w:val="none"/>
          <w:lang w:val="en-US" w:eastAsia="zh-CN" w:bidi="ar"/>
        </w:rPr>
        <w:t>5</w:t>
      </w:r>
      <w:r>
        <w:rPr>
          <w:rFonts w:hint="eastAsia" w:ascii="宋体" w:hAnsi="宋体" w:eastAsia="宋体" w:cs="宋体"/>
          <w:color w:val="auto"/>
          <w:spacing w:val="-6"/>
          <w:sz w:val="21"/>
          <w:szCs w:val="21"/>
          <w:highlight w:val="none"/>
          <w:lang w:bidi="ar"/>
        </w:rPr>
        <w:t>年  月   日，杭州</w:t>
      </w:r>
    </w:p>
    <w:p w14:paraId="7F81D2FF">
      <w:pPr>
        <w:keepNext/>
        <w:keepLines/>
        <w:widowControl w:val="0"/>
        <w:spacing w:before="100" w:line="400" w:lineRule="exact"/>
        <w:jc w:val="center"/>
        <w:outlineLvl w:val="1"/>
        <w:rPr>
          <w:rFonts w:hint="eastAsia" w:ascii="宋体" w:hAnsi="宋体" w:eastAsia="宋体" w:cs="宋体"/>
          <w:color w:val="auto"/>
          <w:kern w:val="2"/>
          <w:sz w:val="21"/>
          <w:szCs w:val="21"/>
          <w:highlight w:val="none"/>
          <w:lang w:val="en-US" w:eastAsia="zh-CN" w:bidi="ar-SA"/>
        </w:rPr>
      </w:pPr>
      <w:bookmarkStart w:id="46" w:name="_Toc69485865"/>
      <w:bookmarkStart w:id="47" w:name="_Toc32130"/>
      <w:r>
        <w:rPr>
          <w:rFonts w:hint="eastAsia" w:ascii="宋体" w:hAnsi="宋体" w:eastAsia="宋体" w:cs="宋体"/>
          <w:color w:val="auto"/>
          <w:kern w:val="2"/>
          <w:sz w:val="21"/>
          <w:szCs w:val="21"/>
          <w:highlight w:val="none"/>
          <w:lang w:val="en-US" w:eastAsia="zh-CN" w:bidi="ar-SA"/>
        </w:rPr>
        <w:t>第一部分  合同协议书</w:t>
      </w:r>
      <w:bookmarkEnd w:id="46"/>
      <w:bookmarkEnd w:id="47"/>
    </w:p>
    <w:p w14:paraId="07970944">
      <w:pPr>
        <w:spacing w:line="300" w:lineRule="auto"/>
        <w:ind w:firstLine="411" w:firstLineChars="196"/>
        <w:rPr>
          <w:rFonts w:hint="default"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浙江省人防指挥工程管理所</w:t>
      </w:r>
      <w:r>
        <w:rPr>
          <w:rFonts w:hint="eastAsia" w:ascii="宋体" w:hAnsi="宋体" w:eastAsia="宋体" w:cs="宋体"/>
          <w:color w:val="auto"/>
          <w:sz w:val="21"/>
          <w:szCs w:val="21"/>
          <w:highlight w:val="none"/>
          <w:u w:val="single"/>
          <w:lang w:val="en-US" w:eastAsia="zh-CN"/>
        </w:rPr>
        <w:t xml:space="preserve">      </w:t>
      </w:r>
    </w:p>
    <w:p w14:paraId="4D49608A">
      <w:pPr>
        <w:spacing w:line="300" w:lineRule="auto"/>
        <w:ind w:firstLine="411" w:firstLineChars="196"/>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bookmarkStart w:id="48" w:name="SOA_hhxys_cb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bookmarkEnd w:id="48"/>
      <w:r>
        <w:rPr>
          <w:rFonts w:hint="eastAsia" w:ascii="宋体" w:hAnsi="宋体" w:eastAsia="宋体" w:cs="宋体"/>
          <w:color w:val="auto"/>
          <w:sz w:val="21"/>
          <w:szCs w:val="21"/>
          <w:highlight w:val="none"/>
          <w:u w:val="single"/>
        </w:rPr>
        <w:t xml:space="preserve">   </w:t>
      </w:r>
    </w:p>
    <w:p w14:paraId="5145C671">
      <w:pPr>
        <w:spacing w:line="30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 《中华人民共和国建筑法》及有关法律规定，遵循平等、自愿、公平和诚实信用的原则，双方就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前山山坡坡道边坡加固治理工程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工程施工及有关事项协商一致，共同达成如下协议：</w:t>
      </w:r>
    </w:p>
    <w:p w14:paraId="5BC3166C">
      <w:pPr>
        <w:spacing w:before="38" w:beforeLines="10" w:after="38" w:afterLines="10" w:line="300" w:lineRule="auto"/>
        <w:outlineLvl w:val="1"/>
        <w:rPr>
          <w:rFonts w:hint="eastAsia" w:ascii="宋体" w:hAnsi="宋体" w:eastAsia="宋体" w:cs="宋体"/>
          <w:color w:val="auto"/>
          <w:sz w:val="21"/>
          <w:szCs w:val="21"/>
          <w:highlight w:val="none"/>
        </w:rPr>
      </w:pPr>
      <w:bookmarkStart w:id="49" w:name="_Toc361220410"/>
      <w:bookmarkStart w:id="50" w:name="_Toc69485866"/>
      <w:r>
        <w:rPr>
          <w:rFonts w:hint="eastAsia" w:ascii="宋体" w:hAnsi="宋体" w:eastAsia="宋体" w:cs="宋体"/>
          <w:color w:val="auto"/>
          <w:sz w:val="21"/>
          <w:szCs w:val="21"/>
          <w:highlight w:val="none"/>
        </w:rPr>
        <w:t>一、工程概况</w:t>
      </w:r>
      <w:bookmarkEnd w:id="49"/>
      <w:bookmarkEnd w:id="50"/>
    </w:p>
    <w:p w14:paraId="40088A9D">
      <w:pPr>
        <w:spacing w:line="300" w:lineRule="auto"/>
        <w:ind w:firstLine="411" w:firstLineChars="196"/>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前山山坡坡道边坡加固治理工程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9071FAA">
      <w:pPr>
        <w:spacing w:line="300" w:lineRule="auto"/>
        <w:ind w:firstLine="411" w:firstLine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2.工程地点：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浙江省人防指挥工程管理所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3C755F2">
      <w:pPr>
        <w:spacing w:line="300" w:lineRule="auto"/>
        <w:ind w:firstLine="411" w:firstLine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3.工程立项批准文号：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bCs/>
          <w:color w:val="auto"/>
          <w:sz w:val="21"/>
          <w:szCs w:val="21"/>
          <w:highlight w:val="none"/>
        </w:rPr>
        <w:t>。</w:t>
      </w:r>
    </w:p>
    <w:p w14:paraId="52C8EE3B">
      <w:pPr>
        <w:spacing w:line="300" w:lineRule="auto"/>
        <w:ind w:firstLine="411" w:firstLine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4.资金来源：</w:t>
      </w:r>
      <w:r>
        <w:rPr>
          <w:rFonts w:hint="eastAsia" w:ascii="宋体" w:hAnsi="宋体" w:eastAsia="宋体" w:cs="宋体"/>
          <w:color w:val="auto"/>
          <w:sz w:val="21"/>
          <w:szCs w:val="21"/>
          <w:highlight w:val="none"/>
          <w:u w:val="single"/>
        </w:rPr>
        <w:t>财政资金</w:t>
      </w:r>
      <w:r>
        <w:rPr>
          <w:rFonts w:hint="eastAsia" w:ascii="宋体" w:hAnsi="宋体" w:eastAsia="宋体" w:cs="宋体"/>
          <w:bCs/>
          <w:color w:val="auto"/>
          <w:sz w:val="21"/>
          <w:szCs w:val="21"/>
          <w:highlight w:val="none"/>
        </w:rPr>
        <w:t>。</w:t>
      </w:r>
    </w:p>
    <w:p w14:paraId="1C07B2B7">
      <w:pPr>
        <w:spacing w:line="300" w:lineRule="auto"/>
        <w:ind w:firstLine="405" w:firstLineChars="193"/>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5.工程内容：                           </w:t>
      </w:r>
      <w:r>
        <w:rPr>
          <w:rFonts w:hint="eastAsia" w:ascii="宋体" w:hAnsi="宋体" w:eastAsia="宋体" w:cs="宋体"/>
          <w:color w:val="auto"/>
          <w:sz w:val="21"/>
          <w:szCs w:val="21"/>
          <w:highlight w:val="none"/>
        </w:rPr>
        <w:t xml:space="preserve"> </w:t>
      </w:r>
    </w:p>
    <w:p w14:paraId="15131736">
      <w:pPr>
        <w:spacing w:line="300" w:lineRule="auto"/>
        <w:ind w:firstLine="411" w:firstLineChars="196"/>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群体工程应附《承包人承揽工程项目一览表》（附件1）。</w:t>
      </w:r>
    </w:p>
    <w:p w14:paraId="421DEB74">
      <w:pPr>
        <w:spacing w:line="300" w:lineRule="auto"/>
        <w:ind w:firstLine="411" w:firstLine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6.工程承包范围：</w:t>
      </w:r>
    </w:p>
    <w:p w14:paraId="2B39589D">
      <w:pPr>
        <w:spacing w:line="300" w:lineRule="auto"/>
        <w:ind w:firstLine="405" w:firstLineChars="193"/>
        <w:rPr>
          <w:rFonts w:hint="eastAsia" w:ascii="宋体" w:hAnsi="宋体" w:eastAsia="宋体" w:cs="宋体"/>
          <w:bCs/>
          <w:color w:val="auto"/>
          <w:sz w:val="21"/>
          <w:szCs w:val="21"/>
          <w:highlight w:val="none"/>
        </w:rPr>
      </w:pPr>
      <w:bookmarkStart w:id="51" w:name="_Toc361220411"/>
      <w:r>
        <w:rPr>
          <w:rFonts w:hint="eastAsia" w:ascii="宋体" w:hAnsi="宋体" w:eastAsia="宋体" w:cs="宋体"/>
          <w:bCs/>
          <w:color w:val="auto"/>
          <w:sz w:val="21"/>
          <w:szCs w:val="21"/>
          <w:highlight w:val="none"/>
        </w:rPr>
        <w:t>本项目为</w:t>
      </w:r>
      <w:r>
        <w:rPr>
          <w:rFonts w:hint="eastAsia" w:ascii="宋体" w:hAnsi="宋体" w:eastAsia="宋体" w:cs="宋体"/>
          <w:bCs/>
          <w:color w:val="auto"/>
          <w:sz w:val="21"/>
          <w:szCs w:val="21"/>
          <w:highlight w:val="none"/>
          <w:lang w:val="en-US" w:eastAsia="zh-CN"/>
        </w:rPr>
        <w:t>前山山坡坡道边坡加固治理工程</w:t>
      </w:r>
      <w:r>
        <w:rPr>
          <w:rFonts w:hint="eastAsia" w:ascii="宋体" w:hAnsi="宋体" w:eastAsia="宋体" w:cs="宋体"/>
          <w:bCs/>
          <w:color w:val="auto"/>
          <w:sz w:val="21"/>
          <w:szCs w:val="21"/>
          <w:highlight w:val="none"/>
        </w:rPr>
        <w:t>，详见施工图及工程量清单</w:t>
      </w:r>
    </w:p>
    <w:p w14:paraId="018104A6">
      <w:pPr>
        <w:spacing w:line="300" w:lineRule="auto"/>
        <w:ind w:firstLine="420" w:firstLineChars="200"/>
        <w:outlineLvl w:val="1"/>
        <w:rPr>
          <w:rFonts w:hint="eastAsia" w:ascii="宋体" w:hAnsi="宋体" w:eastAsia="宋体" w:cs="宋体"/>
          <w:b/>
          <w:color w:val="auto"/>
          <w:sz w:val="21"/>
          <w:szCs w:val="21"/>
          <w:highlight w:val="none"/>
        </w:rPr>
      </w:pPr>
      <w:bookmarkStart w:id="52" w:name="_Toc69485867"/>
      <w:r>
        <w:rPr>
          <w:rFonts w:hint="eastAsia" w:ascii="宋体" w:hAnsi="宋体" w:eastAsia="宋体" w:cs="宋体"/>
          <w:color w:val="auto"/>
          <w:sz w:val="21"/>
          <w:szCs w:val="21"/>
          <w:highlight w:val="none"/>
        </w:rPr>
        <w:t>二、合同工期</w:t>
      </w:r>
      <w:bookmarkEnd w:id="51"/>
      <w:bookmarkEnd w:id="52"/>
    </w:p>
    <w:p w14:paraId="1E6EC2EA">
      <w:pPr>
        <w:spacing w:line="300" w:lineRule="auto"/>
        <w:ind w:firstLine="4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202</w:t>
      </w:r>
      <w:r>
        <w:rPr>
          <w:rFonts w:hint="eastAsia" w:ascii="宋体" w:hAnsi="宋体" w:eastAsia="宋体" w:cs="宋体"/>
          <w:color w:val="auto"/>
          <w:sz w:val="21"/>
          <w:szCs w:val="21"/>
          <w:highlight w:val="none"/>
          <w:u w:val="single"/>
          <w:lang w:val="en-US" w:eastAsia="zh-CN"/>
        </w:rPr>
        <w:t>5</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3E39BDCD">
      <w:pPr>
        <w:spacing w:line="300" w:lineRule="auto"/>
        <w:ind w:firstLine="459"/>
        <w:rPr>
          <w:rFonts w:hint="eastAsia" w:ascii="宋体" w:hAnsi="宋体" w:eastAsia="宋体" w:cs="宋体"/>
          <w:color w:val="auto"/>
          <w:sz w:val="21"/>
          <w:szCs w:val="21"/>
          <w:highlight w:val="none"/>
        </w:rPr>
      </w:pPr>
      <w:bookmarkStart w:id="53" w:name="SOA_hhxys_jgn"/>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202</w:t>
      </w:r>
      <w:r>
        <w:rPr>
          <w:rFonts w:hint="eastAsia" w:ascii="宋体" w:hAnsi="宋体" w:eastAsia="宋体" w:cs="宋体"/>
          <w:color w:val="auto"/>
          <w:sz w:val="21"/>
          <w:szCs w:val="21"/>
          <w:highlight w:val="none"/>
          <w:u w:val="single"/>
          <w:lang w:val="en-US" w:eastAsia="zh-CN"/>
        </w:rPr>
        <w:t>5</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bookmarkEnd w:id="53"/>
    </w:p>
    <w:p w14:paraId="07D68EB4">
      <w:pPr>
        <w:spacing w:line="300" w:lineRule="auto"/>
        <w:ind w:firstLine="4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天。工期总日历天数与根据前述计划开竣工日期计算的工期天数不一致的，以工期总日历天数为准。</w:t>
      </w:r>
    </w:p>
    <w:p w14:paraId="06E273A5">
      <w:pPr>
        <w:spacing w:line="300" w:lineRule="auto"/>
        <w:outlineLvl w:val="1"/>
        <w:rPr>
          <w:rFonts w:hint="eastAsia" w:ascii="宋体" w:hAnsi="宋体" w:eastAsia="宋体" w:cs="宋体"/>
          <w:bCs/>
          <w:color w:val="auto"/>
          <w:sz w:val="21"/>
          <w:szCs w:val="21"/>
          <w:highlight w:val="none"/>
        </w:rPr>
      </w:pPr>
      <w:bookmarkStart w:id="54" w:name="_Toc361220412"/>
      <w:bookmarkStart w:id="55" w:name="_Toc69485868"/>
      <w:r>
        <w:rPr>
          <w:rFonts w:hint="eastAsia" w:ascii="宋体" w:hAnsi="宋体" w:eastAsia="宋体" w:cs="宋体"/>
          <w:color w:val="auto"/>
          <w:sz w:val="21"/>
          <w:szCs w:val="21"/>
          <w:highlight w:val="none"/>
        </w:rPr>
        <w:t>三、质量标准</w:t>
      </w:r>
      <w:bookmarkEnd w:id="54"/>
      <w:bookmarkEnd w:id="55"/>
    </w:p>
    <w:p w14:paraId="7636863E">
      <w:pPr>
        <w:spacing w:line="300" w:lineRule="auto"/>
        <w:ind w:firstLine="4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工程质量符合</w:t>
      </w:r>
      <w:r>
        <w:rPr>
          <w:rFonts w:hint="eastAsia" w:ascii="宋体" w:hAnsi="宋体" w:eastAsia="宋体" w:cs="宋体"/>
          <w:color w:val="auto"/>
          <w:sz w:val="21"/>
          <w:szCs w:val="21"/>
          <w:highlight w:val="none"/>
          <w:u w:val="single"/>
        </w:rPr>
        <w:t></w:t>
      </w:r>
      <w:bookmarkStart w:id="56" w:name="SOA_hhxys_zlbz"/>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合格</w:t>
      </w:r>
      <w:r>
        <w:rPr>
          <w:rFonts w:hint="eastAsia" w:ascii="宋体" w:hAnsi="宋体" w:eastAsia="宋体" w:cs="宋体"/>
          <w:color w:val="auto"/>
          <w:sz w:val="21"/>
          <w:szCs w:val="21"/>
          <w:highlight w:val="none"/>
          <w:u w:val="single"/>
        </w:rPr>
        <w:t xml:space="preserve">   </w:t>
      </w:r>
      <w:bookmarkEnd w:id="56"/>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标准。</w:t>
      </w:r>
    </w:p>
    <w:p w14:paraId="2BFE485F">
      <w:pPr>
        <w:spacing w:line="300" w:lineRule="auto"/>
        <w:outlineLvl w:val="1"/>
        <w:rPr>
          <w:rFonts w:hint="eastAsia" w:ascii="宋体" w:hAnsi="宋体" w:eastAsia="宋体" w:cs="宋体"/>
          <w:bCs/>
          <w:color w:val="auto"/>
          <w:sz w:val="21"/>
          <w:szCs w:val="21"/>
          <w:highlight w:val="none"/>
        </w:rPr>
      </w:pPr>
      <w:bookmarkStart w:id="57" w:name="_Toc361220413"/>
      <w:bookmarkStart w:id="58" w:name="_Toc69485869"/>
      <w:r>
        <w:rPr>
          <w:rFonts w:hint="eastAsia" w:ascii="宋体" w:hAnsi="宋体" w:eastAsia="宋体" w:cs="宋体"/>
          <w:color w:val="auto"/>
          <w:sz w:val="21"/>
          <w:szCs w:val="21"/>
          <w:highlight w:val="none"/>
        </w:rPr>
        <w:t>四、签约合同价与合同价格形式</w:t>
      </w:r>
      <w:bookmarkEnd w:id="57"/>
      <w:bookmarkEnd w:id="58"/>
    </w:p>
    <w:p w14:paraId="4ACB3C08">
      <w:pPr>
        <w:spacing w:line="30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w:t>
      </w:r>
    </w:p>
    <w:p w14:paraId="40CACE44">
      <w:pPr>
        <w:spacing w:line="300" w:lineRule="auto"/>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bookmarkStart w:id="59" w:name="SOA_hhxys_htjdx"/>
      <w:r>
        <w:rPr>
          <w:rFonts w:hint="eastAsia" w:ascii="宋体" w:hAnsi="宋体" w:eastAsia="宋体" w:cs="宋体"/>
          <w:color w:val="auto"/>
          <w:sz w:val="21"/>
          <w:szCs w:val="21"/>
          <w:highlight w:val="none"/>
          <w:u w:val="single"/>
        </w:rPr>
        <w:t xml:space="preserve">                   </w:t>
      </w:r>
      <w:bookmarkEnd w:id="59"/>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bookmarkStart w:id="60" w:name="SOA_hhxys_htjxx"/>
      <w:r>
        <w:rPr>
          <w:rFonts w:hint="eastAsia" w:ascii="宋体" w:hAnsi="宋体" w:eastAsia="宋体" w:cs="宋体"/>
          <w:color w:val="auto"/>
          <w:sz w:val="21"/>
          <w:szCs w:val="21"/>
          <w:highlight w:val="none"/>
          <w:u w:val="single"/>
        </w:rPr>
        <w:t xml:space="preserve">            </w:t>
      </w:r>
      <w:bookmarkEnd w:id="60"/>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1B2ED076">
      <w:pPr>
        <w:spacing w:line="30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p w14:paraId="6D215058">
      <w:pPr>
        <w:spacing w:line="30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（1）安全文明施工费：</w:t>
      </w:r>
    </w:p>
    <w:p w14:paraId="4E1D6305">
      <w:pP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人民币（大写）</w:t>
      </w:r>
      <w:bookmarkStart w:id="61" w:name="SOA_hhxys_wmsgfdx"/>
      <w:r>
        <w:rPr>
          <w:rFonts w:hint="eastAsia" w:ascii="宋体" w:hAnsi="宋体" w:eastAsia="宋体" w:cs="宋体"/>
          <w:color w:val="auto"/>
          <w:sz w:val="21"/>
          <w:szCs w:val="21"/>
          <w:highlight w:val="none"/>
          <w:u w:val="single"/>
        </w:rPr>
        <w:t xml:space="preserve">                </w:t>
      </w:r>
      <w:bookmarkEnd w:id="61"/>
      <w:r>
        <w:rPr>
          <w:rFonts w:hint="eastAsia" w:ascii="宋体" w:hAnsi="宋体" w:eastAsia="宋体" w:cs="宋体"/>
          <w:color w:val="auto"/>
          <w:sz w:val="21"/>
          <w:szCs w:val="21"/>
          <w:highlight w:val="none"/>
        </w:rPr>
        <w:t>(¥</w:t>
      </w:r>
      <w:bookmarkStart w:id="62" w:name="SOA_hhxys_wmsgfxx"/>
      <w:r>
        <w:rPr>
          <w:rFonts w:hint="eastAsia" w:ascii="宋体" w:hAnsi="宋体" w:eastAsia="宋体" w:cs="宋体"/>
          <w:color w:val="auto"/>
          <w:sz w:val="21"/>
          <w:szCs w:val="21"/>
          <w:highlight w:val="none"/>
          <w:u w:val="single"/>
        </w:rPr>
        <w:t xml:space="preserve">                  </w:t>
      </w:r>
      <w:bookmarkEnd w:id="62"/>
      <w:r>
        <w:rPr>
          <w:rFonts w:hint="eastAsia" w:ascii="宋体" w:hAnsi="宋体" w:eastAsia="宋体" w:cs="宋体"/>
          <w:color w:val="auto"/>
          <w:sz w:val="21"/>
          <w:szCs w:val="21"/>
          <w:highlight w:val="none"/>
        </w:rPr>
        <w:t>元)；</w:t>
      </w:r>
    </w:p>
    <w:p w14:paraId="2372F5DF">
      <w:pPr>
        <w:spacing w:line="30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（2）材料和工程设备暂估价金额：</w:t>
      </w:r>
    </w:p>
    <w:p w14:paraId="0B5F68B6">
      <w:pP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人民币（大写）</w:t>
      </w:r>
      <w:bookmarkStart w:id="63" w:name="SOA_hhxys_sbzgjdx"/>
      <w:r>
        <w:rPr>
          <w:rFonts w:hint="eastAsia" w:ascii="宋体" w:hAnsi="宋体" w:eastAsia="宋体" w:cs="宋体"/>
          <w:color w:val="auto"/>
          <w:sz w:val="21"/>
          <w:szCs w:val="21"/>
          <w:highlight w:val="none"/>
          <w:u w:val="single"/>
        </w:rPr>
        <w:t xml:space="preserve">       </w:t>
      </w:r>
      <w:bookmarkEnd w:id="63"/>
      <w:r>
        <w:rPr>
          <w:rFonts w:hint="eastAsia" w:ascii="宋体" w:hAnsi="宋体" w:eastAsia="宋体" w:cs="宋体"/>
          <w:color w:val="auto"/>
          <w:sz w:val="21"/>
          <w:szCs w:val="21"/>
          <w:highlight w:val="none"/>
        </w:rPr>
        <w:t>(¥</w:t>
      </w:r>
      <w:bookmarkStart w:id="64" w:name="SOA_hhxys_sbzgjxx"/>
      <w:r>
        <w:rPr>
          <w:rFonts w:hint="eastAsia" w:ascii="宋体" w:hAnsi="宋体" w:eastAsia="宋体" w:cs="宋体"/>
          <w:color w:val="auto"/>
          <w:sz w:val="21"/>
          <w:szCs w:val="21"/>
          <w:highlight w:val="none"/>
          <w:u w:val="single"/>
        </w:rPr>
        <w:t xml:space="preserve">      </w:t>
      </w:r>
      <w:bookmarkEnd w:id="64"/>
      <w:r>
        <w:rPr>
          <w:rFonts w:hint="eastAsia" w:ascii="宋体" w:hAnsi="宋体" w:eastAsia="宋体" w:cs="宋体"/>
          <w:color w:val="auto"/>
          <w:sz w:val="21"/>
          <w:szCs w:val="21"/>
          <w:highlight w:val="none"/>
        </w:rPr>
        <w:t>元)；</w:t>
      </w:r>
    </w:p>
    <w:p w14:paraId="162B4416">
      <w:pPr>
        <w:spacing w:line="30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（3）专业工程暂估价金额：</w:t>
      </w:r>
    </w:p>
    <w:p w14:paraId="4EC46C95">
      <w:pP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人民币（大写）</w:t>
      </w:r>
      <w:bookmarkStart w:id="65" w:name="SOA_hhxys_gczgjdx"/>
      <w:r>
        <w:rPr>
          <w:rFonts w:hint="eastAsia" w:ascii="宋体" w:hAnsi="宋体" w:eastAsia="宋体" w:cs="宋体"/>
          <w:color w:val="auto"/>
          <w:sz w:val="21"/>
          <w:szCs w:val="21"/>
          <w:highlight w:val="none"/>
          <w:u w:val="single"/>
        </w:rPr>
        <w:t xml:space="preserve">       </w:t>
      </w:r>
      <w:bookmarkEnd w:id="65"/>
      <w:r>
        <w:rPr>
          <w:rFonts w:hint="eastAsia" w:ascii="宋体" w:hAnsi="宋体" w:eastAsia="宋体" w:cs="宋体"/>
          <w:color w:val="auto"/>
          <w:sz w:val="21"/>
          <w:szCs w:val="21"/>
          <w:highlight w:val="none"/>
        </w:rPr>
        <w:t>(¥</w:t>
      </w:r>
      <w:bookmarkStart w:id="66" w:name="SOA_hhxys_gczgjxx"/>
      <w:r>
        <w:rPr>
          <w:rFonts w:hint="eastAsia" w:ascii="宋体" w:hAnsi="宋体" w:eastAsia="宋体" w:cs="宋体"/>
          <w:color w:val="auto"/>
          <w:sz w:val="21"/>
          <w:szCs w:val="21"/>
          <w:highlight w:val="none"/>
          <w:u w:val="single"/>
        </w:rPr>
        <w:t xml:space="preserve">       </w:t>
      </w:r>
      <w:bookmarkEnd w:id="66"/>
      <w:r>
        <w:rPr>
          <w:rFonts w:hint="eastAsia" w:ascii="宋体" w:hAnsi="宋体" w:eastAsia="宋体" w:cs="宋体"/>
          <w:color w:val="auto"/>
          <w:sz w:val="21"/>
          <w:szCs w:val="21"/>
          <w:highlight w:val="none"/>
        </w:rPr>
        <w:t>元)；</w:t>
      </w:r>
    </w:p>
    <w:p w14:paraId="7B695AC7">
      <w:pPr>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（4）暂列金额：</w:t>
      </w:r>
    </w:p>
    <w:p w14:paraId="04031F2F">
      <w:pP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人民币（大写）</w:t>
      </w:r>
      <w:bookmarkStart w:id="67" w:name="SOA_hhxys_zljedx"/>
      <w:r>
        <w:rPr>
          <w:rFonts w:hint="eastAsia" w:ascii="宋体" w:hAnsi="宋体" w:eastAsia="宋体" w:cs="宋体"/>
          <w:color w:val="auto"/>
          <w:sz w:val="21"/>
          <w:szCs w:val="21"/>
          <w:highlight w:val="none"/>
          <w:u w:val="single"/>
        </w:rPr>
        <w:t xml:space="preserve">       </w:t>
      </w:r>
      <w:bookmarkEnd w:id="67"/>
      <w:r>
        <w:rPr>
          <w:rFonts w:hint="eastAsia" w:ascii="宋体" w:hAnsi="宋体" w:eastAsia="宋体" w:cs="宋体"/>
          <w:color w:val="auto"/>
          <w:sz w:val="21"/>
          <w:szCs w:val="21"/>
          <w:highlight w:val="none"/>
        </w:rPr>
        <w:t>(¥</w:t>
      </w:r>
      <w:bookmarkStart w:id="68" w:name="SOA_hhxys_zljexx"/>
      <w:r>
        <w:rPr>
          <w:rFonts w:hint="eastAsia" w:ascii="宋体" w:hAnsi="宋体" w:eastAsia="宋体" w:cs="宋体"/>
          <w:color w:val="auto"/>
          <w:sz w:val="21"/>
          <w:szCs w:val="21"/>
          <w:highlight w:val="none"/>
          <w:u w:val="single"/>
        </w:rPr>
        <w:t xml:space="preserve">        </w:t>
      </w:r>
      <w:bookmarkEnd w:id="68"/>
      <w:r>
        <w:rPr>
          <w:rFonts w:hint="eastAsia" w:ascii="宋体" w:hAnsi="宋体" w:eastAsia="宋体" w:cs="宋体"/>
          <w:color w:val="auto"/>
          <w:sz w:val="21"/>
          <w:szCs w:val="21"/>
          <w:highlight w:val="none"/>
        </w:rPr>
        <w:t>元)。</w:t>
      </w:r>
    </w:p>
    <w:p w14:paraId="0984796C">
      <w:pPr>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rPr>
        <w:t></w:t>
      </w:r>
      <w:bookmarkStart w:id="69" w:name="SOA_hhxys_htjgxs"/>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综合单价合同 </w:t>
      </w:r>
      <w:r>
        <w:rPr>
          <w:rFonts w:hint="eastAsia" w:ascii="宋体" w:hAnsi="宋体" w:eastAsia="宋体" w:cs="宋体"/>
          <w:color w:val="auto"/>
          <w:sz w:val="21"/>
          <w:szCs w:val="21"/>
          <w:highlight w:val="none"/>
          <w:u w:val="single"/>
        </w:rPr>
        <w:t xml:space="preserve">  </w:t>
      </w:r>
      <w:bookmarkEnd w:id="69"/>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61D69FF">
      <w:pPr>
        <w:spacing w:line="312" w:lineRule="auto"/>
        <w:outlineLvl w:val="1"/>
        <w:rPr>
          <w:rFonts w:hint="eastAsia" w:ascii="宋体" w:hAnsi="宋体" w:eastAsia="宋体" w:cs="宋体"/>
          <w:b/>
          <w:color w:val="auto"/>
          <w:sz w:val="21"/>
          <w:szCs w:val="21"/>
          <w:highlight w:val="none"/>
        </w:rPr>
      </w:pPr>
      <w:bookmarkStart w:id="70" w:name="_Toc69485870"/>
      <w:bookmarkStart w:id="71" w:name="_Toc361220414"/>
      <w:r>
        <w:rPr>
          <w:rFonts w:hint="eastAsia" w:ascii="宋体" w:hAnsi="宋体" w:eastAsia="宋体" w:cs="宋体"/>
          <w:color w:val="auto"/>
          <w:sz w:val="21"/>
          <w:szCs w:val="21"/>
          <w:highlight w:val="none"/>
        </w:rPr>
        <w:t>五、项目经理</w:t>
      </w:r>
      <w:bookmarkEnd w:id="70"/>
      <w:bookmarkEnd w:id="71"/>
    </w:p>
    <w:p w14:paraId="21A6EDC5">
      <w:pPr>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rPr>
        <w:t></w:t>
      </w:r>
      <w:bookmarkStart w:id="72" w:name="SOA_hhxys_cbrxmjl"/>
      <w:r>
        <w:rPr>
          <w:rFonts w:hint="eastAsia" w:ascii="宋体" w:hAnsi="宋体" w:eastAsia="宋体" w:cs="宋体"/>
          <w:color w:val="auto"/>
          <w:sz w:val="21"/>
          <w:szCs w:val="21"/>
          <w:highlight w:val="none"/>
          <w:u w:val="single"/>
        </w:rPr>
        <w:t xml:space="preserve">        </w:t>
      </w:r>
      <w:bookmarkEnd w:id="72"/>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40B7C22">
      <w:pPr>
        <w:spacing w:line="312" w:lineRule="auto"/>
        <w:outlineLvl w:val="1"/>
        <w:rPr>
          <w:rFonts w:hint="eastAsia" w:ascii="宋体" w:hAnsi="宋体" w:eastAsia="宋体" w:cs="宋体"/>
          <w:bCs/>
          <w:color w:val="auto"/>
          <w:sz w:val="21"/>
          <w:szCs w:val="21"/>
          <w:highlight w:val="none"/>
        </w:rPr>
      </w:pPr>
      <w:bookmarkStart w:id="73" w:name="_Toc361220415"/>
      <w:bookmarkStart w:id="74" w:name="_Toc69485871"/>
      <w:r>
        <w:rPr>
          <w:rFonts w:hint="eastAsia" w:ascii="宋体" w:hAnsi="宋体" w:eastAsia="宋体" w:cs="宋体"/>
          <w:color w:val="auto"/>
          <w:sz w:val="21"/>
          <w:szCs w:val="21"/>
          <w:highlight w:val="none"/>
        </w:rPr>
        <w:t>六、合同文件构成</w:t>
      </w:r>
      <w:bookmarkEnd w:id="73"/>
      <w:bookmarkEnd w:id="74"/>
    </w:p>
    <w:p w14:paraId="51687739">
      <w:pPr>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5EB52F57">
      <w:pPr>
        <w:autoSpaceDE w:val="0"/>
        <w:autoSpaceDN w:val="0"/>
        <w:adjustRightInd w:val="0"/>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（1）成交通知书（如果有）；</w:t>
      </w:r>
    </w:p>
    <w:p w14:paraId="5A6A3F9C">
      <w:pPr>
        <w:autoSpaceDE w:val="0"/>
        <w:autoSpaceDN w:val="0"/>
        <w:adjustRightInd w:val="0"/>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（2）投标函及其附录（如果有）； </w:t>
      </w:r>
    </w:p>
    <w:p w14:paraId="5A1D2307">
      <w:pPr>
        <w:autoSpaceDE w:val="0"/>
        <w:autoSpaceDN w:val="0"/>
        <w:adjustRightInd w:val="0"/>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538CC1FC">
      <w:pPr>
        <w:autoSpaceDE w:val="0"/>
        <w:autoSpaceDN w:val="0"/>
        <w:adjustRightInd w:val="0"/>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5FCFA01D">
      <w:pPr>
        <w:autoSpaceDE w:val="0"/>
        <w:autoSpaceDN w:val="0"/>
        <w:adjustRightInd w:val="0"/>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14:paraId="32EA805B">
      <w:pPr>
        <w:autoSpaceDE w:val="0"/>
        <w:autoSpaceDN w:val="0"/>
        <w:adjustRightInd w:val="0"/>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4AB5D433">
      <w:pPr>
        <w:autoSpaceDE w:val="0"/>
        <w:autoSpaceDN w:val="0"/>
        <w:adjustRightInd w:val="0"/>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14:paraId="08D9652B">
      <w:pPr>
        <w:autoSpaceDE w:val="0"/>
        <w:autoSpaceDN w:val="0"/>
        <w:adjustRightInd w:val="0"/>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3398F8CA">
      <w:pPr>
        <w:autoSpaceDE w:val="0"/>
        <w:autoSpaceDN w:val="0"/>
        <w:adjustRightInd w:val="0"/>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03750EB1">
      <w:pPr>
        <w:autoSpaceDE w:val="0"/>
        <w:autoSpaceDN w:val="0"/>
        <w:adjustRightInd w:val="0"/>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0F518075">
      <w:pPr>
        <w:spacing w:line="312" w:lineRule="auto"/>
        <w:outlineLvl w:val="1"/>
        <w:rPr>
          <w:rFonts w:hint="eastAsia" w:ascii="宋体" w:hAnsi="宋体" w:eastAsia="宋体" w:cs="宋体"/>
          <w:b/>
          <w:bCs/>
          <w:color w:val="auto"/>
          <w:sz w:val="21"/>
          <w:szCs w:val="21"/>
          <w:highlight w:val="none"/>
        </w:rPr>
      </w:pPr>
      <w:bookmarkStart w:id="75" w:name="_Toc69485872"/>
      <w:bookmarkStart w:id="76" w:name="_Toc361220416"/>
      <w:r>
        <w:rPr>
          <w:rFonts w:hint="eastAsia" w:ascii="宋体" w:hAnsi="宋体" w:eastAsia="宋体" w:cs="宋体"/>
          <w:color w:val="auto"/>
          <w:sz w:val="21"/>
          <w:szCs w:val="21"/>
          <w:highlight w:val="none"/>
        </w:rPr>
        <w:t>七、承诺</w:t>
      </w:r>
      <w:bookmarkEnd w:id="75"/>
      <w:bookmarkEnd w:id="76"/>
    </w:p>
    <w:p w14:paraId="37F4218C">
      <w:pPr>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257C2FC4">
      <w:pPr>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088C16AB">
      <w:pPr>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3.发包人和承包人通过招投标形式签订合同的，双方理解并承诺不再就同一工程另行签订与合同实质性内容相背离的协议。</w:t>
      </w:r>
    </w:p>
    <w:p w14:paraId="03025218">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default" w:eastAsia="宋体" w:cs="宋体"/>
          <w:b/>
          <w:color w:val="auto"/>
          <w:kern w:val="2"/>
          <w:sz w:val="21"/>
          <w:szCs w:val="21"/>
          <w:highlight w:val="none"/>
          <w:lang w:val="en-US" w:eastAsia="zh-CN" w:bidi="ar-SA"/>
        </w:rPr>
      </w:pPr>
      <w:r>
        <w:rPr>
          <w:rFonts w:hint="eastAsia" w:cs="宋体"/>
          <w:bCs/>
          <w:color w:val="auto"/>
          <w:sz w:val="21"/>
          <w:szCs w:val="21"/>
          <w:highlight w:val="none"/>
          <w:lang w:val="en-US" w:eastAsia="zh-CN"/>
        </w:rPr>
        <w:t>4.</w:t>
      </w:r>
      <w:r>
        <w:rPr>
          <w:rFonts w:hint="eastAsia" w:ascii="宋体" w:hAnsi="宋体" w:eastAsia="宋体" w:cs="Times New Roman"/>
          <w:b/>
          <w:color w:val="auto"/>
          <w:spacing w:val="-6"/>
          <w:sz w:val="21"/>
          <w:szCs w:val="21"/>
          <w:highlight w:val="none"/>
        </w:rPr>
        <w:t>关于砂石资源管理的</w:t>
      </w:r>
      <w:r>
        <w:rPr>
          <w:rFonts w:hint="eastAsia" w:cs="Times New Roman"/>
          <w:b/>
          <w:color w:val="auto"/>
          <w:spacing w:val="-6"/>
          <w:sz w:val="21"/>
          <w:szCs w:val="21"/>
          <w:highlight w:val="none"/>
          <w:lang w:val="en-US" w:eastAsia="zh-CN"/>
        </w:rPr>
        <w:t>相关内容以</w:t>
      </w:r>
      <w:r>
        <w:rPr>
          <w:rFonts w:hint="eastAsia" w:ascii="宋体" w:hAnsi="宋体" w:eastAsia="宋体" w:cs="Times New Roman"/>
          <w:b/>
          <w:color w:val="auto"/>
          <w:spacing w:val="-6"/>
          <w:sz w:val="21"/>
          <w:szCs w:val="21"/>
          <w:highlight w:val="none"/>
        </w:rPr>
        <w:t>淳政发(2021)10号</w:t>
      </w:r>
      <w:r>
        <w:rPr>
          <w:rFonts w:hint="eastAsia" w:cs="Times New Roman"/>
          <w:b/>
          <w:color w:val="auto"/>
          <w:spacing w:val="-6"/>
          <w:sz w:val="21"/>
          <w:szCs w:val="21"/>
          <w:highlight w:val="none"/>
          <w:lang w:val="en-US" w:eastAsia="zh-CN"/>
        </w:rPr>
        <w:t>文为准，</w:t>
      </w:r>
      <w:r>
        <w:rPr>
          <w:rFonts w:hint="eastAsia" w:ascii="宋体" w:hAnsi="宋体" w:eastAsia="宋体" w:cs="宋体"/>
          <w:bCs/>
          <w:color w:val="auto"/>
          <w:sz w:val="21"/>
          <w:szCs w:val="21"/>
          <w:highlight w:val="none"/>
        </w:rPr>
        <w:t>承包人</w:t>
      </w:r>
      <w:r>
        <w:rPr>
          <w:rFonts w:hint="eastAsia" w:cs="宋体"/>
          <w:bCs/>
          <w:color w:val="auto"/>
          <w:sz w:val="21"/>
          <w:szCs w:val="21"/>
          <w:highlight w:val="none"/>
          <w:lang w:val="en-US" w:eastAsia="zh-CN"/>
        </w:rPr>
        <w:t>开挖产生的砂石属于国有资产，除本项目自用外不得私自处置多余砂石，严禁违规处置、加工、销售</w:t>
      </w:r>
      <w:r>
        <w:rPr>
          <w:rFonts w:hint="eastAsia" w:cs="Times New Roman"/>
          <w:b/>
          <w:color w:val="auto"/>
          <w:spacing w:val="-6"/>
          <w:sz w:val="21"/>
          <w:szCs w:val="21"/>
          <w:highlight w:val="none"/>
          <w:lang w:val="en-US" w:eastAsia="zh-CN"/>
        </w:rPr>
        <w:t>，否则将追究相关人员法律责任。</w:t>
      </w:r>
    </w:p>
    <w:p w14:paraId="6E6F7081">
      <w:pPr>
        <w:spacing w:line="312" w:lineRule="auto"/>
        <w:ind w:firstLine="420" w:firstLineChars="200"/>
        <w:rPr>
          <w:rFonts w:hint="default" w:ascii="宋体" w:hAnsi="宋体" w:eastAsia="宋体" w:cs="宋体"/>
          <w:bCs/>
          <w:color w:val="auto"/>
          <w:sz w:val="21"/>
          <w:szCs w:val="21"/>
          <w:highlight w:val="none"/>
          <w:lang w:val="en-US" w:eastAsia="zh-CN"/>
        </w:rPr>
      </w:pPr>
    </w:p>
    <w:p w14:paraId="595BCE79">
      <w:pPr>
        <w:spacing w:line="312" w:lineRule="auto"/>
        <w:outlineLvl w:val="1"/>
        <w:rPr>
          <w:rFonts w:hint="eastAsia" w:ascii="宋体" w:hAnsi="宋体" w:eastAsia="宋体" w:cs="宋体"/>
          <w:bCs/>
          <w:color w:val="auto"/>
          <w:sz w:val="21"/>
          <w:szCs w:val="21"/>
          <w:highlight w:val="none"/>
        </w:rPr>
      </w:pPr>
      <w:bookmarkStart w:id="77" w:name="_Toc361220417"/>
      <w:bookmarkStart w:id="78" w:name="_Toc69485873"/>
      <w:r>
        <w:rPr>
          <w:rFonts w:hint="eastAsia" w:ascii="宋体" w:hAnsi="宋体" w:eastAsia="宋体" w:cs="宋体"/>
          <w:color w:val="auto"/>
          <w:sz w:val="21"/>
          <w:szCs w:val="21"/>
          <w:highlight w:val="none"/>
        </w:rPr>
        <w:t>八、词语含义</w:t>
      </w:r>
      <w:bookmarkEnd w:id="77"/>
      <w:bookmarkEnd w:id="78"/>
    </w:p>
    <w:p w14:paraId="3D3B5FE2">
      <w:pPr>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1CA4FB2D">
      <w:pPr>
        <w:spacing w:line="312" w:lineRule="auto"/>
        <w:outlineLvl w:val="1"/>
        <w:rPr>
          <w:rFonts w:hint="eastAsia" w:ascii="宋体" w:hAnsi="宋体" w:eastAsia="宋体" w:cs="宋体"/>
          <w:bCs/>
          <w:color w:val="auto"/>
          <w:sz w:val="21"/>
          <w:szCs w:val="21"/>
          <w:highlight w:val="none"/>
        </w:rPr>
      </w:pPr>
      <w:bookmarkStart w:id="79" w:name="_Toc361220418"/>
      <w:bookmarkStart w:id="80" w:name="_Toc69485874"/>
      <w:r>
        <w:rPr>
          <w:rFonts w:hint="eastAsia" w:ascii="宋体" w:hAnsi="宋体" w:eastAsia="宋体" w:cs="宋体"/>
          <w:color w:val="auto"/>
          <w:sz w:val="21"/>
          <w:szCs w:val="21"/>
          <w:highlight w:val="none"/>
        </w:rPr>
        <w:t>九、签订时间</w:t>
      </w:r>
      <w:bookmarkEnd w:id="79"/>
      <w:bookmarkEnd w:id="80"/>
    </w:p>
    <w:p w14:paraId="1A8D80D9">
      <w:pPr>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bookmarkStart w:id="81" w:name="SOA_hhxys_htqdn"/>
      <w:r>
        <w:rPr>
          <w:rFonts w:hint="eastAsia" w:ascii="宋体" w:hAnsi="宋体" w:eastAsia="宋体" w:cs="宋体"/>
          <w:bCs/>
          <w:color w:val="auto"/>
          <w:sz w:val="21"/>
          <w:szCs w:val="21"/>
          <w:highlight w:val="none"/>
          <w:u w:val="single"/>
        </w:rPr>
        <w:t xml:space="preserve">      </w:t>
      </w:r>
      <w:bookmarkEnd w:id="81"/>
      <w:r>
        <w:rPr>
          <w:rFonts w:hint="eastAsia" w:ascii="宋体" w:hAnsi="宋体" w:eastAsia="宋体" w:cs="宋体"/>
          <w:bCs/>
          <w:color w:val="auto"/>
          <w:sz w:val="21"/>
          <w:szCs w:val="21"/>
          <w:highlight w:val="none"/>
        </w:rPr>
        <w:t>年</w:t>
      </w:r>
      <w:bookmarkStart w:id="82" w:name="SOA_hhxys_htqdy"/>
      <w:r>
        <w:rPr>
          <w:rFonts w:hint="eastAsia" w:ascii="宋体" w:hAnsi="宋体" w:eastAsia="宋体" w:cs="宋体"/>
          <w:bCs/>
          <w:color w:val="auto"/>
          <w:sz w:val="21"/>
          <w:szCs w:val="21"/>
          <w:highlight w:val="none"/>
          <w:u w:val="single"/>
        </w:rPr>
        <w:t xml:space="preserve">      </w:t>
      </w:r>
      <w:bookmarkEnd w:id="82"/>
      <w:r>
        <w:rPr>
          <w:rFonts w:hint="eastAsia" w:ascii="宋体" w:hAnsi="宋体" w:eastAsia="宋体" w:cs="宋体"/>
          <w:bCs/>
          <w:color w:val="auto"/>
          <w:sz w:val="21"/>
          <w:szCs w:val="21"/>
          <w:highlight w:val="none"/>
        </w:rPr>
        <w:t>月</w:t>
      </w:r>
      <w:bookmarkStart w:id="83" w:name="SOA_hhxys_htqdr"/>
      <w:r>
        <w:rPr>
          <w:rFonts w:hint="eastAsia" w:ascii="宋体" w:hAnsi="宋体" w:eastAsia="宋体" w:cs="宋体"/>
          <w:bCs/>
          <w:color w:val="auto"/>
          <w:sz w:val="21"/>
          <w:szCs w:val="21"/>
          <w:highlight w:val="none"/>
          <w:u w:val="single"/>
        </w:rPr>
        <w:t xml:space="preserve">      </w:t>
      </w:r>
      <w:bookmarkEnd w:id="83"/>
      <w:r>
        <w:rPr>
          <w:rFonts w:hint="eastAsia" w:ascii="宋体" w:hAnsi="宋体" w:eastAsia="宋体" w:cs="宋体"/>
          <w:bCs/>
          <w:color w:val="auto"/>
          <w:sz w:val="21"/>
          <w:szCs w:val="21"/>
          <w:highlight w:val="none"/>
        </w:rPr>
        <w:t>日签订。</w:t>
      </w:r>
    </w:p>
    <w:p w14:paraId="76F339F5">
      <w:pPr>
        <w:spacing w:line="312" w:lineRule="auto"/>
        <w:outlineLvl w:val="1"/>
        <w:rPr>
          <w:rFonts w:hint="eastAsia" w:ascii="宋体" w:hAnsi="宋体" w:eastAsia="宋体" w:cs="宋体"/>
          <w:bCs/>
          <w:color w:val="auto"/>
          <w:sz w:val="21"/>
          <w:szCs w:val="21"/>
          <w:highlight w:val="none"/>
        </w:rPr>
      </w:pPr>
      <w:bookmarkStart w:id="84" w:name="_Toc361220419"/>
      <w:bookmarkStart w:id="85" w:name="_Toc69485875"/>
      <w:r>
        <w:rPr>
          <w:rFonts w:hint="eastAsia" w:ascii="宋体" w:hAnsi="宋体" w:eastAsia="宋体" w:cs="宋体"/>
          <w:color w:val="auto"/>
          <w:sz w:val="21"/>
          <w:szCs w:val="21"/>
          <w:highlight w:val="none"/>
        </w:rPr>
        <w:t>十、签订地点</w:t>
      </w:r>
      <w:bookmarkEnd w:id="84"/>
      <w:bookmarkEnd w:id="85"/>
    </w:p>
    <w:p w14:paraId="075062C2">
      <w:pPr>
        <w:spacing w:line="30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本合同在</w:t>
      </w:r>
      <w:r>
        <w:rPr>
          <w:rFonts w:hint="eastAsia" w:ascii="宋体" w:hAnsi="宋体" w:eastAsia="宋体" w:cs="宋体"/>
          <w:bCs/>
          <w:color w:val="auto"/>
          <w:sz w:val="21"/>
          <w:szCs w:val="21"/>
          <w:highlight w:val="none"/>
          <w:u w:val="single"/>
        </w:rPr>
        <w:t xml:space="preserve">   </w:t>
      </w:r>
      <w:bookmarkStart w:id="86" w:name="SOA_zyht_htqddd"/>
      <w:r>
        <w:rPr>
          <w:rFonts w:hint="eastAsia" w:ascii="宋体" w:hAnsi="宋体" w:eastAsia="宋体" w:cs="宋体"/>
          <w:bCs/>
          <w:color w:val="auto"/>
          <w:sz w:val="21"/>
          <w:szCs w:val="21"/>
          <w:highlight w:val="none"/>
          <w:u w:val="single"/>
        </w:rPr>
        <w:t xml:space="preserve">  杭州   </w:t>
      </w:r>
      <w:bookmarkEnd w:id="86"/>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43CB76A1">
      <w:pPr>
        <w:outlineLvl w:val="1"/>
        <w:rPr>
          <w:rFonts w:hint="eastAsia" w:ascii="宋体" w:hAnsi="宋体" w:eastAsia="宋体" w:cs="宋体"/>
          <w:bCs/>
          <w:color w:val="auto"/>
          <w:sz w:val="21"/>
          <w:szCs w:val="21"/>
          <w:highlight w:val="none"/>
        </w:rPr>
      </w:pPr>
      <w:bookmarkStart w:id="87" w:name="_Toc69485876"/>
      <w:bookmarkStart w:id="88" w:name="_Toc361220420"/>
      <w:r>
        <w:rPr>
          <w:rFonts w:hint="eastAsia" w:ascii="宋体" w:hAnsi="宋体" w:eastAsia="宋体" w:cs="宋体"/>
          <w:color w:val="auto"/>
          <w:sz w:val="21"/>
          <w:szCs w:val="21"/>
          <w:highlight w:val="none"/>
        </w:rPr>
        <w:t>十一、补充协议</w:t>
      </w:r>
      <w:bookmarkEnd w:id="87"/>
      <w:bookmarkEnd w:id="88"/>
    </w:p>
    <w:p w14:paraId="3206D486">
      <w:pPr>
        <w:spacing w:line="300" w:lineRule="auto"/>
        <w:ind w:firstLine="420" w:firstLineChars="200"/>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76F1CC8F">
      <w:pPr>
        <w:outlineLvl w:val="1"/>
        <w:rPr>
          <w:rFonts w:hint="eastAsia" w:ascii="宋体" w:hAnsi="宋体" w:eastAsia="宋体" w:cs="宋体"/>
          <w:bCs/>
          <w:color w:val="auto"/>
          <w:sz w:val="21"/>
          <w:szCs w:val="21"/>
          <w:highlight w:val="none"/>
        </w:rPr>
      </w:pPr>
      <w:bookmarkStart w:id="89" w:name="_Toc361220421"/>
      <w:bookmarkStart w:id="90" w:name="_Toc69485877"/>
      <w:r>
        <w:rPr>
          <w:rFonts w:hint="eastAsia" w:ascii="宋体" w:hAnsi="宋体" w:eastAsia="宋体" w:cs="宋体"/>
          <w:color w:val="auto"/>
          <w:sz w:val="21"/>
          <w:szCs w:val="21"/>
          <w:highlight w:val="none"/>
        </w:rPr>
        <w:t>十二、合同生效</w:t>
      </w:r>
      <w:bookmarkEnd w:id="89"/>
      <w:bookmarkEnd w:id="90"/>
    </w:p>
    <w:p w14:paraId="575B5F36">
      <w:pPr>
        <w:spacing w:line="30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bCs/>
          <w:color w:val="auto"/>
          <w:sz w:val="21"/>
          <w:szCs w:val="21"/>
          <w:highlight w:val="none"/>
          <w:u w:val="single"/>
        </w:rPr>
        <w:t xml:space="preserve">  </w:t>
      </w:r>
      <w:bookmarkStart w:id="91" w:name="SOA_hhxys_htsx"/>
      <w:r>
        <w:rPr>
          <w:rFonts w:hint="eastAsia" w:ascii="宋体" w:hAnsi="宋体" w:eastAsia="宋体" w:cs="宋体"/>
          <w:bCs/>
          <w:color w:val="auto"/>
          <w:sz w:val="21"/>
          <w:szCs w:val="21"/>
          <w:highlight w:val="none"/>
          <w:u w:val="single"/>
        </w:rPr>
        <w:t xml:space="preserve">  </w:t>
      </w:r>
      <w:r>
        <w:rPr>
          <w:rFonts w:hint="eastAsia" w:ascii="宋体" w:hAnsi="宋体" w:eastAsia="宋体" w:cs="宋体"/>
          <w:b/>
          <w:bCs/>
          <w:color w:val="auto"/>
          <w:sz w:val="21"/>
          <w:szCs w:val="21"/>
          <w:highlight w:val="none"/>
          <w:u w:val="single"/>
        </w:rPr>
        <w:t>三方签字盖章</w:t>
      </w:r>
      <w:r>
        <w:rPr>
          <w:rFonts w:hint="eastAsia" w:ascii="宋体" w:hAnsi="宋体" w:eastAsia="宋体" w:cs="宋体"/>
          <w:bCs/>
          <w:color w:val="auto"/>
          <w:sz w:val="21"/>
          <w:szCs w:val="21"/>
          <w:highlight w:val="none"/>
          <w:u w:val="single"/>
        </w:rPr>
        <w:t xml:space="preserve">   </w:t>
      </w:r>
      <w:bookmarkEnd w:id="91"/>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生效。</w:t>
      </w:r>
    </w:p>
    <w:p w14:paraId="2604EA16">
      <w:pPr>
        <w:outlineLvl w:val="1"/>
        <w:rPr>
          <w:rFonts w:hint="eastAsia" w:ascii="宋体" w:hAnsi="宋体" w:eastAsia="宋体" w:cs="宋体"/>
          <w:bCs/>
          <w:color w:val="auto"/>
          <w:sz w:val="21"/>
          <w:szCs w:val="21"/>
          <w:highlight w:val="none"/>
        </w:rPr>
      </w:pPr>
      <w:bookmarkStart w:id="92" w:name="_Toc361220422"/>
      <w:bookmarkStart w:id="93" w:name="_Toc69485878"/>
      <w:r>
        <w:rPr>
          <w:rFonts w:hint="eastAsia" w:ascii="宋体" w:hAnsi="宋体" w:eastAsia="宋体" w:cs="宋体"/>
          <w:color w:val="auto"/>
          <w:sz w:val="21"/>
          <w:szCs w:val="21"/>
          <w:highlight w:val="none"/>
        </w:rPr>
        <w:t>十三、合同份数</w:t>
      </w:r>
      <w:bookmarkEnd w:id="92"/>
      <w:bookmarkEnd w:id="93"/>
    </w:p>
    <w:p w14:paraId="2BF1B045">
      <w:pPr>
        <w:spacing w:line="300" w:lineRule="auto"/>
        <w:ind w:left="240" w:leftChars="100" w:firstLine="210" w:firstLineChars="1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bookmarkStart w:id="94" w:name="SOA_hhxys_htfs"/>
      <w:r>
        <w:rPr>
          <w:rFonts w:hint="eastAsia" w:ascii="宋体" w:hAnsi="宋体" w:eastAsia="宋体" w:cs="宋体"/>
          <w:b/>
          <w:bCs/>
          <w:color w:val="auto"/>
          <w:sz w:val="21"/>
          <w:szCs w:val="21"/>
          <w:highlight w:val="none"/>
          <w:u w:val="single"/>
        </w:rPr>
        <w:t>七</w:t>
      </w:r>
      <w:r>
        <w:rPr>
          <w:rFonts w:hint="eastAsia" w:ascii="宋体" w:hAnsi="宋体" w:eastAsia="宋体" w:cs="宋体"/>
          <w:bCs/>
          <w:color w:val="auto"/>
          <w:sz w:val="21"/>
          <w:szCs w:val="21"/>
          <w:highlight w:val="none"/>
          <w:u w:val="single"/>
        </w:rPr>
        <w:t xml:space="preserve"> </w:t>
      </w:r>
      <w:bookmarkEnd w:id="94"/>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bCs/>
          <w:color w:val="auto"/>
          <w:sz w:val="21"/>
          <w:szCs w:val="21"/>
          <w:highlight w:val="none"/>
          <w:u w:val="single"/>
        </w:rPr>
        <w:t xml:space="preserve"> </w:t>
      </w:r>
      <w:bookmarkStart w:id="95" w:name="SOA_hhxys_fbrfs"/>
      <w:r>
        <w:rPr>
          <w:rFonts w:hint="eastAsia" w:ascii="宋体" w:hAnsi="宋体" w:eastAsia="宋体" w:cs="宋体"/>
          <w:b/>
          <w:color w:val="auto"/>
          <w:sz w:val="21"/>
          <w:szCs w:val="21"/>
          <w:highlight w:val="none"/>
          <w:u w:val="single"/>
        </w:rPr>
        <w:t>四</w:t>
      </w:r>
      <w:r>
        <w:rPr>
          <w:rFonts w:hint="eastAsia" w:ascii="宋体" w:hAnsi="宋体" w:eastAsia="宋体" w:cs="宋体"/>
          <w:bCs/>
          <w:color w:val="auto"/>
          <w:sz w:val="21"/>
          <w:szCs w:val="21"/>
          <w:highlight w:val="none"/>
          <w:u w:val="single"/>
        </w:rPr>
        <w:t xml:space="preserve"> </w:t>
      </w:r>
      <w:bookmarkEnd w:id="95"/>
      <w:r>
        <w:rPr>
          <w:rFonts w:hint="eastAsia" w:ascii="宋体" w:hAnsi="宋体" w:eastAsia="宋体" w:cs="宋体"/>
          <w:bCs/>
          <w:color w:val="auto"/>
          <w:sz w:val="21"/>
          <w:szCs w:val="21"/>
          <w:highlight w:val="none"/>
        </w:rPr>
        <w:t>份，承包人执</w:t>
      </w:r>
      <w:r>
        <w:rPr>
          <w:rFonts w:hint="eastAsia" w:ascii="宋体" w:hAnsi="宋体" w:eastAsia="宋体" w:cs="宋体"/>
          <w:b/>
          <w:color w:val="auto"/>
          <w:sz w:val="21"/>
          <w:szCs w:val="21"/>
          <w:highlight w:val="none"/>
          <w:u w:val="single"/>
        </w:rPr>
        <w:t>二</w:t>
      </w:r>
      <w:r>
        <w:rPr>
          <w:rFonts w:hint="eastAsia" w:ascii="宋体" w:hAnsi="宋体" w:eastAsia="宋体" w:cs="宋体"/>
          <w:bCs/>
          <w:color w:val="auto"/>
          <w:sz w:val="21"/>
          <w:szCs w:val="21"/>
          <w:highlight w:val="none"/>
        </w:rPr>
        <w:t>份，</w:t>
      </w:r>
      <w:r>
        <w:rPr>
          <w:rFonts w:hint="eastAsia" w:ascii="宋体" w:hAnsi="宋体" w:eastAsia="宋体" w:cs="宋体"/>
          <w:color w:val="auto"/>
          <w:sz w:val="21"/>
          <w:szCs w:val="21"/>
          <w:highlight w:val="none"/>
        </w:rPr>
        <w:t>采购代理机构</w:t>
      </w:r>
      <w:r>
        <w:rPr>
          <w:rFonts w:hint="eastAsia" w:ascii="宋体" w:hAnsi="宋体" w:eastAsia="宋体" w:cs="宋体"/>
          <w:bCs/>
          <w:color w:val="auto"/>
          <w:sz w:val="21"/>
          <w:szCs w:val="21"/>
          <w:highlight w:val="none"/>
        </w:rPr>
        <w:t>执</w:t>
      </w:r>
      <w:r>
        <w:rPr>
          <w:rFonts w:hint="eastAsia" w:ascii="宋体" w:hAnsi="宋体" w:eastAsia="宋体" w:cs="宋体"/>
          <w:b/>
          <w:color w:val="auto"/>
          <w:sz w:val="21"/>
          <w:szCs w:val="21"/>
          <w:highlight w:val="none"/>
          <w:u w:val="single"/>
        </w:rPr>
        <w:t>一</w:t>
      </w:r>
      <w:r>
        <w:rPr>
          <w:rFonts w:hint="eastAsia" w:ascii="宋体" w:hAnsi="宋体" w:eastAsia="宋体" w:cs="宋体"/>
          <w:bCs/>
          <w:color w:val="auto"/>
          <w:sz w:val="21"/>
          <w:szCs w:val="21"/>
          <w:highlight w:val="none"/>
        </w:rPr>
        <w:t>份。</w:t>
      </w:r>
    </w:p>
    <w:tbl>
      <w:tblPr>
        <w:tblStyle w:val="29"/>
        <w:tblW w:w="0" w:type="auto"/>
        <w:tblInd w:w="288" w:type="dxa"/>
        <w:tblLayout w:type="fixed"/>
        <w:tblCellMar>
          <w:top w:w="0" w:type="dxa"/>
          <w:left w:w="108" w:type="dxa"/>
          <w:bottom w:w="0" w:type="dxa"/>
          <w:right w:w="108" w:type="dxa"/>
        </w:tblCellMar>
      </w:tblPr>
      <w:tblGrid>
        <w:gridCol w:w="4581"/>
        <w:gridCol w:w="4659"/>
      </w:tblGrid>
      <w:tr w14:paraId="1CDA06A3">
        <w:tblPrEx>
          <w:tblCellMar>
            <w:top w:w="0" w:type="dxa"/>
            <w:left w:w="108" w:type="dxa"/>
            <w:bottom w:w="0" w:type="dxa"/>
            <w:right w:w="108" w:type="dxa"/>
          </w:tblCellMar>
        </w:tblPrEx>
        <w:trPr>
          <w:trHeight w:val="513" w:hRule="atLeast"/>
        </w:trPr>
        <w:tc>
          <w:tcPr>
            <w:tcW w:w="4581" w:type="dxa"/>
            <w:tcBorders>
              <w:top w:val="nil"/>
              <w:left w:val="nil"/>
              <w:bottom w:val="nil"/>
              <w:right w:val="nil"/>
            </w:tcBorders>
            <w:noWrap w:val="0"/>
            <w:vAlign w:val="bottom"/>
          </w:tcPr>
          <w:p w14:paraId="44A60342">
            <w:pPr>
              <w:keepNext w:val="0"/>
              <w:keepLines w:val="0"/>
              <w:widowControl/>
              <w:suppressLineNumbers w:val="0"/>
              <w:autoSpaceDE w:val="0"/>
              <w:autoSpaceDN w:val="0"/>
              <w:adjustRightInd w:val="0"/>
              <w:spacing w:before="100" w:beforeAutospacing="0" w:after="100" w:afterAutospacing="0"/>
              <w:ind w:left="0" w:right="77"/>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发包人：</w:t>
            </w:r>
            <w:r>
              <w:rPr>
                <w:rFonts w:hint="eastAsia" w:ascii="宋体" w:hAnsi="宋体" w:eastAsia="宋体" w:cs="宋体"/>
                <w:color w:val="auto"/>
                <w:kern w:val="0"/>
                <w:sz w:val="21"/>
                <w:szCs w:val="21"/>
                <w:highlight w:val="none"/>
                <w:u w:val="single"/>
                <w:lang w:val="en-US" w:eastAsia="zh-CN" w:bidi="ar"/>
              </w:rPr>
              <w:t xml:space="preserve">                        (盖章)</w:t>
            </w:r>
          </w:p>
        </w:tc>
        <w:tc>
          <w:tcPr>
            <w:tcW w:w="4659" w:type="dxa"/>
            <w:tcBorders>
              <w:top w:val="nil"/>
              <w:left w:val="nil"/>
              <w:bottom w:val="nil"/>
              <w:right w:val="nil"/>
            </w:tcBorders>
            <w:noWrap w:val="0"/>
            <w:vAlign w:val="bottom"/>
          </w:tcPr>
          <w:p w14:paraId="37C0A485">
            <w:pPr>
              <w:keepNext w:val="0"/>
              <w:keepLines w:val="0"/>
              <w:widowControl/>
              <w:suppressLineNumbers w:val="0"/>
              <w:autoSpaceDE w:val="0"/>
              <w:autoSpaceDN w:val="0"/>
              <w:adjustRightInd w:val="0"/>
              <w:spacing w:before="100" w:beforeAutospacing="0" w:after="100" w:afterAutospacing="0"/>
              <w:ind w:left="0" w:right="77"/>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承包人：</w:t>
            </w:r>
            <w:r>
              <w:rPr>
                <w:rFonts w:hint="eastAsia" w:ascii="宋体" w:hAnsi="宋体" w:eastAsia="宋体" w:cs="宋体"/>
                <w:color w:val="auto"/>
                <w:kern w:val="0"/>
                <w:sz w:val="21"/>
                <w:szCs w:val="21"/>
                <w:highlight w:val="none"/>
                <w:u w:val="single"/>
                <w:lang w:val="en-US" w:eastAsia="zh-CN" w:bidi="ar"/>
              </w:rPr>
              <w:t xml:space="preserve">                         (盖章)</w:t>
            </w:r>
          </w:p>
        </w:tc>
      </w:tr>
      <w:tr w14:paraId="31116972">
        <w:tblPrEx>
          <w:tblCellMar>
            <w:top w:w="0" w:type="dxa"/>
            <w:left w:w="108" w:type="dxa"/>
            <w:bottom w:w="0" w:type="dxa"/>
            <w:right w:w="108" w:type="dxa"/>
          </w:tblCellMar>
        </w:tblPrEx>
        <w:trPr>
          <w:trHeight w:val="513" w:hRule="atLeast"/>
        </w:trPr>
        <w:tc>
          <w:tcPr>
            <w:tcW w:w="4581" w:type="dxa"/>
            <w:tcBorders>
              <w:top w:val="nil"/>
              <w:left w:val="nil"/>
              <w:bottom w:val="nil"/>
              <w:right w:val="nil"/>
            </w:tcBorders>
            <w:noWrap w:val="0"/>
            <w:vAlign w:val="bottom"/>
          </w:tcPr>
          <w:p w14:paraId="7C6A8001">
            <w:pPr>
              <w:keepNext w:val="0"/>
              <w:keepLines w:val="0"/>
              <w:widowControl/>
              <w:suppressLineNumbers w:val="0"/>
              <w:autoSpaceDE w:val="0"/>
              <w:autoSpaceDN w:val="0"/>
              <w:adjustRightInd w:val="0"/>
              <w:spacing w:before="100" w:beforeAutospacing="0" w:after="100" w:afterAutospacing="0"/>
              <w:ind w:left="0" w:right="77"/>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法定代表人或其委托代理人：</w:t>
            </w:r>
            <w:r>
              <w:rPr>
                <w:rFonts w:hint="eastAsia" w:ascii="宋体" w:hAnsi="宋体" w:eastAsia="宋体" w:cs="宋体"/>
                <w:color w:val="auto"/>
                <w:kern w:val="0"/>
                <w:sz w:val="21"/>
                <w:szCs w:val="21"/>
                <w:highlight w:val="none"/>
                <w:u w:val="single"/>
                <w:lang w:val="en-US" w:eastAsia="zh-CN" w:bidi="ar"/>
              </w:rPr>
              <w:t xml:space="preserve">         (签字)</w:t>
            </w:r>
          </w:p>
        </w:tc>
        <w:tc>
          <w:tcPr>
            <w:tcW w:w="4659" w:type="dxa"/>
            <w:tcBorders>
              <w:top w:val="nil"/>
              <w:left w:val="nil"/>
              <w:bottom w:val="nil"/>
              <w:right w:val="nil"/>
            </w:tcBorders>
            <w:noWrap w:val="0"/>
            <w:vAlign w:val="bottom"/>
          </w:tcPr>
          <w:p w14:paraId="5DCF5FA4">
            <w:pPr>
              <w:keepNext w:val="0"/>
              <w:keepLines w:val="0"/>
              <w:widowControl/>
              <w:suppressLineNumbers w:val="0"/>
              <w:autoSpaceDE w:val="0"/>
              <w:autoSpaceDN w:val="0"/>
              <w:adjustRightInd w:val="0"/>
              <w:spacing w:before="100" w:beforeAutospacing="0" w:after="100" w:afterAutospacing="0"/>
              <w:ind w:left="0" w:right="77"/>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法定代表人或其委托代理人</w:t>
            </w:r>
            <w:r>
              <w:rPr>
                <w:rFonts w:hint="eastAsia" w:ascii="宋体" w:hAnsi="宋体" w:eastAsia="宋体" w:cs="宋体"/>
                <w:color w:val="auto"/>
                <w:kern w:val="0"/>
                <w:sz w:val="21"/>
                <w:szCs w:val="21"/>
                <w:highlight w:val="none"/>
                <w:u w:val="single"/>
                <w:lang w:val="en-US" w:eastAsia="zh-CN" w:bidi="ar"/>
              </w:rPr>
              <w:t>：        (签字)</w:t>
            </w:r>
          </w:p>
        </w:tc>
      </w:tr>
      <w:tr w14:paraId="4B1A7ECB">
        <w:tblPrEx>
          <w:tblCellMar>
            <w:top w:w="0" w:type="dxa"/>
            <w:left w:w="108" w:type="dxa"/>
            <w:bottom w:w="0" w:type="dxa"/>
            <w:right w:w="108" w:type="dxa"/>
          </w:tblCellMar>
        </w:tblPrEx>
        <w:trPr>
          <w:trHeight w:val="513" w:hRule="atLeast"/>
        </w:trPr>
        <w:tc>
          <w:tcPr>
            <w:tcW w:w="4581" w:type="dxa"/>
            <w:tcBorders>
              <w:top w:val="nil"/>
              <w:left w:val="nil"/>
              <w:bottom w:val="nil"/>
              <w:right w:val="nil"/>
            </w:tcBorders>
            <w:noWrap w:val="0"/>
            <w:vAlign w:val="bottom"/>
          </w:tcPr>
          <w:p w14:paraId="1A9803E0">
            <w:pPr>
              <w:keepNext w:val="0"/>
              <w:keepLines w:val="0"/>
              <w:widowControl/>
              <w:suppressLineNumbers w:val="0"/>
              <w:autoSpaceDE w:val="0"/>
              <w:autoSpaceDN w:val="0"/>
              <w:adjustRightInd w:val="0"/>
              <w:spacing w:before="100" w:beforeAutospacing="0" w:after="100" w:afterAutospacing="0"/>
              <w:ind w:left="0" w:right="77"/>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    年    月    日</w:t>
            </w:r>
          </w:p>
        </w:tc>
        <w:tc>
          <w:tcPr>
            <w:tcW w:w="4659" w:type="dxa"/>
            <w:tcBorders>
              <w:top w:val="nil"/>
              <w:left w:val="nil"/>
              <w:bottom w:val="nil"/>
              <w:right w:val="nil"/>
            </w:tcBorders>
            <w:noWrap w:val="0"/>
            <w:vAlign w:val="bottom"/>
          </w:tcPr>
          <w:p w14:paraId="13713623">
            <w:pPr>
              <w:keepNext w:val="0"/>
              <w:keepLines w:val="0"/>
              <w:widowControl/>
              <w:suppressLineNumbers w:val="0"/>
              <w:autoSpaceDE w:val="0"/>
              <w:autoSpaceDN w:val="0"/>
              <w:adjustRightInd w:val="0"/>
              <w:spacing w:before="100" w:beforeAutospacing="0" w:after="100" w:afterAutospacing="0"/>
              <w:ind w:left="0" w:right="77"/>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    年    月    日</w:t>
            </w:r>
          </w:p>
        </w:tc>
      </w:tr>
      <w:tr w14:paraId="63FF62F3">
        <w:tblPrEx>
          <w:tblCellMar>
            <w:top w:w="0" w:type="dxa"/>
            <w:left w:w="108" w:type="dxa"/>
            <w:bottom w:w="0" w:type="dxa"/>
            <w:right w:w="108" w:type="dxa"/>
          </w:tblCellMar>
        </w:tblPrEx>
        <w:trPr>
          <w:gridAfter w:val="1"/>
          <w:wAfter w:w="4659" w:type="dxa"/>
          <w:trHeight w:val="658" w:hRule="atLeast"/>
        </w:trPr>
        <w:tc>
          <w:tcPr>
            <w:tcW w:w="4581" w:type="dxa"/>
            <w:tcBorders>
              <w:top w:val="nil"/>
              <w:left w:val="nil"/>
              <w:bottom w:val="nil"/>
              <w:right w:val="nil"/>
            </w:tcBorders>
            <w:noWrap w:val="0"/>
            <w:vAlign w:val="bottom"/>
          </w:tcPr>
          <w:p w14:paraId="1E1C6DF1">
            <w:pPr>
              <w:keepNext w:val="0"/>
              <w:keepLines w:val="0"/>
              <w:widowControl/>
              <w:suppressLineNumbers w:val="0"/>
              <w:autoSpaceDE w:val="0"/>
              <w:autoSpaceDN w:val="0"/>
              <w:adjustRightInd w:val="0"/>
              <w:spacing w:before="100" w:beforeAutospacing="0" w:after="100" w:afterAutospacing="0"/>
              <w:ind w:left="0" w:right="77"/>
              <w:jc w:val="left"/>
              <w:rPr>
                <w:rFonts w:hint="eastAsia" w:ascii="宋体" w:hAnsi="宋体" w:eastAsia="宋体" w:cs="宋体"/>
                <w:color w:val="auto"/>
                <w:kern w:val="0"/>
                <w:sz w:val="21"/>
                <w:szCs w:val="21"/>
                <w:highlight w:val="none"/>
                <w:lang w:val="en-US" w:eastAsia="zh-CN" w:bidi="ar"/>
              </w:rPr>
            </w:pPr>
            <w:bookmarkStart w:id="96" w:name="_Toc534620504"/>
            <w:r>
              <w:rPr>
                <w:rFonts w:hint="eastAsia" w:ascii="宋体" w:hAnsi="宋体" w:eastAsia="宋体" w:cs="宋体"/>
                <w:color w:val="auto"/>
                <w:kern w:val="0"/>
                <w:sz w:val="21"/>
                <w:szCs w:val="21"/>
                <w:highlight w:val="none"/>
                <w:lang w:val="en-US" w:eastAsia="zh-CN" w:bidi="ar"/>
              </w:rPr>
              <w:t>采购代理机构：浙江求是招标代理有限公司（盖   章）</w:t>
            </w:r>
            <w:bookmarkEnd w:id="96"/>
          </w:p>
        </w:tc>
      </w:tr>
      <w:tr w14:paraId="413F75BC">
        <w:tblPrEx>
          <w:tblCellMar>
            <w:top w:w="0" w:type="dxa"/>
            <w:left w:w="108" w:type="dxa"/>
            <w:bottom w:w="0" w:type="dxa"/>
            <w:right w:w="108" w:type="dxa"/>
          </w:tblCellMar>
        </w:tblPrEx>
        <w:trPr>
          <w:gridAfter w:val="1"/>
          <w:wAfter w:w="4659" w:type="dxa"/>
          <w:trHeight w:val="513" w:hRule="atLeast"/>
        </w:trPr>
        <w:tc>
          <w:tcPr>
            <w:tcW w:w="4581" w:type="dxa"/>
            <w:tcBorders>
              <w:top w:val="nil"/>
              <w:left w:val="nil"/>
              <w:bottom w:val="nil"/>
              <w:right w:val="nil"/>
            </w:tcBorders>
            <w:noWrap w:val="0"/>
            <w:vAlign w:val="bottom"/>
          </w:tcPr>
          <w:p w14:paraId="327EA4C3">
            <w:pPr>
              <w:keepNext w:val="0"/>
              <w:keepLines w:val="0"/>
              <w:widowControl/>
              <w:suppressLineNumbers w:val="0"/>
              <w:autoSpaceDE w:val="0"/>
              <w:autoSpaceDN w:val="0"/>
              <w:adjustRightInd w:val="0"/>
              <w:spacing w:before="100" w:beforeAutospacing="0" w:after="100" w:afterAutospacing="0"/>
              <w:ind w:left="0" w:right="77"/>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采购代理机构代表：</w:t>
            </w:r>
            <w:r>
              <w:rPr>
                <w:rFonts w:hint="eastAsia" w:ascii="宋体" w:hAnsi="宋体" w:eastAsia="宋体" w:cs="宋体"/>
                <w:color w:val="auto"/>
                <w:kern w:val="0"/>
                <w:sz w:val="21"/>
                <w:szCs w:val="21"/>
                <w:highlight w:val="none"/>
                <w:u w:val="single"/>
                <w:lang w:val="en-US" w:eastAsia="zh-CN" w:bidi="ar"/>
              </w:rPr>
              <w:t xml:space="preserve">                （签字）</w:t>
            </w:r>
          </w:p>
        </w:tc>
      </w:tr>
      <w:tr w14:paraId="09A53FC0">
        <w:tblPrEx>
          <w:tblCellMar>
            <w:top w:w="0" w:type="dxa"/>
            <w:left w:w="108" w:type="dxa"/>
            <w:bottom w:w="0" w:type="dxa"/>
            <w:right w:w="108" w:type="dxa"/>
          </w:tblCellMar>
        </w:tblPrEx>
        <w:trPr>
          <w:gridAfter w:val="1"/>
          <w:wAfter w:w="4659" w:type="dxa"/>
          <w:trHeight w:val="513" w:hRule="atLeast"/>
        </w:trPr>
        <w:tc>
          <w:tcPr>
            <w:tcW w:w="4581" w:type="dxa"/>
            <w:tcBorders>
              <w:top w:val="nil"/>
              <w:left w:val="nil"/>
              <w:bottom w:val="nil"/>
              <w:right w:val="nil"/>
            </w:tcBorders>
            <w:noWrap w:val="0"/>
            <w:vAlign w:val="bottom"/>
          </w:tcPr>
          <w:p w14:paraId="0386E62E">
            <w:pPr>
              <w:keepNext w:val="0"/>
              <w:keepLines w:val="0"/>
              <w:widowControl/>
              <w:suppressLineNumbers w:val="0"/>
              <w:autoSpaceDE w:val="0"/>
              <w:autoSpaceDN w:val="0"/>
              <w:adjustRightInd w:val="0"/>
              <w:spacing w:before="100" w:beforeAutospacing="0" w:after="100" w:afterAutospacing="0"/>
              <w:ind w:left="0" w:right="77"/>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    年    月    日</w:t>
            </w:r>
          </w:p>
        </w:tc>
      </w:tr>
    </w:tbl>
    <w:p w14:paraId="28124643">
      <w:pPr>
        <w:keepNext/>
        <w:keepLines/>
        <w:widowControl w:val="0"/>
        <w:spacing w:before="100" w:line="400" w:lineRule="exact"/>
        <w:jc w:val="center"/>
        <w:outlineLvl w:val="1"/>
        <w:rPr>
          <w:rFonts w:hint="eastAsia" w:ascii="宋体" w:hAnsi="宋体" w:eastAsia="宋体" w:cs="宋体"/>
          <w:color w:val="auto"/>
          <w:kern w:val="2"/>
          <w:sz w:val="21"/>
          <w:szCs w:val="21"/>
          <w:highlight w:val="none"/>
          <w:lang w:val="en-US" w:eastAsia="zh-CN" w:bidi="ar-SA"/>
        </w:rPr>
      </w:pPr>
      <w:bookmarkStart w:id="97" w:name="_Toc31640"/>
      <w:bookmarkStart w:id="98" w:name="_Toc69485879"/>
      <w:r>
        <w:rPr>
          <w:rFonts w:hint="eastAsia" w:ascii="宋体" w:hAnsi="宋体" w:eastAsia="宋体" w:cs="宋体"/>
          <w:color w:val="auto"/>
          <w:kern w:val="2"/>
          <w:sz w:val="21"/>
          <w:szCs w:val="21"/>
          <w:highlight w:val="none"/>
          <w:lang w:val="en-US" w:eastAsia="zh-CN" w:bidi="ar-SA"/>
        </w:rPr>
        <w:br w:type="page"/>
      </w:r>
      <w:r>
        <w:rPr>
          <w:rFonts w:hint="eastAsia" w:ascii="宋体" w:hAnsi="宋体" w:eastAsia="宋体" w:cs="宋体"/>
          <w:color w:val="auto"/>
          <w:kern w:val="2"/>
          <w:sz w:val="21"/>
          <w:szCs w:val="21"/>
          <w:highlight w:val="none"/>
          <w:lang w:val="en-US" w:eastAsia="zh-CN" w:bidi="ar-SA"/>
        </w:rPr>
        <w:t>第二部分  通用条款（略）</w:t>
      </w:r>
      <w:bookmarkEnd w:id="97"/>
      <w:bookmarkEnd w:id="98"/>
    </w:p>
    <w:p w14:paraId="2317A246">
      <w:pPr>
        <w:keepNext/>
        <w:keepLines/>
        <w:widowControl w:val="0"/>
        <w:spacing w:before="100" w:line="400" w:lineRule="exact"/>
        <w:jc w:val="center"/>
        <w:outlineLvl w:val="1"/>
        <w:rPr>
          <w:rFonts w:hint="eastAsia" w:ascii="宋体" w:hAnsi="宋体" w:eastAsia="宋体" w:cs="宋体"/>
          <w:color w:val="auto"/>
          <w:kern w:val="2"/>
          <w:sz w:val="21"/>
          <w:szCs w:val="21"/>
          <w:highlight w:val="none"/>
          <w:lang w:val="en-US" w:eastAsia="zh-CN" w:bidi="ar-SA"/>
        </w:rPr>
      </w:pPr>
      <w:bookmarkStart w:id="99" w:name="_Toc69485880"/>
      <w:bookmarkStart w:id="100" w:name="_Toc8278"/>
      <w:r>
        <w:rPr>
          <w:rFonts w:hint="eastAsia" w:ascii="宋体" w:hAnsi="宋体" w:eastAsia="宋体" w:cs="宋体"/>
          <w:color w:val="auto"/>
          <w:kern w:val="2"/>
          <w:sz w:val="21"/>
          <w:szCs w:val="21"/>
          <w:highlight w:val="none"/>
          <w:lang w:val="en-US" w:eastAsia="zh-CN" w:bidi="ar-SA"/>
        </w:rPr>
        <w:t>第三部分  专用条款</w:t>
      </w:r>
      <w:bookmarkEnd w:id="99"/>
      <w:bookmarkEnd w:id="100"/>
    </w:p>
    <w:p w14:paraId="75A4100F">
      <w:pPr>
        <w:keepNext/>
        <w:keepLines/>
        <w:widowControl w:val="0"/>
        <w:numPr>
          <w:ilvl w:val="3"/>
          <w:numId w:val="0"/>
        </w:numPr>
        <w:adjustRightInd w:val="0"/>
        <w:snapToGrid w:val="0"/>
        <w:spacing w:before="280" w:after="290" w:line="360" w:lineRule="auto"/>
        <w:ind w:left="426"/>
        <w:jc w:val="both"/>
        <w:outlineLvl w:val="3"/>
        <w:rPr>
          <w:rFonts w:hint="eastAsia" w:ascii="宋体" w:hAnsi="宋体" w:eastAsia="宋体" w:cs="宋体"/>
          <w:b/>
          <w:bCs/>
          <w:color w:val="auto"/>
          <w:kern w:val="2"/>
          <w:sz w:val="21"/>
          <w:szCs w:val="21"/>
          <w:highlight w:val="none"/>
          <w:lang w:val="en-US" w:eastAsia="zh-CN" w:bidi="ar-SA"/>
        </w:rPr>
      </w:pPr>
      <w:bookmarkStart w:id="101" w:name="_Toc351203633"/>
      <w:r>
        <w:rPr>
          <w:rFonts w:hint="eastAsia" w:ascii="宋体" w:hAnsi="宋体" w:eastAsia="宋体" w:cs="宋体"/>
          <w:b/>
          <w:bCs/>
          <w:color w:val="auto"/>
          <w:kern w:val="2"/>
          <w:sz w:val="21"/>
          <w:szCs w:val="21"/>
          <w:highlight w:val="none"/>
          <w:lang w:val="en-US" w:eastAsia="zh-CN" w:bidi="ar-SA"/>
        </w:rPr>
        <w:t>1</w:t>
      </w:r>
      <w:bookmarkStart w:id="102" w:name="_Toc296346657"/>
      <w:bookmarkStart w:id="103" w:name="_Toc296347155"/>
      <w:bookmarkStart w:id="104" w:name="_Toc297048342"/>
      <w:bookmarkStart w:id="105" w:name="_Toc297120456"/>
      <w:bookmarkStart w:id="106" w:name="_Toc292559361"/>
      <w:bookmarkStart w:id="107" w:name="_Toc292559866"/>
      <w:bookmarkStart w:id="108" w:name="_Toc296891196"/>
      <w:bookmarkStart w:id="109" w:name="_Toc296503156"/>
      <w:bookmarkStart w:id="110" w:name="_Toc296890984"/>
      <w:bookmarkStart w:id="111" w:name="_Toc296944495"/>
      <w:r>
        <w:rPr>
          <w:rFonts w:hint="eastAsia" w:ascii="宋体" w:hAnsi="宋体" w:eastAsia="宋体" w:cs="宋体"/>
          <w:b/>
          <w:bCs/>
          <w:color w:val="auto"/>
          <w:kern w:val="2"/>
          <w:sz w:val="21"/>
          <w:szCs w:val="21"/>
          <w:highlight w:val="none"/>
          <w:lang w:val="en-US" w:eastAsia="zh-CN" w:bidi="ar-SA"/>
        </w:rPr>
        <w:t>. 一般约定</w:t>
      </w:r>
      <w:bookmarkEnd w:id="101"/>
    </w:p>
    <w:bookmarkEnd w:id="102"/>
    <w:bookmarkEnd w:id="103"/>
    <w:bookmarkEnd w:id="104"/>
    <w:bookmarkEnd w:id="105"/>
    <w:bookmarkEnd w:id="106"/>
    <w:bookmarkEnd w:id="107"/>
    <w:bookmarkEnd w:id="108"/>
    <w:bookmarkEnd w:id="109"/>
    <w:bookmarkEnd w:id="110"/>
    <w:bookmarkEnd w:id="111"/>
    <w:p w14:paraId="1745B89C">
      <w:pPr>
        <w:adjustRightInd w:val="0"/>
        <w:snapToGrid w:val="0"/>
        <w:spacing w:line="360" w:lineRule="auto"/>
        <w:ind w:firstLine="367" w:firstLineChars="17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词语定义</w:t>
      </w:r>
    </w:p>
    <w:p w14:paraId="29DA1C20">
      <w:pPr>
        <w:adjustRightInd w:val="0"/>
        <w:snapToGrid w:val="0"/>
        <w:spacing w:line="360" w:lineRule="auto"/>
        <w:ind w:firstLine="367" w:firstLineChars="17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1.1.1合同</w:t>
      </w:r>
    </w:p>
    <w:p w14:paraId="1F082502">
      <w:pPr>
        <w:adjustRightInd w:val="0"/>
        <w:snapToGrid w:val="0"/>
        <w:spacing w:line="360" w:lineRule="auto"/>
        <w:ind w:firstLine="367" w:firstLineChars="17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1.1.1.10其他合同文件包括：</w:t>
      </w:r>
    </w:p>
    <w:p w14:paraId="00DF1C92">
      <w:pPr>
        <w:shd w:val="clear" w:color="auto" w:fill="FAFAFA"/>
        <w:adjustRightInd w:val="0"/>
        <w:snapToGrid w:val="0"/>
        <w:spacing w:line="360" w:lineRule="auto"/>
        <w:ind w:firstLine="413" w:firstLineChars="196"/>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施工组织设计：施工组织</w:t>
      </w:r>
      <w:r>
        <w:rPr>
          <w:rFonts w:hint="eastAsia" w:ascii="宋体" w:hAnsi="宋体" w:eastAsia="宋体" w:cs="宋体"/>
          <w:b/>
          <w:color w:val="auto"/>
          <w:sz w:val="21"/>
          <w:szCs w:val="21"/>
          <w:highlight w:val="none"/>
          <w:u w:val="single"/>
        </w:rPr>
        <w:fldChar w:fldCharType="begin"/>
      </w:r>
      <w:r>
        <w:rPr>
          <w:rFonts w:hint="eastAsia" w:ascii="宋体" w:hAnsi="宋体" w:eastAsia="宋体" w:cs="宋体"/>
          <w:b/>
          <w:color w:val="auto"/>
          <w:sz w:val="21"/>
          <w:szCs w:val="21"/>
          <w:highlight w:val="none"/>
          <w:u w:val="single"/>
        </w:rPr>
        <w:instrText xml:space="preserve"> HYPERLINK "http://baike.baidu.com/view/14417.htm" \t "_blank" </w:instrText>
      </w:r>
      <w:r>
        <w:rPr>
          <w:rFonts w:hint="eastAsia" w:ascii="宋体" w:hAnsi="宋体" w:eastAsia="宋体" w:cs="宋体"/>
          <w:b/>
          <w:color w:val="auto"/>
          <w:sz w:val="21"/>
          <w:szCs w:val="21"/>
          <w:highlight w:val="none"/>
          <w:u w:val="single"/>
        </w:rPr>
        <w:fldChar w:fldCharType="separate"/>
      </w:r>
      <w:r>
        <w:rPr>
          <w:rFonts w:hint="eastAsia" w:ascii="宋体" w:hAnsi="宋体" w:eastAsia="宋体" w:cs="宋体"/>
          <w:b/>
          <w:color w:val="auto"/>
          <w:sz w:val="21"/>
          <w:szCs w:val="21"/>
          <w:highlight w:val="none"/>
          <w:u w:val="single"/>
        </w:rPr>
        <w:t>设计</w:t>
      </w:r>
      <w:r>
        <w:rPr>
          <w:rFonts w:hint="eastAsia" w:ascii="宋体" w:hAnsi="宋体" w:eastAsia="宋体" w:cs="宋体"/>
          <w:b/>
          <w:color w:val="auto"/>
          <w:sz w:val="21"/>
          <w:szCs w:val="21"/>
          <w:highlight w:val="none"/>
          <w:u w:val="single"/>
        </w:rPr>
        <w:fldChar w:fldCharType="end"/>
      </w:r>
      <w:r>
        <w:rPr>
          <w:rFonts w:hint="eastAsia" w:ascii="宋体" w:hAnsi="宋体" w:eastAsia="宋体" w:cs="宋体"/>
          <w:b/>
          <w:color w:val="auto"/>
          <w:sz w:val="21"/>
          <w:szCs w:val="21"/>
          <w:highlight w:val="none"/>
          <w:u w:val="single"/>
        </w:rPr>
        <w:t>是用来指导</w:t>
      </w:r>
      <w:r>
        <w:rPr>
          <w:rFonts w:hint="eastAsia" w:ascii="宋体" w:hAnsi="宋体" w:eastAsia="宋体" w:cs="宋体"/>
          <w:b/>
          <w:color w:val="auto"/>
          <w:sz w:val="21"/>
          <w:szCs w:val="21"/>
          <w:highlight w:val="none"/>
          <w:u w:val="single"/>
        </w:rPr>
        <w:fldChar w:fldCharType="begin"/>
      </w:r>
      <w:r>
        <w:rPr>
          <w:rFonts w:hint="eastAsia" w:ascii="宋体" w:hAnsi="宋体" w:eastAsia="宋体" w:cs="宋体"/>
          <w:b/>
          <w:color w:val="auto"/>
          <w:sz w:val="21"/>
          <w:szCs w:val="21"/>
          <w:highlight w:val="none"/>
          <w:u w:val="single"/>
        </w:rPr>
        <w:instrText xml:space="preserve"> HYPERLINK "http://baike.baidu.com/view/1094820.htm" \t "_blank" </w:instrText>
      </w:r>
      <w:r>
        <w:rPr>
          <w:rFonts w:hint="eastAsia" w:ascii="宋体" w:hAnsi="宋体" w:eastAsia="宋体" w:cs="宋体"/>
          <w:b/>
          <w:color w:val="auto"/>
          <w:sz w:val="21"/>
          <w:szCs w:val="21"/>
          <w:highlight w:val="none"/>
          <w:u w:val="single"/>
        </w:rPr>
        <w:fldChar w:fldCharType="separate"/>
      </w:r>
      <w:r>
        <w:rPr>
          <w:rFonts w:hint="eastAsia" w:ascii="宋体" w:hAnsi="宋体" w:eastAsia="宋体" w:cs="宋体"/>
          <w:b/>
          <w:color w:val="auto"/>
          <w:sz w:val="21"/>
          <w:szCs w:val="21"/>
          <w:highlight w:val="none"/>
          <w:u w:val="single"/>
        </w:rPr>
        <w:t>施工项目</w:t>
      </w:r>
      <w:r>
        <w:rPr>
          <w:rFonts w:hint="eastAsia" w:ascii="宋体" w:hAnsi="宋体" w:eastAsia="宋体" w:cs="宋体"/>
          <w:b/>
          <w:color w:val="auto"/>
          <w:sz w:val="21"/>
          <w:szCs w:val="21"/>
          <w:highlight w:val="none"/>
          <w:u w:val="single"/>
        </w:rPr>
        <w:fldChar w:fldCharType="end"/>
      </w:r>
      <w:r>
        <w:rPr>
          <w:rFonts w:hint="eastAsia" w:ascii="宋体" w:hAnsi="宋体" w:eastAsia="宋体" w:cs="宋体"/>
          <w:b/>
          <w:color w:val="auto"/>
          <w:sz w:val="21"/>
          <w:szCs w:val="21"/>
          <w:highlight w:val="none"/>
          <w:u w:val="single"/>
        </w:rPr>
        <w:t>全过程各项活动的技术、经济和组织的综合性文件。</w:t>
      </w:r>
    </w:p>
    <w:p w14:paraId="114103D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合同当事人及其他相关方</w:t>
      </w:r>
    </w:p>
    <w:p w14:paraId="741FDDB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1.1.2.5 设计人：</w:t>
      </w:r>
    </w:p>
    <w:p w14:paraId="0D4F358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7AD5D7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6B4020B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w:t>
      </w:r>
    </w:p>
    <w:p w14:paraId="35F3374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w:t>
      </w:r>
    </w:p>
    <w:p w14:paraId="3FC19A4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  /                </w:t>
      </w:r>
      <w:r>
        <w:rPr>
          <w:rFonts w:hint="eastAsia" w:ascii="宋体" w:hAnsi="宋体" w:eastAsia="宋体" w:cs="宋体"/>
          <w:color w:val="auto"/>
          <w:sz w:val="21"/>
          <w:szCs w:val="21"/>
          <w:highlight w:val="none"/>
        </w:rPr>
        <w:t>。</w:t>
      </w:r>
    </w:p>
    <w:p w14:paraId="793B9D2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p>
    <w:p w14:paraId="3A0DF2E9">
      <w:pPr>
        <w:autoSpaceDE w:val="0"/>
        <w:autoSpaceDN w:val="0"/>
        <w:adjustRightInd w:val="0"/>
        <w:snapToGrid w:val="0"/>
        <w:spacing w:line="360" w:lineRule="auto"/>
        <w:ind w:left="682" w:leftChars="284"/>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适用于合同的其他规范性文件：</w:t>
      </w:r>
    </w:p>
    <w:p w14:paraId="558E698F">
      <w:pPr>
        <w:autoSpaceDE w:val="0"/>
        <w:autoSpaceDN w:val="0"/>
        <w:adjustRightInd w:val="0"/>
        <w:snapToGrid w:val="0"/>
        <w:spacing w:line="360" w:lineRule="auto"/>
        <w:ind w:firstLine="413" w:firstLineChars="196"/>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u w:val="single"/>
        </w:rPr>
        <w:t>（1）《杭州市建设工程工程量清单计价实施细则》</w:t>
      </w:r>
    </w:p>
    <w:p w14:paraId="42CD06DD">
      <w:pPr>
        <w:autoSpaceDE w:val="0"/>
        <w:autoSpaceDN w:val="0"/>
        <w:adjustRightInd w:val="0"/>
        <w:snapToGrid w:val="0"/>
        <w:spacing w:line="360" w:lineRule="auto"/>
        <w:ind w:firstLine="417" w:firstLineChars="198"/>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（2）《关于进一步加强建筑施工领域企业安全生产工作的实施意见》的通知 （杭建工发〔2011〕130号）</w:t>
      </w:r>
    </w:p>
    <w:p w14:paraId="54079074">
      <w:pPr>
        <w:autoSpaceDE w:val="0"/>
        <w:autoSpaceDN w:val="0"/>
        <w:adjustRightInd w:val="0"/>
        <w:snapToGrid w:val="0"/>
        <w:spacing w:line="360" w:lineRule="auto"/>
        <w:ind w:firstLine="417" w:firstLineChars="198"/>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（3）《关于进一步加强建设工程安全质量物联网管理应用平台建设的通知》（杭建工发【2012】426号）</w:t>
      </w:r>
    </w:p>
    <w:p w14:paraId="16BECD52">
      <w:pPr>
        <w:autoSpaceDE w:val="0"/>
        <w:autoSpaceDN w:val="0"/>
        <w:adjustRightInd w:val="0"/>
        <w:snapToGrid w:val="0"/>
        <w:spacing w:line="360" w:lineRule="auto"/>
        <w:ind w:firstLine="417" w:firstLineChars="198"/>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（4）《杭州市人民政府办公厅关于印发杭州市建设工程推广应用预拌砂浆管理办法的通知》（杭政办函（2011）32号）</w:t>
      </w:r>
    </w:p>
    <w:p w14:paraId="2036DA53">
      <w:pPr>
        <w:autoSpaceDE w:val="0"/>
        <w:autoSpaceDN w:val="0"/>
        <w:adjustRightInd w:val="0"/>
        <w:snapToGrid w:val="0"/>
        <w:spacing w:line="360" w:lineRule="auto"/>
        <w:ind w:firstLine="413" w:firstLineChars="196"/>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（5）《关于进一步加强杭州市建设工程市场要素价格动态管理的指导意见》（杭建市【2011】198号）</w:t>
      </w:r>
    </w:p>
    <w:p w14:paraId="44F2032F">
      <w:pPr>
        <w:autoSpaceDE w:val="0"/>
        <w:autoSpaceDN w:val="0"/>
        <w:adjustRightInd w:val="0"/>
        <w:snapToGrid w:val="0"/>
        <w:spacing w:line="360" w:lineRule="auto"/>
        <w:ind w:firstLine="413" w:firstLineChars="196"/>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（6）《关于进一步明确杭州市建设工程优质工程增加费计取规定的通知》（杭建市【2012】240号）</w:t>
      </w:r>
    </w:p>
    <w:p w14:paraId="165AF3B7">
      <w:pPr>
        <w:autoSpaceDE w:val="0"/>
        <w:autoSpaceDN w:val="0"/>
        <w:adjustRightInd w:val="0"/>
        <w:snapToGrid w:val="0"/>
        <w:spacing w:line="360" w:lineRule="auto"/>
        <w:ind w:firstLine="413" w:firstLineChars="196"/>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（7）新工艺、新技术的约定：以最新工艺、技术为准。      </w:t>
      </w:r>
    </w:p>
    <w:p w14:paraId="53A18A25">
      <w:pPr>
        <w:autoSpaceDE w:val="0"/>
        <w:autoSpaceDN w:val="0"/>
        <w:adjustRightInd w:val="0"/>
        <w:snapToGrid w:val="0"/>
        <w:spacing w:line="360" w:lineRule="auto"/>
        <w:ind w:firstLine="413" w:firstLineChars="196"/>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（8）其他： </w:t>
      </w:r>
    </w:p>
    <w:p w14:paraId="5350EBD7">
      <w:pPr>
        <w:autoSpaceDE w:val="0"/>
        <w:autoSpaceDN w:val="0"/>
        <w:adjustRightInd w:val="0"/>
        <w:snapToGrid w:val="0"/>
        <w:spacing w:line="360" w:lineRule="auto"/>
        <w:ind w:firstLine="411" w:firstLineChars="196"/>
        <w:jc w:val="lef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u w:val="single"/>
        </w:rPr>
        <w:t>《杭州市建筑市场管理若干规定》（杭州市人民政府令第277号）</w:t>
      </w:r>
    </w:p>
    <w:p w14:paraId="61E09482">
      <w:pPr>
        <w:autoSpaceDE w:val="0"/>
        <w:autoSpaceDN w:val="0"/>
        <w:adjustRightInd w:val="0"/>
        <w:snapToGrid w:val="0"/>
        <w:spacing w:line="360" w:lineRule="auto"/>
        <w:ind w:firstLine="411" w:firstLineChars="196"/>
        <w:jc w:val="lef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u w:val="single"/>
        </w:rPr>
        <w:t>《杭州市建设工程文明施工管理规定》（杭州市人民政府令第278号）</w:t>
      </w:r>
    </w:p>
    <w:p w14:paraId="122B43AA">
      <w:pPr>
        <w:autoSpaceDE w:val="0"/>
        <w:autoSpaceDN w:val="0"/>
        <w:adjustRightInd w:val="0"/>
        <w:snapToGrid w:val="0"/>
        <w:spacing w:line="360" w:lineRule="auto"/>
        <w:ind w:firstLine="411" w:firstLineChars="196"/>
        <w:jc w:val="lef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u w:val="single"/>
        </w:rPr>
        <w:t>《关于进一步明确本市政府投资项目工程结算审查费用管理相关事项的通知》（杭财基[2014]109号）</w:t>
      </w:r>
    </w:p>
    <w:p w14:paraId="5BCD33C3">
      <w:pPr>
        <w:autoSpaceDE w:val="0"/>
        <w:autoSpaceDN w:val="0"/>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标准和规范</w:t>
      </w:r>
    </w:p>
    <w:p w14:paraId="11276501">
      <w:pPr>
        <w:adjustRightInd w:val="0"/>
        <w:snapToGrid w:val="0"/>
        <w:spacing w:line="360" w:lineRule="auto"/>
        <w:ind w:firstLine="420" w:firstLineChars="200"/>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1.4.1适用于工程的标准规范包括：</w:t>
      </w:r>
      <w:r>
        <w:rPr>
          <w:rFonts w:hint="eastAsia" w:ascii="宋体" w:hAnsi="宋体" w:eastAsia="宋体" w:cs="宋体"/>
          <w:b/>
          <w:color w:val="auto"/>
          <w:sz w:val="21"/>
          <w:szCs w:val="21"/>
          <w:highlight w:val="none"/>
          <w:u w:val="single"/>
        </w:rPr>
        <w:t>现行的国家、地方和行业质量标准、规范、《建筑工程施工质量验收统一标准GB50300-2013》。</w:t>
      </w:r>
    </w:p>
    <w:p w14:paraId="067CBBBA">
      <w:pPr>
        <w:adjustRightInd w:val="0"/>
        <w:snapToGrid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1.4.2 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F18AFA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发包人提供国外标准、规范的份数：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0A9891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07F9CA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1.4.3发包人对工程的技术标准和功能要求的特殊要求：</w:t>
      </w:r>
      <w:r>
        <w:rPr>
          <w:rFonts w:hint="eastAsia" w:ascii="宋体" w:hAnsi="宋体" w:eastAsia="宋体" w:cs="宋体"/>
          <w:color w:val="auto"/>
          <w:sz w:val="21"/>
          <w:szCs w:val="21"/>
          <w:highlight w:val="none"/>
          <w:u w:val="single"/>
        </w:rPr>
        <w:t>详见施工图及招标文件要求</w:t>
      </w:r>
      <w:r>
        <w:rPr>
          <w:rFonts w:hint="eastAsia" w:ascii="宋体" w:hAnsi="宋体" w:eastAsia="宋体" w:cs="宋体"/>
          <w:color w:val="auto"/>
          <w:sz w:val="21"/>
          <w:szCs w:val="21"/>
          <w:highlight w:val="none"/>
        </w:rPr>
        <w:t>。</w:t>
      </w:r>
    </w:p>
    <w:p w14:paraId="67BCDEB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14:paraId="1D0ED28A">
      <w:pPr>
        <w:autoSpaceDE w:val="0"/>
        <w:autoSpaceDN w:val="0"/>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p>
    <w:p w14:paraId="330348B0">
      <w:pPr>
        <w:autoSpaceDE w:val="0"/>
        <w:autoSpaceDN w:val="0"/>
        <w:adjustRightInd w:val="0"/>
        <w:snapToGrid w:val="0"/>
        <w:spacing w:line="360" w:lineRule="auto"/>
        <w:ind w:firstLine="417" w:firstLineChars="198"/>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（1）合同协议书</w:t>
      </w:r>
      <w:r>
        <w:rPr>
          <w:rFonts w:hint="eastAsia" w:ascii="宋体" w:hAnsi="宋体" w:eastAsia="宋体" w:cs="宋体"/>
          <w:b/>
          <w:color w:val="auto"/>
          <w:sz w:val="21"/>
          <w:szCs w:val="21"/>
          <w:highlight w:val="none"/>
        </w:rPr>
        <w:t>；</w:t>
      </w:r>
    </w:p>
    <w:p w14:paraId="7246F98E">
      <w:pPr>
        <w:autoSpaceDE w:val="0"/>
        <w:autoSpaceDN w:val="0"/>
        <w:adjustRightInd w:val="0"/>
        <w:snapToGrid w:val="0"/>
        <w:spacing w:line="360" w:lineRule="auto"/>
        <w:ind w:firstLine="417" w:firstLineChars="198"/>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（2）成交通知书（或项目发承包基本情况表）</w:t>
      </w:r>
      <w:r>
        <w:rPr>
          <w:rFonts w:hint="eastAsia" w:ascii="宋体" w:hAnsi="宋体" w:eastAsia="宋体" w:cs="宋体"/>
          <w:b/>
          <w:color w:val="auto"/>
          <w:sz w:val="21"/>
          <w:szCs w:val="21"/>
          <w:highlight w:val="none"/>
        </w:rPr>
        <w:t>；</w:t>
      </w:r>
    </w:p>
    <w:p w14:paraId="1060B38B">
      <w:pPr>
        <w:adjustRightInd w:val="0"/>
        <w:snapToGrid w:val="0"/>
        <w:spacing w:line="360" w:lineRule="auto"/>
        <w:ind w:firstLine="417" w:firstLineChars="198"/>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（3）磋商响应函及其附录（如果有）</w:t>
      </w:r>
      <w:r>
        <w:rPr>
          <w:rFonts w:hint="eastAsia" w:ascii="宋体" w:hAnsi="宋体" w:eastAsia="宋体" w:cs="宋体"/>
          <w:b/>
          <w:color w:val="auto"/>
          <w:sz w:val="21"/>
          <w:szCs w:val="21"/>
          <w:highlight w:val="none"/>
        </w:rPr>
        <w:t>；</w:t>
      </w:r>
    </w:p>
    <w:p w14:paraId="11430E4D">
      <w:pPr>
        <w:autoSpaceDE w:val="0"/>
        <w:autoSpaceDN w:val="0"/>
        <w:adjustRightInd w:val="0"/>
        <w:snapToGrid w:val="0"/>
        <w:spacing w:line="360" w:lineRule="auto"/>
        <w:ind w:firstLine="417" w:firstLineChars="198"/>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（4）专用合同条款及其附件</w:t>
      </w:r>
      <w:r>
        <w:rPr>
          <w:rFonts w:hint="eastAsia" w:ascii="宋体" w:hAnsi="宋体" w:eastAsia="宋体" w:cs="宋体"/>
          <w:b/>
          <w:color w:val="auto"/>
          <w:sz w:val="21"/>
          <w:szCs w:val="21"/>
          <w:highlight w:val="none"/>
        </w:rPr>
        <w:t>；</w:t>
      </w:r>
    </w:p>
    <w:p w14:paraId="54F67306">
      <w:pPr>
        <w:autoSpaceDE w:val="0"/>
        <w:autoSpaceDN w:val="0"/>
        <w:adjustRightInd w:val="0"/>
        <w:snapToGrid w:val="0"/>
        <w:spacing w:line="360" w:lineRule="auto"/>
        <w:ind w:firstLine="417" w:firstLineChars="198"/>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（5）通用合同条款</w:t>
      </w:r>
      <w:r>
        <w:rPr>
          <w:rFonts w:hint="eastAsia" w:ascii="宋体" w:hAnsi="宋体" w:eastAsia="宋体" w:cs="宋体"/>
          <w:b/>
          <w:color w:val="auto"/>
          <w:sz w:val="21"/>
          <w:szCs w:val="21"/>
          <w:highlight w:val="none"/>
        </w:rPr>
        <w:t>；</w:t>
      </w:r>
    </w:p>
    <w:p w14:paraId="23E99E0B">
      <w:pPr>
        <w:adjustRightInd w:val="0"/>
        <w:snapToGrid w:val="0"/>
        <w:spacing w:line="360" w:lineRule="auto"/>
        <w:ind w:firstLine="417" w:firstLineChars="198"/>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（6）技术标准和要求</w:t>
      </w:r>
      <w:r>
        <w:rPr>
          <w:rFonts w:hint="eastAsia" w:ascii="宋体" w:hAnsi="宋体" w:eastAsia="宋体" w:cs="宋体"/>
          <w:b/>
          <w:color w:val="auto"/>
          <w:sz w:val="21"/>
          <w:szCs w:val="21"/>
          <w:highlight w:val="none"/>
        </w:rPr>
        <w:t>；</w:t>
      </w:r>
    </w:p>
    <w:p w14:paraId="7B78C866">
      <w:pPr>
        <w:adjustRightInd w:val="0"/>
        <w:snapToGrid w:val="0"/>
        <w:spacing w:line="360" w:lineRule="auto"/>
        <w:ind w:firstLine="417" w:firstLineChars="198"/>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（7）图纸（如有） ；</w:t>
      </w:r>
    </w:p>
    <w:p w14:paraId="1FA48B94">
      <w:pPr>
        <w:adjustRightInd w:val="0"/>
        <w:snapToGrid w:val="0"/>
        <w:spacing w:line="360" w:lineRule="auto"/>
        <w:ind w:firstLine="417" w:firstLineChars="198"/>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（8）已标价工程量清单或预算书</w:t>
      </w:r>
      <w:r>
        <w:rPr>
          <w:rFonts w:hint="eastAsia" w:ascii="宋体" w:hAnsi="宋体" w:eastAsia="宋体" w:cs="宋体"/>
          <w:b/>
          <w:color w:val="auto"/>
          <w:sz w:val="21"/>
          <w:szCs w:val="21"/>
          <w:highlight w:val="none"/>
        </w:rPr>
        <w:t>；</w:t>
      </w:r>
    </w:p>
    <w:p w14:paraId="48228D42">
      <w:pPr>
        <w:adjustRightInd w:val="0"/>
        <w:snapToGrid w:val="0"/>
        <w:spacing w:line="360" w:lineRule="auto"/>
        <w:ind w:firstLine="417" w:firstLineChars="198"/>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（9）其他合同文件</w:t>
      </w:r>
      <w:r>
        <w:rPr>
          <w:rFonts w:hint="eastAsia" w:ascii="宋体" w:hAnsi="宋体" w:eastAsia="宋体" w:cs="宋体"/>
          <w:b/>
          <w:color w:val="auto"/>
          <w:sz w:val="21"/>
          <w:szCs w:val="21"/>
          <w:highlight w:val="none"/>
        </w:rPr>
        <w:t>：</w:t>
      </w:r>
    </w:p>
    <w:p w14:paraId="12151CA0">
      <w:pPr>
        <w:adjustRightInd w:val="0"/>
        <w:snapToGrid w:val="0"/>
        <w:spacing w:line="360" w:lineRule="auto"/>
        <w:ind w:firstLine="417" w:firstLineChars="198"/>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①施工组织设计</w:t>
      </w:r>
      <w:r>
        <w:rPr>
          <w:rFonts w:hint="eastAsia" w:ascii="宋体" w:hAnsi="宋体" w:eastAsia="宋体" w:cs="宋体"/>
          <w:b/>
          <w:color w:val="auto"/>
          <w:sz w:val="21"/>
          <w:szCs w:val="21"/>
          <w:highlight w:val="none"/>
        </w:rPr>
        <w:t>；</w:t>
      </w:r>
    </w:p>
    <w:p w14:paraId="0A55C020">
      <w:pPr>
        <w:adjustRightInd w:val="0"/>
        <w:snapToGrid w:val="0"/>
        <w:spacing w:line="360" w:lineRule="auto"/>
        <w:ind w:firstLine="417" w:firstLineChars="198"/>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②其他：采购文件（含采购工程量清单）及采购答疑。      </w:t>
      </w:r>
    </w:p>
    <w:p w14:paraId="1379D64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r>
        <w:rPr>
          <w:rFonts w:hint="eastAsia" w:ascii="宋体" w:hAnsi="宋体" w:eastAsia="宋体" w:cs="宋体"/>
          <w:color w:val="auto"/>
          <w:sz w:val="21"/>
          <w:szCs w:val="21"/>
          <w:highlight w:val="none"/>
        </w:rPr>
        <w:tab/>
      </w:r>
    </w:p>
    <w:p w14:paraId="35E4D2F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图纸的提供</w:t>
      </w:r>
    </w:p>
    <w:p w14:paraId="61B7D1E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7CB515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4465C5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85A876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1.6.4 承包人文件</w:t>
      </w:r>
    </w:p>
    <w:p w14:paraId="7CD24E65">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sz w:val="21"/>
          <w:szCs w:val="21"/>
          <w:highlight w:val="none"/>
          <w:u w:val="single"/>
        </w:rPr>
        <w:t>施工组织设计、进度计划、发包人和政府规定要求必须提供的其他文件</w:t>
      </w:r>
      <w:r>
        <w:rPr>
          <w:rFonts w:hint="eastAsia" w:ascii="宋体" w:hAnsi="宋体" w:eastAsia="宋体" w:cs="宋体"/>
          <w:color w:val="auto"/>
          <w:sz w:val="21"/>
          <w:szCs w:val="21"/>
          <w:highlight w:val="none"/>
        </w:rPr>
        <w:t>；</w:t>
      </w:r>
    </w:p>
    <w:p w14:paraId="1155621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sz w:val="21"/>
          <w:szCs w:val="21"/>
          <w:highlight w:val="none"/>
          <w:u w:val="single"/>
        </w:rPr>
        <w:t>开工后壹周内</w:t>
      </w:r>
      <w:r>
        <w:rPr>
          <w:rFonts w:hint="eastAsia" w:ascii="宋体" w:hAnsi="宋体" w:eastAsia="宋体" w:cs="宋体"/>
          <w:color w:val="auto"/>
          <w:sz w:val="21"/>
          <w:szCs w:val="21"/>
          <w:highlight w:val="none"/>
        </w:rPr>
        <w:t>；</w:t>
      </w:r>
    </w:p>
    <w:p w14:paraId="4690FB2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承包人提供的文件的数量为：</w:t>
      </w:r>
      <w:r>
        <w:rPr>
          <w:rFonts w:hint="eastAsia" w:ascii="宋体" w:hAnsi="宋体" w:eastAsia="宋体" w:cs="宋体"/>
          <w:color w:val="auto"/>
          <w:sz w:val="21"/>
          <w:szCs w:val="21"/>
          <w:highlight w:val="none"/>
          <w:u w:val="single"/>
        </w:rPr>
        <w:t>双方协商确定</w:t>
      </w:r>
      <w:r>
        <w:rPr>
          <w:rFonts w:hint="eastAsia" w:ascii="宋体" w:hAnsi="宋体" w:eastAsia="宋体" w:cs="宋体"/>
          <w:color w:val="auto"/>
          <w:sz w:val="21"/>
          <w:szCs w:val="21"/>
          <w:highlight w:val="none"/>
        </w:rPr>
        <w:t>；</w:t>
      </w:r>
    </w:p>
    <w:p w14:paraId="547B7B2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sz w:val="21"/>
          <w:szCs w:val="21"/>
          <w:highlight w:val="none"/>
          <w:u w:val="single"/>
        </w:rPr>
        <w:t>按发包人要求</w:t>
      </w:r>
      <w:r>
        <w:rPr>
          <w:rFonts w:hint="eastAsia" w:ascii="宋体" w:hAnsi="宋体" w:eastAsia="宋体" w:cs="宋体"/>
          <w:color w:val="auto"/>
          <w:sz w:val="21"/>
          <w:szCs w:val="21"/>
          <w:highlight w:val="none"/>
        </w:rPr>
        <w:t>；</w:t>
      </w:r>
    </w:p>
    <w:p w14:paraId="3F6E853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发包人审批承包人文件的期限：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FA9AB1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1.6.5 现场图纸准备</w:t>
      </w:r>
    </w:p>
    <w:p w14:paraId="59337D9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关于现场图纸准备的约定：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A2756B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39C0E2A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1.7.1发包人和承包人应当在</w:t>
      </w:r>
      <w:r>
        <w:rPr>
          <w:rFonts w:hint="eastAsia" w:ascii="宋体" w:hAnsi="宋体" w:eastAsia="宋体" w:cs="宋体"/>
          <w:color w:val="auto"/>
          <w:sz w:val="21"/>
          <w:szCs w:val="21"/>
          <w:highlight w:val="none"/>
          <w:u w:val="single"/>
        </w:rPr>
        <w:t xml:space="preserve">3 </w:t>
      </w:r>
      <w:r>
        <w:rPr>
          <w:rFonts w:hint="eastAsia" w:ascii="宋体" w:hAnsi="宋体" w:eastAsia="宋体" w:cs="宋体"/>
          <w:color w:val="auto"/>
          <w:sz w:val="21"/>
          <w:szCs w:val="21"/>
          <w:highlight w:val="none"/>
        </w:rPr>
        <w:t>天内将与合同有关的通知、批准、证明、证书、指示、指令、要求、请求、同意、意见、确定和决定等书面函件送达对方当事人。</w:t>
      </w:r>
    </w:p>
    <w:p w14:paraId="0593E65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 发包人接收文件的地点：</w:t>
      </w:r>
      <w:r>
        <w:rPr>
          <w:rFonts w:hint="eastAsia" w:ascii="宋体" w:hAnsi="宋体" w:eastAsia="宋体" w:cs="宋体"/>
          <w:color w:val="auto"/>
          <w:sz w:val="21"/>
          <w:szCs w:val="21"/>
          <w:highlight w:val="none"/>
          <w:u w:val="single"/>
        </w:rPr>
        <w:t>发包人办公室</w:t>
      </w:r>
      <w:r>
        <w:rPr>
          <w:rFonts w:hint="eastAsia" w:ascii="宋体" w:hAnsi="宋体" w:eastAsia="宋体" w:cs="宋体"/>
          <w:color w:val="auto"/>
          <w:sz w:val="21"/>
          <w:szCs w:val="21"/>
          <w:highlight w:val="none"/>
        </w:rPr>
        <w:t>；</w:t>
      </w:r>
    </w:p>
    <w:p w14:paraId="57E733F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FCC17A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承包人接收文件的地点：</w:t>
      </w:r>
      <w:r>
        <w:rPr>
          <w:rFonts w:hint="eastAsia" w:ascii="宋体" w:hAnsi="宋体" w:eastAsia="宋体" w:cs="宋体"/>
          <w:color w:val="auto"/>
          <w:sz w:val="21"/>
          <w:szCs w:val="21"/>
          <w:highlight w:val="none"/>
          <w:u w:val="single"/>
        </w:rPr>
        <w:t>承包人现场办公室</w:t>
      </w:r>
      <w:r>
        <w:rPr>
          <w:rFonts w:hint="eastAsia" w:ascii="宋体" w:hAnsi="宋体" w:eastAsia="宋体" w:cs="宋体"/>
          <w:color w:val="auto"/>
          <w:sz w:val="21"/>
          <w:szCs w:val="21"/>
          <w:highlight w:val="none"/>
        </w:rPr>
        <w:t>；</w:t>
      </w:r>
    </w:p>
    <w:p w14:paraId="49E385B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1F726B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 交通运输</w:t>
      </w:r>
    </w:p>
    <w:p w14:paraId="59A9EB9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112" w:name="_Toc304295521"/>
      <w:bookmarkStart w:id="113" w:name="_Toc303539100"/>
      <w:bookmarkStart w:id="114" w:name="_Toc318581155"/>
      <w:bookmarkStart w:id="115" w:name="_Toc300934943"/>
      <w:bookmarkStart w:id="116" w:name="_Toc312677986"/>
      <w:r>
        <w:rPr>
          <w:rFonts w:hint="eastAsia" w:ascii="宋体" w:hAnsi="宋体" w:eastAsia="宋体" w:cs="宋体"/>
          <w:color w:val="auto"/>
          <w:sz w:val="21"/>
          <w:szCs w:val="21"/>
          <w:highlight w:val="none"/>
        </w:rPr>
        <w:t>.10.1 出入现场的权利</w:t>
      </w:r>
    </w:p>
    <w:p w14:paraId="25B0C732">
      <w:pPr>
        <w:adjustRightInd w:val="0"/>
        <w:snapToGrid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关于出入现场的权利的约定：</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w:t>
      </w:r>
    </w:p>
    <w:bookmarkEnd w:id="112"/>
    <w:bookmarkEnd w:id="113"/>
    <w:bookmarkEnd w:id="114"/>
    <w:bookmarkEnd w:id="115"/>
    <w:bookmarkEnd w:id="116"/>
    <w:p w14:paraId="76C63E02">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117" w:name="_Toc304295522"/>
      <w:bookmarkStart w:id="118" w:name="_Toc300934944"/>
      <w:bookmarkStart w:id="119" w:name="_Toc303539101"/>
      <w:bookmarkStart w:id="120" w:name="_Toc312677987"/>
      <w:bookmarkStart w:id="121" w:name="_Toc318581156"/>
      <w:r>
        <w:rPr>
          <w:rFonts w:hint="eastAsia" w:ascii="宋体" w:hAnsi="宋体" w:eastAsia="宋体" w:cs="宋体"/>
          <w:color w:val="auto"/>
          <w:sz w:val="21"/>
          <w:szCs w:val="21"/>
          <w:highlight w:val="none"/>
        </w:rPr>
        <w:t>.10.3 场内交通</w:t>
      </w:r>
    </w:p>
    <w:bookmarkEnd w:id="117"/>
    <w:bookmarkEnd w:id="118"/>
    <w:bookmarkEnd w:id="119"/>
    <w:bookmarkEnd w:id="120"/>
    <w:bookmarkEnd w:id="121"/>
    <w:p w14:paraId="7F8138AB">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关于场外交通和场内交通的边界的约定：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126853D">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关于发包人向承包人免费提供满足工程施工需要的场内道路和交通设施的约定：</w:t>
      </w:r>
      <w:r>
        <w:rPr>
          <w:rFonts w:hint="eastAsia" w:ascii="宋体" w:hAnsi="宋体" w:eastAsia="宋体" w:cs="宋体"/>
          <w:color w:val="auto"/>
          <w:sz w:val="21"/>
          <w:szCs w:val="21"/>
          <w:highlight w:val="none"/>
          <w:u w:val="single"/>
        </w:rPr>
        <w:t>利用现有的场内、外道路和交通设施，如需新建，承包人自行建设，并承担费用</w:t>
      </w:r>
      <w:r>
        <w:rPr>
          <w:rFonts w:hint="eastAsia" w:ascii="宋体" w:hAnsi="宋体" w:eastAsia="宋体" w:cs="宋体"/>
          <w:color w:val="auto"/>
          <w:sz w:val="21"/>
          <w:szCs w:val="21"/>
          <w:highlight w:val="none"/>
        </w:rPr>
        <w:t xml:space="preserve">。  </w:t>
      </w:r>
      <w:bookmarkStart w:id="122" w:name="_Toc318581157"/>
    </w:p>
    <w:p w14:paraId="5E802832">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1.10.4超大件和超重件的运输</w:t>
      </w:r>
    </w:p>
    <w:p w14:paraId="03A1FD76">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  承包人 </w:t>
      </w:r>
      <w:r>
        <w:rPr>
          <w:rFonts w:hint="eastAsia" w:ascii="宋体" w:hAnsi="宋体" w:eastAsia="宋体" w:cs="宋体"/>
          <w:color w:val="auto"/>
          <w:sz w:val="21"/>
          <w:szCs w:val="21"/>
          <w:highlight w:val="none"/>
        </w:rPr>
        <w:t>承担。</w:t>
      </w:r>
    </w:p>
    <w:p w14:paraId="7FD50F18">
      <w:pPr>
        <w:adjustRightInd w:val="0"/>
        <w:snapToGrid w:val="0"/>
        <w:spacing w:line="360" w:lineRule="auto"/>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本工程的超大件：</w:t>
      </w:r>
      <w:r>
        <w:rPr>
          <w:rFonts w:hint="eastAsia" w:ascii="宋体" w:hAnsi="宋体" w:eastAsia="宋体" w:cs="宋体"/>
          <w:bCs/>
          <w:color w:val="auto"/>
          <w:sz w:val="21"/>
          <w:szCs w:val="21"/>
          <w:highlight w:val="none"/>
          <w:u w:val="single"/>
        </w:rPr>
        <w:t xml:space="preserve">  /   </w:t>
      </w:r>
      <w:r>
        <w:rPr>
          <w:rFonts w:hint="eastAsia" w:ascii="宋体" w:hAnsi="宋体" w:eastAsia="宋体" w:cs="宋体"/>
          <w:bCs/>
          <w:color w:val="auto"/>
          <w:sz w:val="21"/>
          <w:szCs w:val="21"/>
          <w:highlight w:val="none"/>
        </w:rPr>
        <w:t>；</w:t>
      </w:r>
    </w:p>
    <w:p w14:paraId="443076AC">
      <w:pPr>
        <w:adjustRightInd w:val="0"/>
        <w:snapToGrid w:val="0"/>
        <w:spacing w:line="360" w:lineRule="auto"/>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本工程的超重件：</w:t>
      </w:r>
      <w:r>
        <w:rPr>
          <w:rFonts w:hint="eastAsia" w:ascii="宋体" w:hAnsi="宋体" w:eastAsia="宋体" w:cs="宋体"/>
          <w:bCs/>
          <w:color w:val="auto"/>
          <w:sz w:val="21"/>
          <w:szCs w:val="21"/>
          <w:highlight w:val="none"/>
          <w:u w:val="single"/>
        </w:rPr>
        <w:t xml:space="preserve">  /   </w:t>
      </w:r>
      <w:r>
        <w:rPr>
          <w:rFonts w:hint="eastAsia" w:ascii="宋体" w:hAnsi="宋体" w:eastAsia="宋体" w:cs="宋体"/>
          <w:bCs/>
          <w:color w:val="auto"/>
          <w:sz w:val="21"/>
          <w:szCs w:val="21"/>
          <w:highlight w:val="none"/>
        </w:rPr>
        <w:t>；</w:t>
      </w:r>
    </w:p>
    <w:bookmarkEnd w:id="122"/>
    <w:p w14:paraId="269754F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知识产权</w:t>
      </w:r>
    </w:p>
    <w:p w14:paraId="7DF9FEEB">
      <w:pPr>
        <w:adjustRightInd w:val="0"/>
        <w:snapToGrid w:val="0"/>
        <w:spacing w:line="360" w:lineRule="auto"/>
        <w:ind w:firstLine="420" w:firstLineChars="200"/>
        <w:rPr>
          <w:rFonts w:hint="eastAsia" w:ascii="宋体" w:hAnsi="宋体" w:eastAsia="宋体" w:cs="宋体"/>
          <w:color w:val="auto"/>
          <w:sz w:val="21"/>
          <w:szCs w:val="21"/>
          <w:highlight w:val="none"/>
          <w:u w:val="single"/>
        </w:rPr>
      </w:pPr>
      <w:bookmarkStart w:id="123" w:name="_Toc351203634"/>
      <w:r>
        <w:rPr>
          <w:rFonts w:hint="eastAsia" w:ascii="宋体" w:hAnsi="宋体" w:eastAsia="宋体" w:cs="宋体"/>
          <w:color w:val="auto"/>
          <w:sz w:val="21"/>
          <w:szCs w:val="21"/>
          <w:highlight w:val="none"/>
        </w:rPr>
        <w:t>1.11.1关于发包人提供给承包人的图纸（如有）、发包人为实施工程自行编制或委托编制的技术规范以及反映发包人关于合同要求或其他类似性质的文件的著作权的归属：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w:t>
      </w:r>
    </w:p>
    <w:p w14:paraId="6103E1F9">
      <w:pPr>
        <w:adjustRightInd w:val="0"/>
        <w:snapToGrid w:val="0"/>
        <w:spacing w:line="360" w:lineRule="auto"/>
        <w:ind w:firstLine="315" w:firstLineChars="15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关于发包人提供的上述文件的使用限制的要求：</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 xml:space="preserve">。   </w:t>
      </w:r>
    </w:p>
    <w:p w14:paraId="5C03EDB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1.11.2 关于承包人为实施工程所编制文件的著作权的归属：</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w:t>
      </w:r>
    </w:p>
    <w:p w14:paraId="301FF721">
      <w:pPr>
        <w:adjustRightInd w:val="0"/>
        <w:snapToGrid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关于承包人提供的上述文件的使用限制的要求：</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w:t>
      </w:r>
    </w:p>
    <w:p w14:paraId="46375E5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1.11.4 承包人在施工过程中所采用的专利、专有技术、技术秘密的使用费的承担方式：</w:t>
      </w:r>
      <w:r>
        <w:rPr>
          <w:rFonts w:hint="eastAsia" w:ascii="宋体" w:hAnsi="宋体" w:eastAsia="宋体" w:cs="宋体"/>
          <w:b/>
          <w:color w:val="auto"/>
          <w:sz w:val="21"/>
          <w:szCs w:val="21"/>
          <w:highlight w:val="none"/>
          <w:u w:val="single"/>
        </w:rPr>
        <w:t>（除发包人指明外）承包人在施工过程中所采用的专利、专有技术、技术秘密的使用费包含在合同价款内</w:t>
      </w:r>
      <w:r>
        <w:rPr>
          <w:rFonts w:hint="eastAsia" w:ascii="宋体" w:hAnsi="宋体" w:eastAsia="宋体" w:cs="宋体"/>
          <w:b/>
          <w:color w:val="auto"/>
          <w:sz w:val="21"/>
          <w:szCs w:val="21"/>
          <w:highlight w:val="none"/>
        </w:rPr>
        <w:t>。</w:t>
      </w:r>
    </w:p>
    <w:p w14:paraId="345B77B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1.13工程量清单错误的修正</w:t>
      </w:r>
    </w:p>
    <w:p w14:paraId="7F681E2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出现工程量清单错误时，是否调整合同价格：</w:t>
      </w:r>
      <w:r>
        <w:rPr>
          <w:rFonts w:hint="eastAsia" w:ascii="宋体" w:hAnsi="宋体" w:eastAsia="宋体" w:cs="宋体"/>
          <w:color w:val="auto"/>
          <w:sz w:val="21"/>
          <w:szCs w:val="21"/>
          <w:highlight w:val="none"/>
          <w:u w:val="single"/>
        </w:rPr>
        <w:t xml:space="preserve">   /  </w:t>
      </w:r>
      <w:r>
        <w:rPr>
          <w:rFonts w:hint="eastAsia" w:ascii="宋体" w:hAnsi="宋体" w:eastAsia="宋体" w:cs="宋体"/>
          <w:b/>
          <w:color w:val="auto"/>
          <w:sz w:val="21"/>
          <w:szCs w:val="21"/>
          <w:highlight w:val="none"/>
        </w:rPr>
        <w:t>；</w:t>
      </w:r>
    </w:p>
    <w:p w14:paraId="12E7353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 </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E3718A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调整合同价格的修正时间：</w:t>
      </w:r>
      <w:r>
        <w:rPr>
          <w:rFonts w:hint="eastAsia" w:ascii="宋体" w:hAnsi="宋体" w:eastAsia="宋体" w:cs="宋体"/>
          <w:color w:val="auto"/>
          <w:sz w:val="21"/>
          <w:szCs w:val="21"/>
          <w:highlight w:val="none"/>
          <w:u w:val="single"/>
        </w:rPr>
        <w:t>除本合同专用条款另有约定外，合同价格不调整</w:t>
      </w:r>
      <w:r>
        <w:rPr>
          <w:rFonts w:hint="eastAsia" w:ascii="宋体" w:hAnsi="宋体" w:eastAsia="宋体" w:cs="宋体"/>
          <w:color w:val="auto"/>
          <w:sz w:val="21"/>
          <w:szCs w:val="21"/>
          <w:highlight w:val="none"/>
        </w:rPr>
        <w:t>。</w:t>
      </w:r>
    </w:p>
    <w:p w14:paraId="063B75E9">
      <w:pPr>
        <w:keepNext/>
        <w:keepLines/>
        <w:widowControl w:val="0"/>
        <w:numPr>
          <w:ilvl w:val="3"/>
          <w:numId w:val="0"/>
        </w:numPr>
        <w:adjustRightInd w:val="0"/>
        <w:snapToGrid w:val="0"/>
        <w:spacing w:before="280" w:after="290" w:line="360" w:lineRule="auto"/>
        <w:ind w:left="426"/>
        <w:jc w:val="both"/>
        <w:outlineLvl w:val="3"/>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2</w:t>
      </w:r>
      <w:bookmarkStart w:id="124" w:name="_Toc296346658"/>
      <w:bookmarkStart w:id="125" w:name="_Toc292559867"/>
      <w:bookmarkStart w:id="126" w:name="_Toc296347156"/>
      <w:bookmarkStart w:id="127" w:name="_Toc296944496"/>
      <w:bookmarkStart w:id="128" w:name="_Toc296503157"/>
      <w:bookmarkStart w:id="129" w:name="_Toc297120457"/>
      <w:bookmarkStart w:id="130" w:name="_Toc296890985"/>
      <w:bookmarkStart w:id="131" w:name="_Toc297048343"/>
      <w:bookmarkStart w:id="132" w:name="_Toc292559362"/>
      <w:bookmarkStart w:id="133" w:name="_Toc296891197"/>
      <w:r>
        <w:rPr>
          <w:rFonts w:hint="eastAsia" w:ascii="宋体" w:hAnsi="宋体" w:eastAsia="宋体" w:cs="宋体"/>
          <w:b/>
          <w:bCs/>
          <w:color w:val="auto"/>
          <w:kern w:val="2"/>
          <w:sz w:val="21"/>
          <w:szCs w:val="21"/>
          <w:highlight w:val="none"/>
          <w:lang w:val="en-US" w:eastAsia="zh-CN" w:bidi="ar-SA"/>
        </w:rPr>
        <w:t>. 发包人</w:t>
      </w:r>
      <w:bookmarkEnd w:id="123"/>
    </w:p>
    <w:bookmarkEnd w:id="124"/>
    <w:bookmarkEnd w:id="125"/>
    <w:bookmarkEnd w:id="126"/>
    <w:bookmarkEnd w:id="127"/>
    <w:bookmarkEnd w:id="128"/>
    <w:bookmarkEnd w:id="129"/>
    <w:bookmarkEnd w:id="130"/>
    <w:bookmarkEnd w:id="131"/>
    <w:bookmarkEnd w:id="132"/>
    <w:bookmarkEnd w:id="133"/>
    <w:p w14:paraId="40388490">
      <w:pPr>
        <w:adjustRightInd w:val="0"/>
        <w:snapToGrid w:val="0"/>
        <w:spacing w:line="360" w:lineRule="auto"/>
        <w:ind w:left="170" w:leftChars="71" w:firstLine="310" w:firstLineChars="14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发包人应根据工程所需配备发包人代表，同时配备1-2名相关人员到岗履职。</w:t>
      </w:r>
    </w:p>
    <w:p w14:paraId="2FBCAEA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发包人代表</w:t>
      </w:r>
    </w:p>
    <w:p w14:paraId="0320309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p>
    <w:p w14:paraId="625580B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626E74F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E0138E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6842B90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7047E48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688ED473">
      <w:pPr>
        <w:adjustRightInd w:val="0"/>
        <w:snapToGrid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发包人对发包人代表的授权范围如下：</w:t>
      </w:r>
      <w:r>
        <w:rPr>
          <w:rFonts w:hint="eastAsia" w:ascii="宋体" w:hAnsi="宋体" w:eastAsia="宋体" w:cs="宋体"/>
          <w:color w:val="auto"/>
          <w:sz w:val="21"/>
          <w:szCs w:val="21"/>
          <w:highlight w:val="none"/>
          <w:u w:val="single"/>
        </w:rPr>
        <w:t>全面实施质量、安全、进度、投资、文明施工管理，涉及合同价格变更、安全事故、质量事故等重大事项的处理须经浙江旅游职业学院领导班子签字同意</w:t>
      </w:r>
      <w:r>
        <w:rPr>
          <w:rFonts w:hint="eastAsia" w:ascii="宋体" w:hAnsi="宋体" w:eastAsia="宋体" w:cs="宋体"/>
          <w:color w:val="auto"/>
          <w:sz w:val="21"/>
          <w:szCs w:val="21"/>
          <w:highlight w:val="none"/>
        </w:rPr>
        <w:t>。</w:t>
      </w:r>
    </w:p>
    <w:p w14:paraId="36465B9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 施工现场、施工条件和基础资料的提供</w:t>
      </w:r>
    </w:p>
    <w:p w14:paraId="65DDECB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 提供施工现场</w:t>
      </w:r>
    </w:p>
    <w:p w14:paraId="507F218A">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w:t>
      </w:r>
    </w:p>
    <w:p w14:paraId="7766BAC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 提供施工条件</w:t>
      </w:r>
    </w:p>
    <w:p w14:paraId="4B15D041">
      <w:pPr>
        <w:adjustRightInd w:val="0"/>
        <w:snapToGrid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关于发包人应负责提供施工所需要的条件，包括：</w:t>
      </w:r>
      <w:r>
        <w:rPr>
          <w:rFonts w:hint="eastAsia" w:ascii="宋体" w:hAnsi="宋体" w:eastAsia="宋体" w:cs="宋体"/>
          <w:color w:val="auto"/>
          <w:sz w:val="21"/>
          <w:szCs w:val="21"/>
          <w:highlight w:val="none"/>
          <w:u w:val="single"/>
        </w:rPr>
        <w:t>除通用合同条款第2.4.2条规定外，开工日3天前，由发包人向承包人进行工程交底；</w:t>
      </w:r>
      <w:r>
        <w:rPr>
          <w:rFonts w:hint="eastAsia" w:ascii="宋体" w:hAnsi="宋体" w:eastAsia="宋体" w:cs="宋体"/>
          <w:b/>
          <w:bCs/>
          <w:color w:val="auto"/>
          <w:sz w:val="21"/>
          <w:szCs w:val="21"/>
          <w:highlight w:val="none"/>
          <w:u w:val="single"/>
        </w:rPr>
        <w:t>开工前提供水、电接口，由承包人包含在其他措施费里。</w:t>
      </w:r>
    </w:p>
    <w:p w14:paraId="39D606A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 资金来源证明及支付担保</w:t>
      </w:r>
    </w:p>
    <w:p w14:paraId="18A095D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发包人提供资金来源证明的期限要求：</w:t>
      </w:r>
      <w:r>
        <w:rPr>
          <w:rFonts w:hint="eastAsia" w:ascii="宋体" w:hAnsi="宋体" w:eastAsia="宋体" w:cs="宋体"/>
          <w:color w:val="auto"/>
          <w:sz w:val="21"/>
          <w:szCs w:val="21"/>
          <w:highlight w:val="none"/>
          <w:u w:val="single"/>
        </w:rPr>
        <w:t>财政资金</w:t>
      </w:r>
      <w:r>
        <w:rPr>
          <w:rFonts w:hint="eastAsia" w:ascii="宋体" w:hAnsi="宋体" w:eastAsia="宋体" w:cs="宋体"/>
          <w:color w:val="auto"/>
          <w:sz w:val="21"/>
          <w:szCs w:val="21"/>
          <w:highlight w:val="none"/>
        </w:rPr>
        <w:t>。</w:t>
      </w:r>
    </w:p>
    <w:p w14:paraId="004235C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发包人是否提供支付担保：</w:t>
      </w:r>
      <w:r>
        <w:rPr>
          <w:rFonts w:hint="eastAsia" w:ascii="宋体" w:hAnsi="宋体" w:eastAsia="宋体" w:cs="宋体"/>
          <w:color w:val="auto"/>
          <w:sz w:val="21"/>
          <w:szCs w:val="21"/>
          <w:highlight w:val="none"/>
          <w:u w:val="single"/>
        </w:rPr>
        <w:t>不提供</w:t>
      </w:r>
      <w:r>
        <w:rPr>
          <w:rFonts w:hint="eastAsia" w:ascii="宋体" w:hAnsi="宋体" w:eastAsia="宋体" w:cs="宋体"/>
          <w:color w:val="auto"/>
          <w:sz w:val="21"/>
          <w:szCs w:val="21"/>
          <w:highlight w:val="none"/>
        </w:rPr>
        <w:t>。</w:t>
      </w:r>
    </w:p>
    <w:p w14:paraId="32AB13BC">
      <w:pPr>
        <w:adjustRightInd w:val="0"/>
        <w:snapToGrid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发包人提供支付担保的形式：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5C5AC89">
      <w:pPr>
        <w:keepNext/>
        <w:keepLines/>
        <w:widowControl w:val="0"/>
        <w:numPr>
          <w:ilvl w:val="3"/>
          <w:numId w:val="0"/>
        </w:numPr>
        <w:adjustRightInd w:val="0"/>
        <w:snapToGrid w:val="0"/>
        <w:spacing w:before="280" w:after="290" w:line="360" w:lineRule="auto"/>
        <w:ind w:left="426"/>
        <w:jc w:val="both"/>
        <w:outlineLvl w:val="3"/>
        <w:rPr>
          <w:rFonts w:hint="eastAsia" w:ascii="宋体" w:hAnsi="宋体" w:eastAsia="宋体" w:cs="宋体"/>
          <w:b/>
          <w:bCs/>
          <w:color w:val="auto"/>
          <w:kern w:val="2"/>
          <w:sz w:val="21"/>
          <w:szCs w:val="21"/>
          <w:highlight w:val="none"/>
          <w:lang w:val="en-US" w:eastAsia="zh-CN" w:bidi="ar-SA"/>
        </w:rPr>
      </w:pPr>
      <w:bookmarkStart w:id="134" w:name="_Toc351203635"/>
      <w:r>
        <w:rPr>
          <w:rFonts w:hint="eastAsia" w:ascii="宋体" w:hAnsi="宋体" w:eastAsia="宋体" w:cs="宋体"/>
          <w:b/>
          <w:bCs/>
          <w:color w:val="auto"/>
          <w:kern w:val="2"/>
          <w:sz w:val="21"/>
          <w:szCs w:val="21"/>
          <w:highlight w:val="none"/>
          <w:lang w:val="en-US" w:eastAsia="zh-CN" w:bidi="ar-SA"/>
        </w:rPr>
        <w:t>3</w:t>
      </w:r>
      <w:bookmarkStart w:id="135" w:name="_Toc296503158"/>
      <w:bookmarkStart w:id="136" w:name="_Toc297048344"/>
      <w:bookmarkStart w:id="137" w:name="_Toc296891198"/>
      <w:bookmarkStart w:id="138" w:name="_Toc292559363"/>
      <w:bookmarkStart w:id="139" w:name="_Toc297120458"/>
      <w:bookmarkStart w:id="140" w:name="_Toc292559868"/>
      <w:bookmarkStart w:id="141" w:name="_Toc296346659"/>
      <w:bookmarkStart w:id="142" w:name="_Toc296944497"/>
      <w:bookmarkStart w:id="143" w:name="_Toc296347157"/>
      <w:bookmarkStart w:id="144" w:name="_Toc296890986"/>
      <w:r>
        <w:rPr>
          <w:rFonts w:hint="eastAsia" w:ascii="宋体" w:hAnsi="宋体" w:eastAsia="宋体" w:cs="宋体"/>
          <w:b/>
          <w:bCs/>
          <w:color w:val="auto"/>
          <w:kern w:val="2"/>
          <w:sz w:val="21"/>
          <w:szCs w:val="21"/>
          <w:highlight w:val="none"/>
          <w:lang w:val="en-US" w:eastAsia="zh-CN" w:bidi="ar-SA"/>
        </w:rPr>
        <w:t>. 承包人</w:t>
      </w:r>
      <w:bookmarkEnd w:id="134"/>
    </w:p>
    <w:bookmarkEnd w:id="135"/>
    <w:bookmarkEnd w:id="136"/>
    <w:bookmarkEnd w:id="137"/>
    <w:bookmarkEnd w:id="138"/>
    <w:bookmarkEnd w:id="139"/>
    <w:bookmarkEnd w:id="140"/>
    <w:bookmarkEnd w:id="141"/>
    <w:bookmarkEnd w:id="142"/>
    <w:bookmarkEnd w:id="143"/>
    <w:bookmarkEnd w:id="144"/>
    <w:p w14:paraId="27D7060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承包人的一般义务</w:t>
      </w:r>
    </w:p>
    <w:p w14:paraId="7B30AF9C">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（5）承包人提交的竣工资料的内容：</w:t>
      </w:r>
      <w:r>
        <w:rPr>
          <w:rFonts w:hint="eastAsia" w:ascii="宋体" w:hAnsi="宋体" w:eastAsia="宋体" w:cs="宋体"/>
          <w:color w:val="auto"/>
          <w:sz w:val="21"/>
          <w:szCs w:val="21"/>
          <w:highlight w:val="none"/>
          <w:u w:val="single"/>
        </w:rPr>
        <w:t>发包人收到承包人提交的竣工验收报告及竣工验收资料后，认为工程尚不具备竣工验收条件或承包人提交的竣工验收资料不完整的，有权不组织竣工验收，直至工程符合工程竣工验收条件或竣工验收资料完整。</w:t>
      </w:r>
    </w:p>
    <w:p w14:paraId="7FF2DFE1">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若工程验收时，竣工验收资料尚不完整，或不完全符合主管部门要求的，工程竣工验收通过后，承包人仍应按要求提交完整的符合要求的竣工资料。</w:t>
      </w:r>
    </w:p>
    <w:p w14:paraId="08A593B1">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承包人需要提交的竣工资料套数：</w:t>
      </w:r>
      <w:r>
        <w:rPr>
          <w:rFonts w:hint="eastAsia" w:ascii="宋体" w:hAnsi="宋体" w:eastAsia="宋体" w:cs="宋体"/>
          <w:color w:val="auto"/>
          <w:sz w:val="21"/>
          <w:szCs w:val="21"/>
          <w:highlight w:val="none"/>
          <w:u w:val="single"/>
        </w:rPr>
        <w:t>一式四份，同时提供一份电子文档</w:t>
      </w:r>
      <w:r>
        <w:rPr>
          <w:rFonts w:hint="eastAsia" w:ascii="宋体" w:hAnsi="宋体" w:eastAsia="宋体" w:cs="宋体"/>
          <w:color w:val="auto"/>
          <w:sz w:val="21"/>
          <w:szCs w:val="21"/>
          <w:highlight w:val="none"/>
        </w:rPr>
        <w:t xml:space="preserve">。  </w:t>
      </w:r>
    </w:p>
    <w:p w14:paraId="52B686C9">
      <w:pPr>
        <w:adjustRightInd w:val="0"/>
        <w:snapToGrid w:val="0"/>
        <w:spacing w:line="360" w:lineRule="auto"/>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承包人提交的竣工资料的费用承担：</w:t>
      </w:r>
      <w:r>
        <w:rPr>
          <w:rFonts w:hint="eastAsia" w:ascii="宋体" w:hAnsi="宋体" w:eastAsia="宋体" w:cs="宋体"/>
          <w:color w:val="auto"/>
          <w:sz w:val="21"/>
          <w:szCs w:val="21"/>
          <w:highlight w:val="none"/>
          <w:u w:val="single"/>
        </w:rPr>
        <w:t>承包人承担</w:t>
      </w:r>
      <w:r>
        <w:rPr>
          <w:rFonts w:hint="eastAsia" w:ascii="宋体" w:hAnsi="宋体" w:eastAsia="宋体" w:cs="宋体"/>
          <w:color w:val="auto"/>
          <w:sz w:val="21"/>
          <w:szCs w:val="21"/>
          <w:highlight w:val="none"/>
        </w:rPr>
        <w:t>。</w:t>
      </w:r>
    </w:p>
    <w:p w14:paraId="198B06FB">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工程竣工验收前2天内</w:t>
      </w:r>
      <w:r>
        <w:rPr>
          <w:rFonts w:hint="eastAsia" w:ascii="宋体" w:hAnsi="宋体" w:eastAsia="宋体" w:cs="宋体"/>
          <w:color w:val="auto"/>
          <w:sz w:val="21"/>
          <w:szCs w:val="21"/>
          <w:highlight w:val="none"/>
        </w:rPr>
        <w:t>。</w:t>
      </w:r>
    </w:p>
    <w:p w14:paraId="61033DA9">
      <w:pPr>
        <w:adjustRightInd w:val="0"/>
        <w:snapToGrid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（6）承包人应履行的其他义务：</w:t>
      </w:r>
    </w:p>
    <w:p w14:paraId="2361C026">
      <w:pPr>
        <w:tabs>
          <w:tab w:val="left" w:pos="1080"/>
        </w:tabs>
        <w:adjustRightInd w:val="0"/>
        <w:snapToGrid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①应提供计划、报表的名称及完成时间:</w:t>
      </w:r>
      <w:r>
        <w:rPr>
          <w:rFonts w:hint="eastAsia" w:ascii="宋体" w:hAnsi="宋体" w:eastAsia="宋体" w:cs="宋体"/>
          <w:color w:val="auto"/>
          <w:sz w:val="21"/>
          <w:szCs w:val="21"/>
          <w:highlight w:val="none"/>
          <w:u w:val="single"/>
        </w:rPr>
        <w:t>开工后提供施工组织计划和进度计划。上报项目班子人员名单。</w:t>
      </w:r>
    </w:p>
    <w:p w14:paraId="11892398">
      <w:pPr>
        <w:tabs>
          <w:tab w:val="left" w:pos="1080"/>
        </w:tabs>
        <w:adjustRightInd w:val="0"/>
        <w:snapToGrid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②承担施工安全保卫工作及非夜间施工照明的责任和要求: </w:t>
      </w:r>
      <w:r>
        <w:rPr>
          <w:rFonts w:hint="eastAsia" w:ascii="宋体" w:hAnsi="宋体" w:eastAsia="宋体" w:cs="宋体"/>
          <w:color w:val="auto"/>
          <w:sz w:val="21"/>
          <w:szCs w:val="21"/>
          <w:highlight w:val="none"/>
          <w:u w:val="single"/>
        </w:rPr>
        <w:t>严格按照《杭州市建筑工地文明施工管理规定》等有关规定、要求和响应文件承诺的安全文明措施执行。自费承担相应工作和提供相应设施（如护板、围栏等）以保护公共安全，并提供方便</w:t>
      </w:r>
      <w:r>
        <w:rPr>
          <w:rFonts w:hint="eastAsia" w:ascii="宋体" w:hAnsi="宋体" w:eastAsia="宋体" w:cs="宋体"/>
          <w:color w:val="auto"/>
          <w:sz w:val="21"/>
          <w:szCs w:val="21"/>
          <w:highlight w:val="none"/>
        </w:rPr>
        <w:t xml:space="preserve">。 </w:t>
      </w:r>
    </w:p>
    <w:p w14:paraId="571693D5">
      <w:pPr>
        <w:adjustRightInd w:val="0"/>
        <w:snapToGrid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③向发包人提供的办公和生活房屋及设施的要求: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E5B1F2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④需承包人办理的有关施工场地交通、环卫和施工噪音管理等手续:</w:t>
      </w:r>
      <w:r>
        <w:rPr>
          <w:rFonts w:hint="eastAsia" w:ascii="宋体" w:hAnsi="宋体" w:eastAsia="宋体" w:cs="宋体"/>
          <w:color w:val="auto"/>
          <w:sz w:val="21"/>
          <w:szCs w:val="21"/>
          <w:highlight w:val="none"/>
          <w:u w:val="single"/>
        </w:rPr>
        <w:t xml:space="preserve"> 按“双标化”要求管理，相关手续由承包人自行办理，相应费用已包含在合同总价内</w:t>
      </w:r>
      <w:r>
        <w:rPr>
          <w:rFonts w:hint="eastAsia" w:ascii="宋体" w:hAnsi="宋体" w:eastAsia="宋体" w:cs="宋体"/>
          <w:color w:val="auto"/>
          <w:sz w:val="21"/>
          <w:szCs w:val="21"/>
          <w:highlight w:val="none"/>
        </w:rPr>
        <w:t>。</w:t>
      </w:r>
    </w:p>
    <w:p w14:paraId="7A8CFBC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⑤完工工程成品保护的特殊要求及费用承担：</w:t>
      </w:r>
      <w:r>
        <w:rPr>
          <w:rFonts w:hint="eastAsia" w:ascii="宋体" w:hAnsi="宋体" w:eastAsia="宋体" w:cs="宋体"/>
          <w:color w:val="auto"/>
          <w:sz w:val="21"/>
          <w:szCs w:val="21"/>
          <w:highlight w:val="none"/>
          <w:u w:val="single"/>
        </w:rPr>
        <w:t>工程未正式办理交接手续前，成品保护由承包人完全负责（包括所需费用），如果保护期间发生损坏，承包人须自费予以修复，直至发包人满意为止</w:t>
      </w:r>
      <w:r>
        <w:rPr>
          <w:rFonts w:hint="eastAsia" w:ascii="宋体" w:hAnsi="宋体" w:eastAsia="宋体" w:cs="宋体"/>
          <w:color w:val="auto"/>
          <w:sz w:val="21"/>
          <w:szCs w:val="21"/>
          <w:highlight w:val="none"/>
        </w:rPr>
        <w:t>。</w:t>
      </w:r>
    </w:p>
    <w:p w14:paraId="498C718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⑥施工场地周围地下管线和邻近建筑物、构筑物(含文物保护建筑)、古树名木的保护要求及费用承担:</w:t>
      </w:r>
      <w:r>
        <w:rPr>
          <w:rFonts w:hint="eastAsia" w:ascii="宋体" w:hAnsi="宋体" w:eastAsia="宋体" w:cs="宋体"/>
          <w:color w:val="auto"/>
          <w:sz w:val="21"/>
          <w:szCs w:val="21"/>
          <w:highlight w:val="none"/>
          <w:u w:val="single"/>
        </w:rPr>
        <w:t xml:space="preserve"> 承包人应采取相应保护措施，并承担费用。如因承包人原因造成损坏的，则</w:t>
      </w:r>
      <w:r>
        <w:rPr>
          <w:rFonts w:hint="eastAsia" w:cs="宋体"/>
          <w:color w:val="auto"/>
          <w:sz w:val="21"/>
          <w:szCs w:val="21"/>
          <w:highlight w:val="none"/>
          <w:u w:val="single"/>
          <w:lang w:eastAsia="zh-CN"/>
        </w:rPr>
        <w:t>应</w:t>
      </w:r>
      <w:r>
        <w:rPr>
          <w:rFonts w:hint="eastAsia" w:ascii="宋体" w:hAnsi="宋体" w:eastAsia="宋体" w:cs="宋体"/>
          <w:color w:val="auto"/>
          <w:sz w:val="21"/>
          <w:szCs w:val="21"/>
          <w:highlight w:val="none"/>
          <w:u w:val="single"/>
        </w:rPr>
        <w:t>承担相应赔偿责任并无条件修复</w:t>
      </w:r>
      <w:r>
        <w:rPr>
          <w:rFonts w:hint="eastAsia" w:ascii="宋体" w:hAnsi="宋体" w:eastAsia="宋体" w:cs="宋体"/>
          <w:color w:val="auto"/>
          <w:sz w:val="21"/>
          <w:szCs w:val="21"/>
          <w:highlight w:val="none"/>
        </w:rPr>
        <w:t>。</w:t>
      </w:r>
    </w:p>
    <w:p w14:paraId="6DF78AE2">
      <w:pPr>
        <w:adjustRightInd w:val="0"/>
        <w:snapToGrid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⑦合同签订后，承包人协同发包人办理施工许可证等开工前需完成的事项。 </w:t>
      </w:r>
    </w:p>
    <w:p w14:paraId="4DAACC7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项目经理</w:t>
      </w:r>
    </w:p>
    <w:p w14:paraId="0BAD7AD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 项目经理：</w:t>
      </w:r>
    </w:p>
    <w:p w14:paraId="7FBD8D6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p>
    <w:p w14:paraId="58B01F5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p>
    <w:p w14:paraId="3C9D39B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7AC390A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4E55A6C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62C9681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78BD738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p>
    <w:p w14:paraId="6CDB7F2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2571E42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73BCF9E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hint="eastAsia" w:ascii="宋体" w:hAnsi="宋体" w:eastAsia="宋体" w:cs="宋体"/>
          <w:color w:val="auto"/>
          <w:sz w:val="21"/>
          <w:szCs w:val="21"/>
          <w:highlight w:val="none"/>
          <w:u w:val="single"/>
        </w:rPr>
        <w:t>全面负责本工程的质量、安全、工期及成本控制</w:t>
      </w:r>
      <w:r>
        <w:rPr>
          <w:rFonts w:hint="eastAsia" w:ascii="宋体" w:hAnsi="宋体" w:eastAsia="宋体" w:cs="宋体"/>
          <w:color w:val="auto"/>
          <w:sz w:val="21"/>
          <w:szCs w:val="21"/>
          <w:highlight w:val="none"/>
        </w:rPr>
        <w:t>。</w:t>
      </w:r>
    </w:p>
    <w:p w14:paraId="52B7FBA5">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关于项目经理每月在施工现场的时间要求：</w:t>
      </w:r>
      <w:r>
        <w:rPr>
          <w:rFonts w:hint="eastAsia" w:ascii="宋体" w:hAnsi="宋体" w:eastAsia="宋体" w:cs="宋体"/>
          <w:color w:val="auto"/>
          <w:sz w:val="21"/>
          <w:szCs w:val="21"/>
          <w:highlight w:val="none"/>
          <w:u w:val="single"/>
        </w:rPr>
        <w:t>到位率为90%(按每月25 天，每天工作8 小时考勤)，重要施工工序或环节时项目经理、技术负责人等必须到场</w:t>
      </w:r>
      <w:r>
        <w:rPr>
          <w:rFonts w:hint="eastAsia" w:ascii="宋体" w:hAnsi="宋体" w:eastAsia="宋体" w:cs="宋体"/>
          <w:color w:val="auto"/>
          <w:sz w:val="21"/>
          <w:szCs w:val="21"/>
          <w:highlight w:val="none"/>
        </w:rPr>
        <w:t>。</w:t>
      </w:r>
    </w:p>
    <w:p w14:paraId="29751F73">
      <w:pPr>
        <w:adjustRightInd w:val="0"/>
        <w:snapToGrid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承包人未提交劳动合同，以及没有为项目经理缴纳社会保险证明的违约责任：</w:t>
      </w:r>
      <w:r>
        <w:rPr>
          <w:rFonts w:hint="eastAsia" w:ascii="宋体" w:hAnsi="宋体" w:eastAsia="宋体" w:cs="宋体"/>
          <w:color w:val="auto"/>
          <w:sz w:val="21"/>
          <w:szCs w:val="21"/>
          <w:highlight w:val="none"/>
          <w:u w:val="single"/>
        </w:rPr>
        <w:t xml:space="preserve"> 责令承包人改正，并从结算款中扣除1万元的违约金</w:t>
      </w:r>
      <w:r>
        <w:rPr>
          <w:rFonts w:hint="eastAsia" w:ascii="宋体" w:hAnsi="宋体" w:eastAsia="宋体" w:cs="宋体"/>
          <w:color w:val="auto"/>
          <w:sz w:val="21"/>
          <w:szCs w:val="21"/>
          <w:highlight w:val="none"/>
        </w:rPr>
        <w:t>。</w:t>
      </w:r>
    </w:p>
    <w:p w14:paraId="48BA0BA7">
      <w:pPr>
        <w:adjustRightInd w:val="0"/>
        <w:snapToGrid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项目经理未经批准，擅自离开施工现场的违约责任：</w:t>
      </w:r>
      <w:r>
        <w:rPr>
          <w:rFonts w:hint="eastAsia" w:ascii="宋体" w:hAnsi="宋体" w:eastAsia="宋体" w:cs="宋体"/>
          <w:color w:val="auto"/>
          <w:sz w:val="21"/>
          <w:szCs w:val="21"/>
          <w:highlight w:val="none"/>
          <w:u w:val="single"/>
        </w:rPr>
        <w:t xml:space="preserve"> 按违约金人民币2000元/天从结算款中扣除</w:t>
      </w:r>
      <w:r>
        <w:rPr>
          <w:rFonts w:hint="eastAsia" w:ascii="宋体" w:hAnsi="宋体" w:eastAsia="宋体" w:cs="宋体"/>
          <w:color w:val="auto"/>
          <w:sz w:val="21"/>
          <w:szCs w:val="21"/>
          <w:highlight w:val="none"/>
        </w:rPr>
        <w:t>。</w:t>
      </w:r>
    </w:p>
    <w:p w14:paraId="01798094">
      <w:pPr>
        <w:adjustRightInd w:val="0"/>
        <w:snapToGrid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3.2.3 承包人擅自更换项目经理的违约责任：</w:t>
      </w:r>
    </w:p>
    <w:p w14:paraId="7E9802D3">
      <w:pPr>
        <w:adjustRightInd w:val="0"/>
        <w:snapToGrid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（1）承包人确需更换项目经理的，继任项目经理注册执业资格、管理经验的约定：</w:t>
      </w:r>
      <w:r>
        <w:rPr>
          <w:rFonts w:hint="eastAsia" w:ascii="宋体" w:hAnsi="宋体" w:eastAsia="宋体" w:cs="宋体"/>
          <w:color w:val="auto"/>
          <w:sz w:val="21"/>
          <w:szCs w:val="21"/>
          <w:highlight w:val="none"/>
          <w:u w:val="single"/>
        </w:rPr>
        <w:t>不得低于原项目经理的注册执业资格、管理经验</w:t>
      </w:r>
      <w:r>
        <w:rPr>
          <w:rFonts w:hint="eastAsia" w:ascii="宋体" w:hAnsi="宋体" w:eastAsia="宋体" w:cs="宋体"/>
          <w:color w:val="auto"/>
          <w:sz w:val="21"/>
          <w:szCs w:val="21"/>
          <w:highlight w:val="none"/>
        </w:rPr>
        <w:t>。</w:t>
      </w:r>
    </w:p>
    <w:p w14:paraId="714D5466">
      <w:pPr>
        <w:adjustRightInd w:val="0"/>
        <w:snapToGrid w:val="0"/>
        <w:spacing w:line="360" w:lineRule="auto"/>
        <w:ind w:firstLine="426"/>
        <w:rPr>
          <w:rFonts w:hint="eastAsia" w:ascii="宋体" w:hAnsi="宋体" w:eastAsia="宋体" w:cs="宋体"/>
          <w:dstrike/>
          <w:color w:val="auto"/>
          <w:sz w:val="21"/>
          <w:szCs w:val="21"/>
          <w:highlight w:val="none"/>
          <w:u w:val="single"/>
        </w:rPr>
      </w:pPr>
      <w:r>
        <w:rPr>
          <w:rFonts w:hint="eastAsia" w:ascii="宋体" w:hAnsi="宋体" w:eastAsia="宋体" w:cs="宋体"/>
          <w:color w:val="auto"/>
          <w:sz w:val="21"/>
          <w:szCs w:val="21"/>
          <w:highlight w:val="none"/>
        </w:rPr>
        <w:t>（2）承包人擅自更换项目经理的违约责任：</w:t>
      </w:r>
      <w:r>
        <w:rPr>
          <w:rFonts w:hint="eastAsia" w:ascii="宋体" w:hAnsi="宋体" w:eastAsia="宋体" w:cs="宋体"/>
          <w:color w:val="auto"/>
          <w:sz w:val="21"/>
          <w:szCs w:val="21"/>
          <w:highlight w:val="none"/>
          <w:u w:val="single"/>
        </w:rPr>
        <w:t>在施工期间不准更换，特殊情况要求更换项目经理的，须经发包人同意备案。承包人擅自更换项目经理的将被视为承包人违约，并按照人民币10000元/人/次付给发包人违约金</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p>
    <w:p w14:paraId="6B7EC3F2">
      <w:pPr>
        <w:adjustRightInd w:val="0"/>
        <w:snapToGrid w:val="0"/>
        <w:spacing w:line="360" w:lineRule="auto"/>
        <w:ind w:firstLine="420" w:firstLineChars="200"/>
        <w:rPr>
          <w:rFonts w:hint="eastAsia" w:ascii="宋体" w:hAnsi="宋体" w:eastAsia="宋体" w:cs="宋体"/>
          <w:dstrike/>
          <w:color w:val="auto"/>
          <w:sz w:val="21"/>
          <w:szCs w:val="21"/>
          <w:highlight w:val="none"/>
          <w:u w:val="single"/>
        </w:rPr>
      </w:pPr>
      <w:r>
        <w:rPr>
          <w:rFonts w:hint="eastAsia" w:ascii="宋体" w:hAnsi="宋体" w:eastAsia="宋体" w:cs="宋体"/>
          <w:color w:val="auto"/>
          <w:sz w:val="21"/>
          <w:szCs w:val="21"/>
          <w:highlight w:val="none"/>
        </w:rPr>
        <w:t>3.2.4 承包人无正当理由拒绝更换项目经理的违约责任：</w:t>
      </w:r>
      <w:r>
        <w:rPr>
          <w:rFonts w:hint="eastAsia" w:ascii="宋体" w:hAnsi="宋体" w:eastAsia="宋体" w:cs="宋体"/>
          <w:color w:val="auto"/>
          <w:sz w:val="21"/>
          <w:szCs w:val="21"/>
          <w:highlight w:val="none"/>
          <w:u w:val="single"/>
        </w:rPr>
        <w:t xml:space="preserve"> 从结算款中扣除人民币10000元/人/次的违约金</w:t>
      </w:r>
      <w:r>
        <w:rPr>
          <w:rFonts w:hint="eastAsia" w:ascii="宋体" w:hAnsi="宋体" w:eastAsia="宋体" w:cs="宋体"/>
          <w:color w:val="auto"/>
          <w:sz w:val="21"/>
          <w:szCs w:val="21"/>
          <w:highlight w:val="none"/>
        </w:rPr>
        <w:t>。</w:t>
      </w:r>
    </w:p>
    <w:p w14:paraId="73DCF77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 承包人人员</w:t>
      </w:r>
    </w:p>
    <w:p w14:paraId="534C945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承包人提交项目管理机构及施工现场管理人员安排报告的期限：</w:t>
      </w:r>
      <w:r>
        <w:rPr>
          <w:rFonts w:hint="eastAsia" w:ascii="宋体" w:hAnsi="宋体" w:eastAsia="宋体" w:cs="宋体"/>
          <w:color w:val="auto"/>
          <w:sz w:val="21"/>
          <w:szCs w:val="21"/>
          <w:highlight w:val="none"/>
          <w:u w:val="single"/>
        </w:rPr>
        <w:t>合同生效后7天内</w:t>
      </w:r>
      <w:r>
        <w:rPr>
          <w:rFonts w:hint="eastAsia" w:ascii="宋体" w:hAnsi="宋体" w:eastAsia="宋体" w:cs="宋体"/>
          <w:color w:val="auto"/>
          <w:sz w:val="21"/>
          <w:szCs w:val="21"/>
          <w:highlight w:val="none"/>
        </w:rPr>
        <w:t>。</w:t>
      </w:r>
    </w:p>
    <w:p w14:paraId="1D69857B">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 承包人需更换主要施工管理人员的，继任人员的数量、注册执业资格、管理经验的约定：</w:t>
      </w:r>
      <w:r>
        <w:rPr>
          <w:rFonts w:hint="eastAsia" w:ascii="宋体" w:hAnsi="宋体" w:eastAsia="宋体" w:cs="宋体"/>
          <w:color w:val="auto"/>
          <w:sz w:val="21"/>
          <w:szCs w:val="21"/>
          <w:highlight w:val="none"/>
          <w:u w:val="single"/>
        </w:rPr>
        <w:t>不得低于原主要施工管理人员的数量、注册执业资格、管理经验</w:t>
      </w:r>
      <w:r>
        <w:rPr>
          <w:rFonts w:hint="eastAsia" w:ascii="宋体" w:hAnsi="宋体" w:eastAsia="宋体" w:cs="宋体"/>
          <w:color w:val="auto"/>
          <w:sz w:val="21"/>
          <w:szCs w:val="21"/>
          <w:highlight w:val="none"/>
        </w:rPr>
        <w:t>。</w:t>
      </w:r>
    </w:p>
    <w:p w14:paraId="14E77F4A">
      <w:pPr>
        <w:adjustRightInd w:val="0"/>
        <w:snapToGrid w:val="0"/>
        <w:spacing w:line="360" w:lineRule="auto"/>
        <w:ind w:firstLine="396" w:firstLineChars="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 承包人无正当理由拒绝撤换主要施工管理人员的违约责任：</w:t>
      </w:r>
      <w:r>
        <w:rPr>
          <w:rFonts w:hint="eastAsia" w:ascii="宋体" w:hAnsi="宋体" w:eastAsia="宋体" w:cs="宋体"/>
          <w:color w:val="auto"/>
          <w:sz w:val="21"/>
          <w:szCs w:val="21"/>
          <w:highlight w:val="none"/>
          <w:u w:val="single"/>
        </w:rPr>
        <w:t>从结算款中扣除人民币2000元/人/次的违约金</w:t>
      </w:r>
      <w:r>
        <w:rPr>
          <w:rFonts w:hint="eastAsia" w:ascii="宋体" w:hAnsi="宋体" w:eastAsia="宋体" w:cs="宋体"/>
          <w:color w:val="auto"/>
          <w:sz w:val="21"/>
          <w:szCs w:val="21"/>
          <w:highlight w:val="none"/>
        </w:rPr>
        <w:t>。</w:t>
      </w:r>
    </w:p>
    <w:p w14:paraId="1CCC9192">
      <w:pPr>
        <w:adjustRightInd w:val="0"/>
        <w:snapToGrid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3.3.4 承包人主要施工管理人员离开施工现场的批准要求：</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w:t>
      </w:r>
    </w:p>
    <w:p w14:paraId="2CDC1AB3">
      <w:pPr>
        <w:adjustRightInd w:val="0"/>
        <w:snapToGrid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3.3.5承包人擅自更换主要施工管理人员的违约责任：</w:t>
      </w:r>
      <w:r>
        <w:rPr>
          <w:rFonts w:hint="eastAsia" w:ascii="宋体" w:hAnsi="宋体" w:eastAsia="宋体" w:cs="宋体"/>
          <w:color w:val="auto"/>
          <w:sz w:val="21"/>
          <w:szCs w:val="21"/>
          <w:highlight w:val="none"/>
          <w:u w:val="single"/>
        </w:rPr>
        <w:t>在施工期间不准更换，特殊情况要求更换的，须经发包人同意备案。承包人更换技术负责人、施工员的将被视为承包人违约，并按照人民币2000元/人/次付给发包人违约金</w:t>
      </w:r>
      <w:r>
        <w:rPr>
          <w:rFonts w:hint="eastAsia" w:ascii="宋体" w:hAnsi="宋体" w:eastAsia="宋体" w:cs="宋体"/>
          <w:color w:val="auto"/>
          <w:sz w:val="21"/>
          <w:szCs w:val="21"/>
          <w:highlight w:val="none"/>
        </w:rPr>
        <w:t>。</w:t>
      </w:r>
    </w:p>
    <w:p w14:paraId="4F7F8562">
      <w:pPr>
        <w:adjustRightInd w:val="0"/>
        <w:snapToGrid w:val="0"/>
        <w:spacing w:line="360" w:lineRule="auto"/>
        <w:ind w:firstLine="420" w:firstLineChars="200"/>
        <w:rPr>
          <w:rFonts w:hint="eastAsia" w:ascii="宋体" w:hAnsi="宋体" w:eastAsia="宋体" w:cs="宋体"/>
          <w:dstrike/>
          <w:color w:val="auto"/>
          <w:sz w:val="21"/>
          <w:szCs w:val="21"/>
          <w:highlight w:val="none"/>
          <w:u w:val="single"/>
        </w:rPr>
      </w:pPr>
      <w:r>
        <w:rPr>
          <w:rFonts w:hint="eastAsia" w:ascii="宋体" w:hAnsi="宋体" w:eastAsia="宋体" w:cs="宋体"/>
          <w:color w:val="auto"/>
          <w:sz w:val="21"/>
          <w:szCs w:val="21"/>
          <w:highlight w:val="none"/>
        </w:rPr>
        <w:t>承包人主要施工管理人员擅自离开施工现场的违约责任：</w:t>
      </w:r>
      <w:r>
        <w:rPr>
          <w:rFonts w:hint="eastAsia" w:ascii="宋体" w:hAnsi="宋体" w:eastAsia="宋体" w:cs="宋体"/>
          <w:color w:val="auto"/>
          <w:sz w:val="21"/>
          <w:szCs w:val="21"/>
          <w:highlight w:val="none"/>
          <w:u w:val="single"/>
        </w:rPr>
        <w:t>若技术负责人、施工员出勤率不足投标承诺，支付违约金人民币2000元/天/人；安全员、质检员、材料员出勤率不足投标承诺，支付违约</w:t>
      </w:r>
      <w:r>
        <w:rPr>
          <w:rFonts w:hint="eastAsia" w:cs="宋体"/>
          <w:color w:val="auto"/>
          <w:sz w:val="21"/>
          <w:szCs w:val="21"/>
          <w:highlight w:val="none"/>
          <w:u w:val="single"/>
          <w:lang w:val="en-US" w:eastAsia="zh-CN"/>
        </w:rPr>
        <w:t>金</w:t>
      </w:r>
      <w:r>
        <w:rPr>
          <w:rFonts w:hint="eastAsia" w:ascii="宋体" w:hAnsi="宋体" w:eastAsia="宋体" w:cs="宋体"/>
          <w:color w:val="auto"/>
          <w:sz w:val="21"/>
          <w:szCs w:val="21"/>
          <w:highlight w:val="none"/>
          <w:u w:val="single"/>
        </w:rPr>
        <w:t>人民币1000元/天/人</w:t>
      </w:r>
      <w:r>
        <w:rPr>
          <w:rFonts w:hint="eastAsia" w:ascii="宋体" w:hAnsi="宋体" w:eastAsia="宋体" w:cs="宋体"/>
          <w:color w:val="auto"/>
          <w:sz w:val="21"/>
          <w:szCs w:val="21"/>
          <w:highlight w:val="none"/>
        </w:rPr>
        <w:t>。</w:t>
      </w:r>
    </w:p>
    <w:p w14:paraId="2BCE5A6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145" w:name="_Toc297048345"/>
      <w:bookmarkStart w:id="146" w:name="_Toc312677988"/>
      <w:bookmarkStart w:id="147" w:name="_Toc303539102"/>
      <w:bookmarkStart w:id="148" w:name="_Toc296503159"/>
      <w:bookmarkStart w:id="149" w:name="_Toc296891199"/>
      <w:bookmarkStart w:id="150" w:name="_Toc297123492"/>
      <w:bookmarkStart w:id="151" w:name="_Toc300934945"/>
      <w:bookmarkStart w:id="152" w:name="_Toc296944498"/>
      <w:bookmarkStart w:id="153" w:name="_Toc296890987"/>
      <w:bookmarkStart w:id="154" w:name="_Toc296347158"/>
      <w:bookmarkStart w:id="155" w:name="_Toc296346660"/>
      <w:bookmarkStart w:id="156" w:name="_Toc292559364"/>
      <w:bookmarkStart w:id="157" w:name="_Toc292559869"/>
      <w:bookmarkStart w:id="158" w:name="_Toc297120459"/>
      <w:bookmarkStart w:id="159" w:name="_Toc297216151"/>
      <w:bookmarkStart w:id="160" w:name="_Toc304295523"/>
      <w:r>
        <w:rPr>
          <w:rFonts w:hint="eastAsia" w:ascii="宋体" w:hAnsi="宋体" w:eastAsia="宋体" w:cs="宋体"/>
          <w:color w:val="auto"/>
          <w:sz w:val="21"/>
          <w:szCs w:val="21"/>
          <w:highlight w:val="none"/>
        </w:rPr>
        <w:t>.5 分包</w:t>
      </w:r>
    </w:p>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14:paraId="5A58BCF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161" w:name="_Toc296891200"/>
      <w:bookmarkStart w:id="162" w:name="_Toc296503160"/>
      <w:bookmarkStart w:id="163" w:name="_Toc312677989"/>
      <w:bookmarkStart w:id="164" w:name="_Toc300934946"/>
      <w:bookmarkStart w:id="165" w:name="_Toc318581158"/>
      <w:bookmarkStart w:id="166" w:name="_Toc297216152"/>
      <w:bookmarkStart w:id="167" w:name="_Toc292559870"/>
      <w:bookmarkStart w:id="168" w:name="_Toc292559365"/>
      <w:bookmarkStart w:id="169" w:name="_Toc297120460"/>
      <w:bookmarkStart w:id="170" w:name="_Toc297048346"/>
      <w:bookmarkStart w:id="171" w:name="_Toc296890988"/>
      <w:bookmarkStart w:id="172" w:name="_Toc296944499"/>
      <w:bookmarkStart w:id="173" w:name="_Toc296346661"/>
      <w:bookmarkStart w:id="174" w:name="_Toc297123493"/>
      <w:bookmarkStart w:id="175" w:name="_Toc296347159"/>
      <w:bookmarkStart w:id="176" w:name="_Toc304295524"/>
      <w:bookmarkStart w:id="177" w:name="_Toc303539103"/>
      <w:r>
        <w:rPr>
          <w:rFonts w:hint="eastAsia" w:ascii="宋体" w:hAnsi="宋体" w:eastAsia="宋体" w:cs="宋体"/>
          <w:color w:val="auto"/>
          <w:sz w:val="21"/>
          <w:szCs w:val="21"/>
          <w:highlight w:val="none"/>
        </w:rPr>
        <w:t>.5.1 分包的一般约定</w:t>
      </w:r>
    </w:p>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14:paraId="2CD59105">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禁止分包的工程包括：</w:t>
      </w:r>
      <w:r>
        <w:rPr>
          <w:rFonts w:hint="eastAsia" w:ascii="宋体" w:hAnsi="宋体" w:eastAsia="宋体" w:cs="宋体"/>
          <w:color w:val="auto"/>
          <w:sz w:val="21"/>
          <w:szCs w:val="21"/>
          <w:highlight w:val="none"/>
          <w:u w:val="single"/>
        </w:rPr>
        <w:t>按《通用合同条款》3.5.1</w:t>
      </w:r>
      <w:r>
        <w:rPr>
          <w:rFonts w:hint="eastAsia" w:ascii="宋体" w:hAnsi="宋体" w:eastAsia="宋体" w:cs="宋体"/>
          <w:color w:val="auto"/>
          <w:sz w:val="21"/>
          <w:szCs w:val="21"/>
          <w:highlight w:val="none"/>
        </w:rPr>
        <w:t>。</w:t>
      </w:r>
    </w:p>
    <w:p w14:paraId="65004FAA">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主体结构、关键性工作的范围：</w:t>
      </w:r>
      <w:r>
        <w:rPr>
          <w:rFonts w:hint="eastAsia" w:ascii="宋体" w:hAnsi="宋体" w:eastAsia="宋体" w:cs="宋体"/>
          <w:color w:val="auto"/>
          <w:sz w:val="21"/>
          <w:szCs w:val="21"/>
          <w:highlight w:val="none"/>
          <w:u w:val="single"/>
        </w:rPr>
        <w:t>发生时双方协商确定</w:t>
      </w:r>
      <w:r>
        <w:rPr>
          <w:rFonts w:hint="eastAsia" w:ascii="宋体" w:hAnsi="宋体" w:eastAsia="宋体" w:cs="宋体"/>
          <w:color w:val="auto"/>
          <w:sz w:val="21"/>
          <w:szCs w:val="21"/>
          <w:highlight w:val="none"/>
        </w:rPr>
        <w:t>。</w:t>
      </w:r>
      <w:bookmarkStart w:id="178" w:name="_Toc296891201"/>
      <w:bookmarkStart w:id="179" w:name="_Toc297048347"/>
      <w:bookmarkStart w:id="180" w:name="_Toc296346662"/>
      <w:bookmarkStart w:id="181" w:name="_Toc297120461"/>
      <w:bookmarkStart w:id="182" w:name="_Toc303539104"/>
      <w:bookmarkStart w:id="183" w:name="_Toc296944500"/>
      <w:bookmarkStart w:id="184" w:name="_Toc304295525"/>
      <w:bookmarkStart w:id="185" w:name="_Toc296503161"/>
      <w:bookmarkStart w:id="186" w:name="_Toc296890989"/>
      <w:bookmarkStart w:id="187" w:name="_Toc297216153"/>
      <w:bookmarkStart w:id="188" w:name="_Toc297123494"/>
      <w:bookmarkStart w:id="189" w:name="_Toc296347160"/>
      <w:bookmarkStart w:id="190" w:name="_Toc300934947"/>
    </w:p>
    <w:bookmarkEnd w:id="178"/>
    <w:bookmarkEnd w:id="179"/>
    <w:bookmarkEnd w:id="180"/>
    <w:bookmarkEnd w:id="181"/>
    <w:bookmarkEnd w:id="182"/>
    <w:bookmarkEnd w:id="183"/>
    <w:bookmarkEnd w:id="184"/>
    <w:bookmarkEnd w:id="185"/>
    <w:bookmarkEnd w:id="186"/>
    <w:bookmarkEnd w:id="187"/>
    <w:bookmarkEnd w:id="188"/>
    <w:bookmarkEnd w:id="189"/>
    <w:bookmarkEnd w:id="190"/>
    <w:p w14:paraId="7B82015A">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w:t>
      </w:r>
      <w:bookmarkStart w:id="191" w:name="_Toc318581159"/>
      <w:bookmarkStart w:id="192" w:name="_Toc312677990"/>
      <w:r>
        <w:rPr>
          <w:rFonts w:hint="eastAsia" w:ascii="宋体" w:hAnsi="宋体" w:eastAsia="宋体" w:cs="宋体"/>
          <w:color w:val="auto"/>
          <w:sz w:val="21"/>
          <w:szCs w:val="21"/>
          <w:highlight w:val="none"/>
        </w:rPr>
        <w:t>.5.2分包的确定</w:t>
      </w:r>
    </w:p>
    <w:p w14:paraId="23CE4D59">
      <w:pPr>
        <w:adjustRightInd w:val="0"/>
        <w:snapToGrid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允许分包的专业工程包括：</w:t>
      </w:r>
      <w:r>
        <w:rPr>
          <w:rFonts w:hint="eastAsia" w:ascii="宋体" w:hAnsi="宋体" w:eastAsia="宋体" w:cs="宋体"/>
          <w:color w:val="auto"/>
          <w:sz w:val="21"/>
          <w:szCs w:val="21"/>
          <w:highlight w:val="none"/>
          <w:u w:val="single"/>
        </w:rPr>
        <w:t>未经发包人同意，承包人不得转包、分包或变相转包、分包（发包人同意的除外），一经发现，以承包人违约处理，发包人可终止合同，将承包人清退出场，罚款5000元</w:t>
      </w:r>
      <w:r>
        <w:rPr>
          <w:rFonts w:hint="eastAsia" w:ascii="宋体" w:hAnsi="宋体" w:eastAsia="宋体" w:cs="宋体"/>
          <w:color w:val="auto"/>
          <w:sz w:val="21"/>
          <w:szCs w:val="21"/>
          <w:highlight w:val="none"/>
        </w:rPr>
        <w:t>。</w:t>
      </w:r>
    </w:p>
    <w:p w14:paraId="266A9BD7">
      <w:pPr>
        <w:adjustRightInd w:val="0"/>
        <w:snapToGrid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其他关于分包的约定：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D4C384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3.5.4 分包合同价款</w:t>
      </w:r>
    </w:p>
    <w:p w14:paraId="640FAB3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关于分包合同价款支付的约定：</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w:t>
      </w:r>
    </w:p>
    <w:bookmarkEnd w:id="191"/>
    <w:bookmarkEnd w:id="192"/>
    <w:p w14:paraId="1B27C78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 工程照管与成品、半成品保护</w:t>
      </w:r>
    </w:p>
    <w:p w14:paraId="7BCCE4F5">
      <w:pPr>
        <w:adjustRightInd w:val="0"/>
        <w:snapToGrid w:val="0"/>
        <w:spacing w:line="360" w:lineRule="auto"/>
        <w:ind w:firstLine="420" w:firstLineChars="200"/>
        <w:jc w:val="left"/>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承包人负责照管工程及工程相关的材料、工程设备的起始时间：</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w:t>
      </w:r>
    </w:p>
    <w:p w14:paraId="50A3322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 履约担保</w:t>
      </w:r>
    </w:p>
    <w:p w14:paraId="6EE4F78F">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rPr>
        <w:t xml:space="preserve">   不提供   </w:t>
      </w:r>
      <w:r>
        <w:rPr>
          <w:rFonts w:hint="eastAsia" w:ascii="宋体" w:hAnsi="宋体" w:eastAsia="宋体" w:cs="宋体"/>
          <w:color w:val="auto"/>
          <w:sz w:val="21"/>
          <w:szCs w:val="21"/>
          <w:highlight w:val="none"/>
        </w:rPr>
        <w:t>。</w:t>
      </w:r>
    </w:p>
    <w:p w14:paraId="3AD057F8">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承包人提供履约担保的形式、金额及期限的：</w:t>
      </w:r>
      <w:r>
        <w:rPr>
          <w:rFonts w:hint="eastAsia" w:ascii="宋体" w:hAnsi="宋体" w:eastAsia="宋体" w:cs="宋体"/>
          <w:color w:val="auto"/>
          <w:spacing w:val="-6"/>
          <w:sz w:val="21"/>
          <w:szCs w:val="21"/>
          <w:highlight w:val="none"/>
          <w:u w:val="single"/>
        </w:rPr>
        <w:t>无</w:t>
      </w:r>
      <w:r>
        <w:rPr>
          <w:rFonts w:hint="eastAsia" w:ascii="宋体" w:hAnsi="宋体" w:eastAsia="宋体" w:cs="宋体"/>
          <w:color w:val="auto"/>
          <w:sz w:val="21"/>
          <w:szCs w:val="21"/>
          <w:highlight w:val="none"/>
          <w:u w:val="single"/>
        </w:rPr>
        <w:t>。</w:t>
      </w:r>
    </w:p>
    <w:p w14:paraId="0D0B40F9">
      <w:pPr>
        <w:keepNext/>
        <w:keepLines/>
        <w:widowControl w:val="0"/>
        <w:numPr>
          <w:ilvl w:val="3"/>
          <w:numId w:val="0"/>
        </w:numPr>
        <w:adjustRightInd w:val="0"/>
        <w:snapToGrid w:val="0"/>
        <w:spacing w:before="280" w:after="290" w:line="360" w:lineRule="auto"/>
        <w:ind w:left="426"/>
        <w:jc w:val="both"/>
        <w:outlineLvl w:val="3"/>
        <w:rPr>
          <w:rFonts w:hint="eastAsia" w:ascii="宋体" w:hAnsi="宋体" w:eastAsia="宋体" w:cs="宋体"/>
          <w:b/>
          <w:bCs/>
          <w:color w:val="auto"/>
          <w:kern w:val="2"/>
          <w:sz w:val="21"/>
          <w:szCs w:val="21"/>
          <w:highlight w:val="none"/>
          <w:lang w:val="en-US" w:eastAsia="zh-CN" w:bidi="ar-SA"/>
        </w:rPr>
      </w:pPr>
      <w:bookmarkStart w:id="193" w:name="_Toc267251418"/>
      <w:bookmarkStart w:id="194" w:name="_Toc351203637"/>
      <w:r>
        <w:rPr>
          <w:rFonts w:hint="eastAsia" w:ascii="宋体" w:hAnsi="宋体" w:eastAsia="宋体" w:cs="宋体"/>
          <w:b/>
          <w:bCs/>
          <w:color w:val="auto"/>
          <w:kern w:val="2"/>
          <w:sz w:val="21"/>
          <w:szCs w:val="21"/>
          <w:highlight w:val="none"/>
          <w:lang w:val="en-US" w:eastAsia="zh-CN" w:bidi="ar-SA"/>
        </w:rPr>
        <w:t>5</w:t>
      </w:r>
      <w:bookmarkEnd w:id="193"/>
      <w:bookmarkStart w:id="195" w:name="_Toc297120463"/>
      <w:bookmarkStart w:id="196" w:name="_Toc296890991"/>
      <w:bookmarkStart w:id="197" w:name="_Toc296347162"/>
      <w:bookmarkStart w:id="198" w:name="_Toc296891203"/>
      <w:bookmarkStart w:id="199" w:name="_Toc297048349"/>
      <w:bookmarkStart w:id="200" w:name="_Toc296944502"/>
      <w:bookmarkStart w:id="201" w:name="_Toc292559872"/>
      <w:bookmarkStart w:id="202" w:name="_Toc296346664"/>
      <w:bookmarkStart w:id="203" w:name="_Toc292559367"/>
      <w:bookmarkStart w:id="204" w:name="_Toc296503163"/>
      <w:r>
        <w:rPr>
          <w:rFonts w:hint="eastAsia" w:ascii="宋体" w:hAnsi="宋体" w:eastAsia="宋体" w:cs="宋体"/>
          <w:b/>
          <w:bCs/>
          <w:color w:val="auto"/>
          <w:kern w:val="2"/>
          <w:sz w:val="21"/>
          <w:szCs w:val="21"/>
          <w:highlight w:val="none"/>
          <w:lang w:val="en-US" w:eastAsia="zh-CN" w:bidi="ar-SA"/>
        </w:rPr>
        <w:t>. 工程质量</w:t>
      </w:r>
      <w:bookmarkEnd w:id="194"/>
    </w:p>
    <w:p w14:paraId="0BC6460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质量要求</w:t>
      </w:r>
    </w:p>
    <w:p w14:paraId="5CD6B1E3">
      <w:pPr>
        <w:adjustRightInd w:val="0"/>
        <w:snapToGrid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bookmarkStart w:id="205" w:name="_Toc300934949"/>
      <w:bookmarkStart w:id="206" w:name="_Toc304295527"/>
      <w:bookmarkStart w:id="207" w:name="_Toc297216155"/>
      <w:bookmarkStart w:id="208" w:name="_Toc297123496"/>
      <w:bookmarkStart w:id="209" w:name="_Toc318581164"/>
      <w:bookmarkStart w:id="210" w:name="_Toc312677997"/>
      <w:bookmarkStart w:id="211" w:name="_Toc303539106"/>
      <w:r>
        <w:rPr>
          <w:rFonts w:hint="eastAsia" w:ascii="宋体" w:hAnsi="宋体" w:eastAsia="宋体" w:cs="宋体"/>
          <w:color w:val="auto"/>
          <w:sz w:val="21"/>
          <w:szCs w:val="21"/>
          <w:highlight w:val="none"/>
        </w:rPr>
        <w:t>.1.1 特殊质量标准和要求：</w:t>
      </w:r>
      <w:r>
        <w:rPr>
          <w:rFonts w:hint="eastAsia" w:ascii="宋体" w:hAnsi="宋体" w:eastAsia="宋体" w:cs="宋体"/>
          <w:color w:val="auto"/>
          <w:sz w:val="21"/>
          <w:szCs w:val="21"/>
          <w:highlight w:val="none"/>
          <w:u w:val="single"/>
        </w:rPr>
        <w:t xml:space="preserve"> 合格   </w:t>
      </w:r>
    </w:p>
    <w:p w14:paraId="4890F342">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关于工程奖项的约定：</w:t>
      </w:r>
      <w:r>
        <w:rPr>
          <w:rFonts w:hint="eastAsia" w:ascii="宋体" w:hAnsi="宋体" w:eastAsia="宋体" w:cs="宋体"/>
          <w:color w:val="auto"/>
          <w:sz w:val="21"/>
          <w:szCs w:val="21"/>
          <w:highlight w:val="none"/>
          <w:u w:val="single"/>
        </w:rPr>
        <w:t xml:space="preserve">                /                                  </w:t>
      </w:r>
    </w:p>
    <w:p w14:paraId="5C23FEF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 隐蔽工程检查</w:t>
      </w:r>
    </w:p>
    <w:p w14:paraId="3C2C7BB8">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5.3.2承包人提前通知发包人隐蔽工程检查的期限的约定：承包人提前通知发包人隐蔽工程检查的期限的约定：</w:t>
      </w:r>
      <w:r>
        <w:rPr>
          <w:rFonts w:hint="eastAsia" w:ascii="宋体" w:hAnsi="宋体" w:eastAsia="宋体" w:cs="宋体"/>
          <w:color w:val="auto"/>
          <w:sz w:val="21"/>
          <w:szCs w:val="21"/>
          <w:highlight w:val="none"/>
          <w:u w:val="single"/>
        </w:rPr>
        <w:t>承包人应在共同检查前48 小时书面通知发包人检查，通知中应载明隐蔽检查的内容、时间和地点，并应附有自检记录和必要的检查资料。隐蔽工程必须做好影像资料收集、整理</w:t>
      </w:r>
      <w:r>
        <w:rPr>
          <w:rFonts w:hint="eastAsia" w:ascii="宋体" w:hAnsi="宋体" w:eastAsia="宋体" w:cs="宋体"/>
          <w:color w:val="auto"/>
          <w:sz w:val="21"/>
          <w:szCs w:val="21"/>
          <w:highlight w:val="none"/>
        </w:rPr>
        <w:t>。</w:t>
      </w:r>
    </w:p>
    <w:p w14:paraId="4FAB9AC7">
      <w:pPr>
        <w:adjustRightInd w:val="0"/>
        <w:snapToGrid w:val="0"/>
        <w:spacing w:line="360" w:lineRule="auto"/>
        <w:ind w:firstLine="441" w:firstLineChars="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040864EC">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小时。</w:t>
      </w:r>
    </w:p>
    <w:p w14:paraId="0BF22C02">
      <w:pPr>
        <w:keepNext/>
        <w:keepLines/>
        <w:widowControl w:val="0"/>
        <w:numPr>
          <w:ilvl w:val="3"/>
          <w:numId w:val="0"/>
        </w:numPr>
        <w:adjustRightInd w:val="0"/>
        <w:snapToGrid w:val="0"/>
        <w:spacing w:before="280" w:after="290" w:line="360" w:lineRule="auto"/>
        <w:ind w:left="426"/>
        <w:jc w:val="both"/>
        <w:outlineLvl w:val="3"/>
        <w:rPr>
          <w:rFonts w:hint="eastAsia" w:ascii="宋体" w:hAnsi="宋体" w:eastAsia="宋体" w:cs="宋体"/>
          <w:b/>
          <w:bCs/>
          <w:color w:val="auto"/>
          <w:kern w:val="2"/>
          <w:sz w:val="21"/>
          <w:szCs w:val="21"/>
          <w:highlight w:val="none"/>
          <w:lang w:val="en-US" w:eastAsia="zh-CN" w:bidi="ar-SA"/>
        </w:rPr>
      </w:pPr>
      <w:bookmarkStart w:id="212" w:name="_Toc351203638"/>
      <w:r>
        <w:rPr>
          <w:rFonts w:hint="eastAsia" w:ascii="宋体" w:hAnsi="宋体" w:eastAsia="宋体" w:cs="宋体"/>
          <w:b/>
          <w:bCs/>
          <w:color w:val="auto"/>
          <w:kern w:val="2"/>
          <w:sz w:val="21"/>
          <w:szCs w:val="21"/>
          <w:highlight w:val="none"/>
          <w:lang w:val="en-US" w:eastAsia="zh-CN" w:bidi="ar-SA"/>
        </w:rPr>
        <w:t>6. 安全文明施工与环境保护</w:t>
      </w:r>
      <w:bookmarkEnd w:id="212"/>
    </w:p>
    <w:p w14:paraId="3D1191B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6.1安全文明施工</w:t>
      </w:r>
    </w:p>
    <w:p w14:paraId="2011B43A">
      <w:pPr>
        <w:adjustRightInd w:val="0"/>
        <w:snapToGrid w:val="0"/>
        <w:spacing w:line="360" w:lineRule="auto"/>
        <w:ind w:firstLine="420" w:firstLineChars="200"/>
        <w:jc w:val="left"/>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6.1.1 项目安全生产的达标目标及相应事项的约定：</w:t>
      </w:r>
      <w:r>
        <w:rPr>
          <w:rFonts w:hint="eastAsia" w:ascii="宋体" w:hAnsi="宋体" w:eastAsia="宋体" w:cs="宋体"/>
          <w:b/>
          <w:color w:val="auto"/>
          <w:sz w:val="21"/>
          <w:szCs w:val="21"/>
          <w:highlight w:val="none"/>
          <w:u w:val="single"/>
        </w:rPr>
        <w:t>施工现场按照《建筑施工安全检查标准》（JGJ59-2011）评定达到“合格”标准。</w:t>
      </w:r>
    </w:p>
    <w:p w14:paraId="0C2F7BD5">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6.1.4 关于治安保卫的特别约定：</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66F765D2">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0C46E225">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6.1.5 文明施工</w:t>
      </w:r>
    </w:p>
    <w:p w14:paraId="432812BE">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合同当事人对文明施工的要求：</w:t>
      </w:r>
    </w:p>
    <w:p w14:paraId="4F9F5559">
      <w:pPr>
        <w:adjustRightInd w:val="0"/>
        <w:snapToGrid w:val="0"/>
        <w:spacing w:line="360" w:lineRule="auto"/>
        <w:ind w:firstLine="417" w:firstLineChars="198"/>
        <w:jc w:val="left"/>
        <w:rPr>
          <w:rFonts w:hint="eastAsia" w:ascii="宋体" w:hAnsi="宋体" w:eastAsia="宋体" w:cs="宋体"/>
          <w:b/>
          <w:color w:val="auto"/>
          <w:sz w:val="21"/>
          <w:szCs w:val="21"/>
          <w:highlight w:val="none"/>
          <w:u w:val="single"/>
          <w:lang w:val="zh-CN"/>
        </w:rPr>
      </w:pPr>
      <w:r>
        <w:rPr>
          <w:rFonts w:hint="eastAsia" w:ascii="宋体" w:hAnsi="宋体" w:eastAsia="宋体" w:cs="宋体"/>
          <w:b/>
          <w:color w:val="auto"/>
          <w:sz w:val="21"/>
          <w:szCs w:val="21"/>
          <w:highlight w:val="none"/>
          <w:u w:val="single"/>
        </w:rPr>
        <w:t>（1）</w:t>
      </w:r>
      <w:r>
        <w:rPr>
          <w:rFonts w:hint="eastAsia" w:ascii="宋体" w:hAnsi="宋体" w:eastAsia="宋体" w:cs="宋体"/>
          <w:b/>
          <w:color w:val="auto"/>
          <w:sz w:val="21"/>
          <w:szCs w:val="21"/>
          <w:highlight w:val="none"/>
          <w:u w:val="single"/>
          <w:lang w:val="zh-CN"/>
        </w:rPr>
        <w:t>遵守地方政府和有关部门对施工场地交通、环卫、安全和施工噪音等管理规定，并办理相关审批手续</w:t>
      </w:r>
      <w:r>
        <w:rPr>
          <w:rFonts w:hint="eastAsia" w:ascii="宋体" w:hAnsi="宋体" w:eastAsia="宋体" w:cs="宋体"/>
          <w:b/>
          <w:color w:val="auto"/>
          <w:sz w:val="21"/>
          <w:szCs w:val="21"/>
          <w:highlight w:val="none"/>
          <w:lang w:val="zh-CN"/>
        </w:rPr>
        <w:t>。</w:t>
      </w:r>
    </w:p>
    <w:p w14:paraId="3E83C54B">
      <w:pPr>
        <w:adjustRightInd w:val="0"/>
        <w:snapToGrid w:val="0"/>
        <w:spacing w:line="360" w:lineRule="auto"/>
        <w:ind w:firstLine="417" w:firstLineChars="198"/>
        <w:jc w:val="lef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u w:val="single"/>
          <w:lang w:val="zh-CN"/>
        </w:rPr>
        <w:t>（2）承包人应采取有效措施尽量减小尘土和噪音污染，需要进行夜间作业时应经有关部门批准</w:t>
      </w:r>
      <w:r>
        <w:rPr>
          <w:rFonts w:hint="eastAsia" w:ascii="宋体" w:hAnsi="宋体" w:eastAsia="宋体" w:cs="宋体"/>
          <w:b/>
          <w:color w:val="auto"/>
          <w:sz w:val="21"/>
          <w:szCs w:val="21"/>
          <w:highlight w:val="none"/>
          <w:lang w:val="zh-CN"/>
        </w:rPr>
        <w:t>。</w:t>
      </w:r>
    </w:p>
    <w:p w14:paraId="46C978CF">
      <w:pPr>
        <w:adjustRightInd w:val="0"/>
        <w:snapToGrid w:val="0"/>
        <w:spacing w:line="360" w:lineRule="auto"/>
        <w:ind w:firstLine="417" w:firstLineChars="198"/>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lang w:val="zh-CN"/>
        </w:rPr>
        <w:t>（3）其他：</w:t>
      </w:r>
      <w:r>
        <w:rPr>
          <w:rFonts w:hint="eastAsia" w:ascii="宋体" w:hAnsi="宋体" w:eastAsia="宋体" w:cs="宋体"/>
          <w:b/>
          <w:color w:val="auto"/>
          <w:sz w:val="21"/>
          <w:szCs w:val="21"/>
          <w:highlight w:val="none"/>
          <w:u w:val="single"/>
        </w:rPr>
        <w:t>承包人应严格按杭州市“双标化”工地的要求组织施工，遵守工程建设安全文明的有关规定，认真落实各项安全保护措施，并随时接受发包人及有关部门的监督检查；承包人应对进入施工现场的施工人员进行安全文明教育，配备必要的劳动保护用具，保证工程的施工安全和人身安全</w:t>
      </w:r>
      <w:r>
        <w:rPr>
          <w:rFonts w:hint="eastAsia" w:ascii="宋体" w:hAnsi="宋体" w:eastAsia="宋体" w:cs="宋体"/>
          <w:b/>
          <w:color w:val="auto"/>
          <w:sz w:val="21"/>
          <w:szCs w:val="21"/>
          <w:highlight w:val="none"/>
          <w:u w:val="single"/>
          <w:lang w:val="zh-CN"/>
        </w:rPr>
        <w:t xml:space="preserve">  </w:t>
      </w:r>
      <w:r>
        <w:rPr>
          <w:rFonts w:hint="eastAsia" w:ascii="宋体" w:hAnsi="宋体" w:eastAsia="宋体" w:cs="宋体"/>
          <w:b/>
          <w:color w:val="auto"/>
          <w:sz w:val="21"/>
          <w:szCs w:val="21"/>
          <w:highlight w:val="none"/>
          <w:lang w:val="zh-CN"/>
        </w:rPr>
        <w:t>。</w:t>
      </w:r>
    </w:p>
    <w:p w14:paraId="5D700E9B">
      <w:pPr>
        <w:adjustRightInd w:val="0"/>
        <w:snapToGrid w:val="0"/>
        <w:spacing w:line="360" w:lineRule="auto"/>
        <w:ind w:left="170" w:leftChars="71" w:firstLine="316" w:firstLineChars="150"/>
        <w:jc w:val="lef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u w:val="single"/>
          <w:lang w:val="zh-CN"/>
        </w:rPr>
        <w:t>（4）上述手续办理费用约定如下： 由承包人支付</w:t>
      </w:r>
      <w:r>
        <w:rPr>
          <w:rFonts w:hint="eastAsia" w:ascii="宋体" w:hAnsi="宋体" w:eastAsia="宋体" w:cs="宋体"/>
          <w:b/>
          <w:color w:val="auto"/>
          <w:sz w:val="21"/>
          <w:szCs w:val="21"/>
          <w:highlight w:val="none"/>
          <w:lang w:val="zh-CN"/>
        </w:rPr>
        <w:t>。</w:t>
      </w:r>
    </w:p>
    <w:p w14:paraId="0F8F93DF">
      <w:pPr>
        <w:adjustRightInd w:val="0"/>
        <w:snapToGrid w:val="0"/>
        <w:spacing w:line="360" w:lineRule="auto"/>
        <w:ind w:left="170" w:leftChars="71"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6.1.6 关于安全文明施工费支付比例和支付期限的约定，按以下</w:t>
      </w:r>
      <w:r>
        <w:rPr>
          <w:rFonts w:hint="eastAsia" w:ascii="宋体" w:hAnsi="宋体" w:eastAsia="宋体" w:cs="宋体"/>
          <w:color w:val="auto"/>
          <w:sz w:val="21"/>
          <w:szCs w:val="21"/>
          <w:highlight w:val="none"/>
          <w:u w:val="single"/>
        </w:rPr>
        <w:t>第（ 1 ）种方式</w:t>
      </w:r>
      <w:r>
        <w:rPr>
          <w:rFonts w:hint="eastAsia" w:ascii="宋体" w:hAnsi="宋体" w:eastAsia="宋体" w:cs="宋体"/>
          <w:color w:val="auto"/>
          <w:sz w:val="21"/>
          <w:szCs w:val="21"/>
          <w:highlight w:val="none"/>
        </w:rPr>
        <w:t>约定：</w:t>
      </w:r>
    </w:p>
    <w:p w14:paraId="0EB741C7">
      <w:pPr>
        <w:adjustRightInd w:val="0"/>
        <w:snapToGrid w:val="0"/>
        <w:spacing w:line="360" w:lineRule="auto"/>
        <w:ind w:firstLine="415" w:firstLineChars="198"/>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（1）发包人按以下第（ ① ）种方式约定 ：  </w:t>
      </w:r>
    </w:p>
    <w:p w14:paraId="3B92D48C">
      <w:pPr>
        <w:adjustRightInd w:val="0"/>
        <w:snapToGrid w:val="0"/>
        <w:spacing w:line="360" w:lineRule="auto"/>
        <w:ind w:firstLine="415" w:firstLineChars="198"/>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w:t>
      </w:r>
      <w:r>
        <w:rPr>
          <w:rFonts w:hint="eastAsia" w:ascii="宋体" w:hAnsi="宋体" w:eastAsia="宋体" w:cs="宋体"/>
          <w:color w:val="auto"/>
          <w:sz w:val="21"/>
          <w:szCs w:val="21"/>
          <w:highlight w:val="none"/>
          <w:u w:val="single"/>
        </w:rPr>
        <w:t xml:space="preserve"> 视相关措施的落实情况与合同款同期支付</w:t>
      </w:r>
      <w:r>
        <w:rPr>
          <w:rFonts w:hint="eastAsia" w:ascii="宋体" w:hAnsi="宋体" w:eastAsia="宋体" w:cs="宋体"/>
          <w:color w:val="auto"/>
          <w:sz w:val="21"/>
          <w:szCs w:val="21"/>
          <w:highlight w:val="none"/>
        </w:rPr>
        <w:t>。</w:t>
      </w:r>
    </w:p>
    <w:p w14:paraId="2A8FE44C">
      <w:pPr>
        <w:adjustRightInd w:val="0"/>
        <w:snapToGrid w:val="0"/>
        <w:spacing w:line="360" w:lineRule="auto"/>
        <w:ind w:firstLine="415" w:firstLineChars="198"/>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②</w:t>
      </w:r>
      <w:r>
        <w:rPr>
          <w:rFonts w:hint="eastAsia" w:ascii="宋体" w:hAnsi="宋体" w:eastAsia="宋体" w:cs="宋体"/>
          <w:color w:val="auto"/>
          <w:sz w:val="21"/>
          <w:szCs w:val="21"/>
          <w:highlight w:val="none"/>
          <w:u w:val="single"/>
        </w:rPr>
        <w:t xml:space="preserve"> 其他：     /                     </w:t>
      </w:r>
      <w:r>
        <w:rPr>
          <w:rFonts w:hint="eastAsia" w:ascii="宋体" w:hAnsi="宋体" w:eastAsia="宋体" w:cs="宋体"/>
          <w:color w:val="auto"/>
          <w:sz w:val="21"/>
          <w:szCs w:val="21"/>
          <w:highlight w:val="none"/>
        </w:rPr>
        <w:t>。</w:t>
      </w:r>
    </w:p>
    <w:p w14:paraId="664CE781">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（2）其他：    /                     </w:t>
      </w:r>
      <w:r>
        <w:rPr>
          <w:rFonts w:hint="eastAsia" w:ascii="宋体" w:hAnsi="宋体" w:eastAsia="宋体" w:cs="宋体"/>
          <w:color w:val="auto"/>
          <w:sz w:val="21"/>
          <w:szCs w:val="21"/>
          <w:highlight w:val="none"/>
        </w:rPr>
        <w:t>。</w:t>
      </w:r>
    </w:p>
    <w:bookmarkEnd w:id="205"/>
    <w:bookmarkEnd w:id="206"/>
    <w:bookmarkEnd w:id="207"/>
    <w:bookmarkEnd w:id="208"/>
    <w:bookmarkEnd w:id="209"/>
    <w:bookmarkEnd w:id="210"/>
    <w:bookmarkEnd w:id="211"/>
    <w:p w14:paraId="45721B91">
      <w:pPr>
        <w:keepNext/>
        <w:keepLines/>
        <w:widowControl w:val="0"/>
        <w:numPr>
          <w:ilvl w:val="3"/>
          <w:numId w:val="0"/>
        </w:numPr>
        <w:adjustRightInd w:val="0"/>
        <w:snapToGrid w:val="0"/>
        <w:spacing w:before="280" w:after="290" w:line="360" w:lineRule="auto"/>
        <w:ind w:left="426"/>
        <w:jc w:val="both"/>
        <w:outlineLvl w:val="3"/>
        <w:rPr>
          <w:rFonts w:hint="eastAsia" w:ascii="宋体" w:hAnsi="宋体" w:eastAsia="宋体" w:cs="宋体"/>
          <w:b/>
          <w:bCs/>
          <w:color w:val="auto"/>
          <w:kern w:val="2"/>
          <w:sz w:val="21"/>
          <w:szCs w:val="21"/>
          <w:highlight w:val="none"/>
          <w:lang w:val="en-US" w:eastAsia="zh-CN" w:bidi="ar-SA"/>
        </w:rPr>
      </w:pPr>
      <w:bookmarkStart w:id="213" w:name="_Toc351203639"/>
      <w:r>
        <w:rPr>
          <w:rFonts w:hint="eastAsia" w:ascii="宋体" w:hAnsi="宋体" w:eastAsia="宋体" w:cs="宋体"/>
          <w:b/>
          <w:bCs/>
          <w:color w:val="auto"/>
          <w:kern w:val="2"/>
          <w:sz w:val="21"/>
          <w:szCs w:val="21"/>
          <w:highlight w:val="none"/>
          <w:lang w:val="en-US" w:eastAsia="zh-CN" w:bidi="ar-SA"/>
        </w:rPr>
        <w:t>7. 工期和进度</w:t>
      </w:r>
      <w:bookmarkEnd w:id="213"/>
    </w:p>
    <w:p w14:paraId="03A1888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施工组织设计</w:t>
      </w:r>
    </w:p>
    <w:p w14:paraId="013738AB">
      <w:pPr>
        <w:autoSpaceDE w:val="0"/>
        <w:autoSpaceDN w:val="0"/>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7.1.1 合同当事人约定的施工组织设计应包括的其他内容：</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w:t>
      </w:r>
    </w:p>
    <w:p w14:paraId="7993719B">
      <w:pPr>
        <w:autoSpaceDE w:val="0"/>
        <w:autoSpaceDN w:val="0"/>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7.1.2 施工组织设计的提交和修改</w:t>
      </w:r>
    </w:p>
    <w:p w14:paraId="42DC1526">
      <w:pPr>
        <w:autoSpaceDE w:val="0"/>
        <w:autoSpaceDN w:val="0"/>
        <w:adjustRightInd w:val="0"/>
        <w:snapToGrid w:val="0"/>
        <w:spacing w:line="360" w:lineRule="auto"/>
        <w:ind w:firstLine="441" w:firstLineChars="21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承包人提交详细施工组织设计的期限的约定：</w:t>
      </w:r>
      <w:r>
        <w:rPr>
          <w:rFonts w:hint="eastAsia" w:ascii="宋体" w:hAnsi="宋体" w:eastAsia="宋体" w:cs="宋体"/>
          <w:color w:val="auto"/>
          <w:sz w:val="21"/>
          <w:szCs w:val="21"/>
          <w:highlight w:val="none"/>
          <w:u w:val="single"/>
        </w:rPr>
        <w:t xml:space="preserve">合同签订后7天内提供详细施工组织设计（施工方案）和进度计划 </w:t>
      </w:r>
      <w:r>
        <w:rPr>
          <w:rFonts w:hint="eastAsia" w:ascii="宋体" w:hAnsi="宋体" w:eastAsia="宋体" w:cs="宋体"/>
          <w:color w:val="auto"/>
          <w:sz w:val="21"/>
          <w:szCs w:val="21"/>
          <w:highlight w:val="none"/>
        </w:rPr>
        <w:t>。</w:t>
      </w:r>
    </w:p>
    <w:p w14:paraId="7E1D688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发包人在收到详细的施工组织设计后确认或提出修改意见的期限：</w:t>
      </w:r>
      <w:r>
        <w:rPr>
          <w:rFonts w:hint="eastAsia" w:ascii="宋体" w:hAnsi="宋体" w:eastAsia="宋体" w:cs="宋体"/>
          <w:color w:val="auto"/>
          <w:sz w:val="21"/>
          <w:szCs w:val="21"/>
          <w:highlight w:val="none"/>
          <w:u w:val="single"/>
        </w:rPr>
        <w:t>收到施工组织设计后5天内</w:t>
      </w:r>
      <w:r>
        <w:rPr>
          <w:rFonts w:hint="eastAsia" w:ascii="宋体" w:hAnsi="宋体" w:eastAsia="宋体" w:cs="宋体"/>
          <w:color w:val="auto"/>
          <w:sz w:val="21"/>
          <w:szCs w:val="21"/>
          <w:highlight w:val="none"/>
        </w:rPr>
        <w:t>。</w:t>
      </w:r>
    </w:p>
    <w:p w14:paraId="43235DE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214" w:name="_Toc300934966"/>
      <w:bookmarkStart w:id="215" w:name="_Toc312677479"/>
      <w:bookmarkStart w:id="216" w:name="_Toc297123514"/>
      <w:bookmarkStart w:id="217" w:name="_Toc297216173"/>
      <w:bookmarkStart w:id="218" w:name="_Toc304295541"/>
      <w:bookmarkStart w:id="219" w:name="_Toc312678005"/>
      <w:bookmarkStart w:id="220" w:name="_Toc303539123"/>
      <w:r>
        <w:rPr>
          <w:rFonts w:hint="eastAsia" w:ascii="宋体" w:hAnsi="宋体" w:eastAsia="宋体" w:cs="宋体"/>
          <w:color w:val="auto"/>
          <w:sz w:val="21"/>
          <w:szCs w:val="21"/>
          <w:highlight w:val="none"/>
        </w:rPr>
        <w:t>.2 施工进度计划</w:t>
      </w:r>
    </w:p>
    <w:p w14:paraId="4D86C076">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7.2.2 施工进度计划的修订</w:t>
      </w:r>
    </w:p>
    <w:p w14:paraId="696AEFE7">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发包人在收到修订的施工进度计划后确认或提出修改意见的期限：</w:t>
      </w:r>
      <w:r>
        <w:rPr>
          <w:rFonts w:hint="eastAsia" w:ascii="宋体" w:hAnsi="宋体" w:eastAsia="宋体" w:cs="宋体"/>
          <w:color w:val="auto"/>
          <w:sz w:val="21"/>
          <w:szCs w:val="21"/>
          <w:highlight w:val="none"/>
          <w:u w:val="single"/>
        </w:rPr>
        <w:t xml:space="preserve">收到修订的施工进度计划后5 天内 </w:t>
      </w:r>
      <w:r>
        <w:rPr>
          <w:rFonts w:hint="eastAsia" w:ascii="宋体" w:hAnsi="宋体" w:eastAsia="宋体" w:cs="宋体"/>
          <w:color w:val="auto"/>
          <w:sz w:val="21"/>
          <w:szCs w:val="21"/>
          <w:highlight w:val="none"/>
        </w:rPr>
        <w:t>。</w:t>
      </w:r>
    </w:p>
    <w:p w14:paraId="0168386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14:paraId="6694D6E6">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7.3.1 开工准备</w:t>
      </w:r>
    </w:p>
    <w:p w14:paraId="2DC1E705">
      <w:pPr>
        <w:adjustRightInd w:val="0"/>
        <w:snapToGrid w:val="0"/>
        <w:spacing w:line="360" w:lineRule="auto"/>
        <w:ind w:firstLine="645"/>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关于承包人提交工程开工报审表的期限：</w:t>
      </w:r>
      <w:r>
        <w:rPr>
          <w:rFonts w:hint="eastAsia" w:ascii="宋体" w:hAnsi="宋体" w:eastAsia="宋体" w:cs="宋体"/>
          <w:color w:val="auto"/>
          <w:sz w:val="21"/>
          <w:szCs w:val="21"/>
          <w:highlight w:val="none"/>
          <w:u w:val="single"/>
        </w:rPr>
        <w:t>开工前7天</w:t>
      </w:r>
      <w:r>
        <w:rPr>
          <w:rFonts w:hint="eastAsia" w:ascii="宋体" w:hAnsi="宋体" w:eastAsia="宋体" w:cs="宋体"/>
          <w:color w:val="auto"/>
          <w:sz w:val="21"/>
          <w:szCs w:val="21"/>
          <w:highlight w:val="none"/>
        </w:rPr>
        <w:t>。</w:t>
      </w:r>
    </w:p>
    <w:p w14:paraId="1255290C">
      <w:pPr>
        <w:adjustRightInd w:val="0"/>
        <w:snapToGrid w:val="0"/>
        <w:spacing w:line="360" w:lineRule="auto"/>
        <w:ind w:firstLine="645"/>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关于发包人应完成的其他开工准备工作及期限：</w:t>
      </w:r>
      <w:r>
        <w:rPr>
          <w:rFonts w:hint="eastAsia" w:ascii="宋体" w:hAnsi="宋体" w:eastAsia="宋体" w:cs="宋体"/>
          <w:color w:val="auto"/>
          <w:sz w:val="21"/>
          <w:szCs w:val="21"/>
          <w:highlight w:val="none"/>
          <w:u w:val="single"/>
        </w:rPr>
        <w:t xml:space="preserve">   开工前7天  </w:t>
      </w:r>
      <w:r>
        <w:rPr>
          <w:rFonts w:hint="eastAsia" w:ascii="宋体" w:hAnsi="宋体" w:eastAsia="宋体" w:cs="宋体"/>
          <w:color w:val="auto"/>
          <w:sz w:val="21"/>
          <w:szCs w:val="21"/>
          <w:highlight w:val="none"/>
        </w:rPr>
        <w:t>。</w:t>
      </w:r>
    </w:p>
    <w:p w14:paraId="06BC7F9F">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 xml:space="preserve">    开工前7天</w:t>
      </w:r>
      <w:r>
        <w:rPr>
          <w:rFonts w:hint="eastAsia" w:ascii="宋体" w:hAnsi="宋体" w:eastAsia="宋体" w:cs="宋体"/>
          <w:color w:val="auto"/>
          <w:sz w:val="21"/>
          <w:szCs w:val="21"/>
          <w:highlight w:val="none"/>
        </w:rPr>
        <w:t>。</w:t>
      </w:r>
    </w:p>
    <w:p w14:paraId="47D669A8">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7.3.2开工通知</w:t>
      </w:r>
    </w:p>
    <w:p w14:paraId="06DECD18">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因发包人原因未能在计划开工日期之日起</w:t>
      </w:r>
      <w:r>
        <w:rPr>
          <w:rFonts w:hint="eastAsia" w:ascii="宋体" w:hAnsi="宋体" w:eastAsia="宋体" w:cs="宋体"/>
          <w:color w:val="auto"/>
          <w:sz w:val="21"/>
          <w:szCs w:val="21"/>
          <w:highlight w:val="none"/>
          <w:u w:val="single"/>
        </w:rPr>
        <w:t xml:space="preserve"> 90 </w:t>
      </w:r>
      <w:r>
        <w:rPr>
          <w:rFonts w:hint="eastAsia" w:ascii="宋体" w:hAnsi="宋体" w:eastAsia="宋体" w:cs="宋体"/>
          <w:color w:val="auto"/>
          <w:sz w:val="21"/>
          <w:szCs w:val="21"/>
          <w:highlight w:val="none"/>
        </w:rPr>
        <w:t>天内发出开工通知的，承包人有权提出价格调整要求，或者解除合同。</w:t>
      </w:r>
    </w:p>
    <w:bookmarkEnd w:id="214"/>
    <w:bookmarkEnd w:id="215"/>
    <w:bookmarkEnd w:id="216"/>
    <w:bookmarkEnd w:id="217"/>
    <w:bookmarkEnd w:id="218"/>
    <w:bookmarkEnd w:id="219"/>
    <w:bookmarkEnd w:id="220"/>
    <w:p w14:paraId="0A0FD1D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 测量放线</w:t>
      </w:r>
    </w:p>
    <w:p w14:paraId="303B9BF8">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7.4.1发包人向承包人提供测量基准点、基准线和水准点及其书面资料的期限：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2BE04CC">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221" w:name="_Toc312677484"/>
      <w:bookmarkStart w:id="222" w:name="_Toc297123516"/>
      <w:bookmarkStart w:id="223" w:name="_Toc303539125"/>
      <w:bookmarkStart w:id="224" w:name="_Toc312678010"/>
      <w:bookmarkStart w:id="225" w:name="_Toc297216175"/>
      <w:bookmarkStart w:id="226" w:name="_Toc304295546"/>
      <w:bookmarkStart w:id="227" w:name="_Toc300934968"/>
      <w:r>
        <w:rPr>
          <w:rFonts w:hint="eastAsia" w:ascii="宋体" w:hAnsi="宋体" w:eastAsia="宋体" w:cs="宋体"/>
          <w:color w:val="auto"/>
          <w:sz w:val="21"/>
          <w:szCs w:val="21"/>
          <w:highlight w:val="none"/>
        </w:rPr>
        <w:t>.5 工期延误</w:t>
      </w:r>
    </w:p>
    <w:bookmarkEnd w:id="221"/>
    <w:bookmarkEnd w:id="222"/>
    <w:bookmarkEnd w:id="223"/>
    <w:bookmarkEnd w:id="224"/>
    <w:bookmarkEnd w:id="225"/>
    <w:bookmarkEnd w:id="226"/>
    <w:bookmarkEnd w:id="227"/>
    <w:p w14:paraId="5D7D425B">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7.5.1 因发包人原因导致工期延误</w:t>
      </w:r>
    </w:p>
    <w:p w14:paraId="22A7D9BB">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（7）因发包人原因导致工期延误的其他情形：</w:t>
      </w:r>
    </w:p>
    <w:p w14:paraId="641FB940">
      <w:pPr>
        <w:adjustRightInd w:val="0"/>
        <w:snapToGrid w:val="0"/>
        <w:spacing w:line="360" w:lineRule="auto"/>
        <w:ind w:firstLine="415" w:firstLineChars="198"/>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①重大工程方案变更引起的工期延误  </w:t>
      </w:r>
      <w:r>
        <w:rPr>
          <w:rFonts w:hint="eastAsia" w:ascii="宋体" w:hAnsi="宋体" w:eastAsia="宋体" w:cs="宋体"/>
          <w:color w:val="auto"/>
          <w:sz w:val="21"/>
          <w:szCs w:val="21"/>
          <w:highlight w:val="none"/>
        </w:rPr>
        <w:t>；</w:t>
      </w:r>
    </w:p>
    <w:p w14:paraId="070D32F5">
      <w:pPr>
        <w:adjustRightInd w:val="0"/>
        <w:snapToGrid w:val="0"/>
        <w:spacing w:line="360" w:lineRule="auto"/>
        <w:ind w:firstLine="438" w:firstLineChars="209"/>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②其他：     /     </w:t>
      </w:r>
      <w:r>
        <w:rPr>
          <w:rFonts w:hint="eastAsia" w:ascii="宋体" w:hAnsi="宋体" w:eastAsia="宋体" w:cs="宋体"/>
          <w:color w:val="auto"/>
          <w:sz w:val="21"/>
          <w:szCs w:val="21"/>
          <w:highlight w:val="none"/>
        </w:rPr>
        <w:t>。</w:t>
      </w:r>
    </w:p>
    <w:p w14:paraId="2B5A9E50">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228" w:name="_Toc304295548"/>
      <w:bookmarkStart w:id="229" w:name="_Toc318581169"/>
      <w:bookmarkStart w:id="230" w:name="_Toc297123518"/>
      <w:bookmarkStart w:id="231" w:name="_Toc312677486"/>
      <w:bookmarkStart w:id="232" w:name="_Toc297216177"/>
      <w:bookmarkStart w:id="233" w:name="_Toc312678012"/>
      <w:bookmarkStart w:id="234" w:name="_Toc303539127"/>
      <w:bookmarkStart w:id="235" w:name="_Toc300934970"/>
      <w:r>
        <w:rPr>
          <w:rFonts w:hint="eastAsia" w:ascii="宋体" w:hAnsi="宋体" w:eastAsia="宋体" w:cs="宋体"/>
          <w:color w:val="auto"/>
          <w:sz w:val="21"/>
          <w:szCs w:val="21"/>
          <w:highlight w:val="none"/>
        </w:rPr>
        <w:t>.5.2 因承包人原因导致工期延误</w:t>
      </w:r>
    </w:p>
    <w:bookmarkEnd w:id="228"/>
    <w:bookmarkEnd w:id="229"/>
    <w:bookmarkEnd w:id="230"/>
    <w:bookmarkEnd w:id="231"/>
    <w:bookmarkEnd w:id="232"/>
    <w:bookmarkEnd w:id="233"/>
    <w:bookmarkEnd w:id="234"/>
    <w:bookmarkEnd w:id="235"/>
    <w:p w14:paraId="10023533">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因</w:t>
      </w:r>
      <w:bookmarkStart w:id="236" w:name="_Toc312677487"/>
      <w:bookmarkStart w:id="237" w:name="_Toc312678013"/>
      <w:bookmarkStart w:id="238" w:name="_Toc318581170"/>
      <w:r>
        <w:rPr>
          <w:rFonts w:hint="eastAsia" w:ascii="宋体" w:hAnsi="宋体" w:eastAsia="宋体" w:cs="宋体"/>
          <w:color w:val="auto"/>
          <w:sz w:val="21"/>
          <w:szCs w:val="21"/>
          <w:highlight w:val="none"/>
        </w:rPr>
        <w:t>承包人原因造成工期延误，逾期竣工违约金的计算方法为：</w:t>
      </w:r>
      <w:r>
        <w:rPr>
          <w:rFonts w:hint="eastAsia" w:ascii="宋体" w:hAnsi="宋体" w:eastAsia="宋体" w:cs="宋体"/>
          <w:color w:val="auto"/>
          <w:sz w:val="21"/>
          <w:szCs w:val="21"/>
          <w:highlight w:val="none"/>
          <w:u w:val="single"/>
        </w:rPr>
        <w:t>工期延误按人民币4000元/天计算</w:t>
      </w:r>
      <w:bookmarkEnd w:id="236"/>
      <w:bookmarkEnd w:id="237"/>
      <w:r>
        <w:rPr>
          <w:rFonts w:hint="eastAsia" w:ascii="宋体" w:hAnsi="宋体" w:eastAsia="宋体" w:cs="宋体"/>
          <w:color w:val="auto"/>
          <w:sz w:val="21"/>
          <w:szCs w:val="21"/>
          <w:highlight w:val="none"/>
          <w:u w:val="single"/>
        </w:rPr>
        <w:t>。违约金直接从工程款中扣除。（计算逾期竣工违约金时，将发包人组织的初步验收通过时间视为竣工日期时间，合同工期不变）</w:t>
      </w:r>
    </w:p>
    <w:bookmarkEnd w:id="238"/>
    <w:p w14:paraId="523E993A">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因承包人原因造成工期延误，逾</w:t>
      </w:r>
      <w:bookmarkStart w:id="239" w:name="_Toc318581171"/>
      <w:bookmarkStart w:id="240" w:name="_Toc312678014"/>
      <w:r>
        <w:rPr>
          <w:rFonts w:hint="eastAsia" w:ascii="宋体" w:hAnsi="宋体" w:eastAsia="宋体" w:cs="宋体"/>
          <w:color w:val="auto"/>
          <w:sz w:val="21"/>
          <w:szCs w:val="21"/>
          <w:highlight w:val="none"/>
        </w:rPr>
        <w:t>期竣工违约金的上限：</w:t>
      </w:r>
      <w:r>
        <w:rPr>
          <w:rFonts w:hint="eastAsia" w:ascii="宋体" w:hAnsi="宋体" w:eastAsia="宋体" w:cs="宋体"/>
          <w:color w:val="auto"/>
          <w:sz w:val="21"/>
          <w:szCs w:val="21"/>
          <w:highlight w:val="none"/>
          <w:u w:val="single"/>
        </w:rPr>
        <w:t>合同价款的2.5%</w:t>
      </w:r>
      <w:r>
        <w:rPr>
          <w:rFonts w:hint="eastAsia" w:ascii="宋体" w:hAnsi="宋体" w:eastAsia="宋体" w:cs="宋体"/>
          <w:color w:val="auto"/>
          <w:sz w:val="21"/>
          <w:szCs w:val="21"/>
          <w:highlight w:val="none"/>
        </w:rPr>
        <w:t>。</w:t>
      </w:r>
    </w:p>
    <w:bookmarkEnd w:id="239"/>
    <w:bookmarkEnd w:id="240"/>
    <w:p w14:paraId="6246952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241" w:name="_Toc300934971"/>
      <w:bookmarkStart w:id="242" w:name="_Toc312678015"/>
      <w:bookmarkStart w:id="243" w:name="_Toc304295549"/>
      <w:bookmarkStart w:id="244" w:name="_Toc297123519"/>
      <w:bookmarkStart w:id="245" w:name="_Toc303539128"/>
      <w:bookmarkStart w:id="246" w:name="_Toc297216178"/>
      <w:r>
        <w:rPr>
          <w:rFonts w:hint="eastAsia" w:ascii="宋体" w:hAnsi="宋体" w:eastAsia="宋体" w:cs="宋体"/>
          <w:color w:val="auto"/>
          <w:sz w:val="21"/>
          <w:szCs w:val="21"/>
          <w:highlight w:val="none"/>
        </w:rPr>
        <w:t>.6 不</w:t>
      </w:r>
      <w:bookmarkEnd w:id="241"/>
      <w:bookmarkEnd w:id="242"/>
      <w:bookmarkEnd w:id="243"/>
      <w:bookmarkEnd w:id="244"/>
      <w:bookmarkEnd w:id="245"/>
      <w:bookmarkEnd w:id="246"/>
      <w:r>
        <w:rPr>
          <w:rFonts w:hint="eastAsia" w:ascii="宋体" w:hAnsi="宋体" w:eastAsia="宋体" w:cs="宋体"/>
          <w:color w:val="auto"/>
          <w:sz w:val="21"/>
          <w:szCs w:val="21"/>
          <w:highlight w:val="none"/>
        </w:rPr>
        <w:t>利物质条件</w:t>
      </w:r>
    </w:p>
    <w:p w14:paraId="17840537">
      <w:pPr>
        <w:adjustRightInd w:val="0"/>
        <w:snapToGrid w:val="0"/>
        <w:spacing w:line="360" w:lineRule="auto"/>
        <w:ind w:firstLine="420" w:firstLineChars="200"/>
        <w:jc w:val="left"/>
        <w:rPr>
          <w:rFonts w:hint="eastAsia" w:ascii="宋体" w:hAnsi="宋体" w:eastAsia="宋体" w:cs="宋体"/>
          <w:color w:val="auto"/>
          <w:sz w:val="21"/>
          <w:szCs w:val="21"/>
          <w:highlight w:val="none"/>
        </w:rPr>
      </w:pPr>
      <w:bookmarkStart w:id="247" w:name="_Toc297216179"/>
      <w:bookmarkStart w:id="248" w:name="_Toc303539129"/>
      <w:bookmarkStart w:id="249" w:name="_Toc312678016"/>
      <w:bookmarkStart w:id="250" w:name="_Toc304295550"/>
      <w:bookmarkStart w:id="251" w:name="_Toc297123520"/>
      <w:bookmarkStart w:id="252" w:name="_Toc318581172"/>
      <w:bookmarkStart w:id="253" w:name="_Toc300934972"/>
      <w:r>
        <w:rPr>
          <w:rFonts w:hint="eastAsia" w:ascii="宋体" w:hAnsi="宋体" w:eastAsia="宋体" w:cs="宋体"/>
          <w:color w:val="auto"/>
          <w:sz w:val="21"/>
          <w:szCs w:val="21"/>
          <w:highlight w:val="none"/>
        </w:rPr>
        <w:t>不利物质条件的其他情形和有关约定：</w:t>
      </w:r>
    </w:p>
    <w:p w14:paraId="7A6654C6">
      <w:pPr>
        <w:adjustRightInd w:val="0"/>
        <w:snapToGrid w:val="0"/>
        <w:spacing w:line="360" w:lineRule="auto"/>
        <w:ind w:firstLine="415" w:firstLineChars="198"/>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（1）施工场地周围地下管线</w:t>
      </w:r>
      <w:r>
        <w:rPr>
          <w:rFonts w:hint="eastAsia" w:ascii="宋体" w:hAnsi="宋体" w:eastAsia="宋体" w:cs="宋体"/>
          <w:color w:val="auto"/>
          <w:sz w:val="21"/>
          <w:szCs w:val="21"/>
          <w:highlight w:val="none"/>
        </w:rPr>
        <w:t>；</w:t>
      </w:r>
    </w:p>
    <w:p w14:paraId="77BF4C41">
      <w:pPr>
        <w:adjustRightInd w:val="0"/>
        <w:snapToGrid w:val="0"/>
        <w:spacing w:line="360" w:lineRule="auto"/>
        <w:ind w:firstLine="415" w:firstLineChars="198"/>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（2）地下障碍物和污染物</w:t>
      </w:r>
      <w:r>
        <w:rPr>
          <w:rFonts w:hint="eastAsia" w:ascii="宋体" w:hAnsi="宋体" w:eastAsia="宋体" w:cs="宋体"/>
          <w:color w:val="auto"/>
          <w:sz w:val="21"/>
          <w:szCs w:val="21"/>
          <w:highlight w:val="none"/>
        </w:rPr>
        <w:t>；</w:t>
      </w:r>
    </w:p>
    <w:p w14:paraId="603E8C69">
      <w:pPr>
        <w:adjustRightInd w:val="0"/>
        <w:snapToGrid w:val="0"/>
        <w:spacing w:line="360" w:lineRule="auto"/>
        <w:ind w:firstLine="415" w:firstLineChars="198"/>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（3）邻近建筑物、构筑物的保护要求</w:t>
      </w:r>
      <w:r>
        <w:rPr>
          <w:rFonts w:hint="eastAsia" w:ascii="宋体" w:hAnsi="宋体" w:eastAsia="宋体" w:cs="宋体"/>
          <w:color w:val="auto"/>
          <w:sz w:val="21"/>
          <w:szCs w:val="21"/>
          <w:highlight w:val="none"/>
        </w:rPr>
        <w:t>；</w:t>
      </w:r>
    </w:p>
    <w:p w14:paraId="570FA1AA">
      <w:pPr>
        <w:adjustRightInd w:val="0"/>
        <w:snapToGrid w:val="0"/>
        <w:spacing w:line="360" w:lineRule="auto"/>
        <w:ind w:firstLine="415" w:firstLineChars="198"/>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（4）其他</w:t>
      </w:r>
      <w:r>
        <w:rPr>
          <w:rFonts w:hint="eastAsia" w:ascii="宋体" w:hAnsi="宋体" w:eastAsia="宋体" w:cs="宋体"/>
          <w:color w:val="auto"/>
          <w:sz w:val="21"/>
          <w:szCs w:val="21"/>
          <w:highlight w:val="none"/>
        </w:rPr>
        <w:t>。</w:t>
      </w:r>
    </w:p>
    <w:bookmarkEnd w:id="247"/>
    <w:bookmarkEnd w:id="248"/>
    <w:bookmarkEnd w:id="249"/>
    <w:bookmarkEnd w:id="250"/>
    <w:bookmarkEnd w:id="251"/>
    <w:bookmarkEnd w:id="252"/>
    <w:bookmarkEnd w:id="253"/>
    <w:p w14:paraId="7A8A200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254" w:name="_Toc297216180"/>
      <w:bookmarkStart w:id="255" w:name="_Toc303539130"/>
      <w:bookmarkStart w:id="256" w:name="_Toc300934973"/>
      <w:bookmarkStart w:id="257" w:name="_Toc312678017"/>
      <w:bookmarkStart w:id="258" w:name="_Toc304295551"/>
      <w:bookmarkStart w:id="259" w:name="_Toc297123521"/>
      <w:r>
        <w:rPr>
          <w:rFonts w:hint="eastAsia" w:ascii="宋体" w:hAnsi="宋体" w:eastAsia="宋体" w:cs="宋体"/>
          <w:color w:val="auto"/>
          <w:sz w:val="21"/>
          <w:szCs w:val="21"/>
          <w:highlight w:val="none"/>
        </w:rPr>
        <w:t>.7异常恶劣的气候条件</w:t>
      </w:r>
    </w:p>
    <w:bookmarkEnd w:id="254"/>
    <w:bookmarkEnd w:id="255"/>
    <w:bookmarkEnd w:id="256"/>
    <w:bookmarkEnd w:id="257"/>
    <w:bookmarkEnd w:id="258"/>
    <w:bookmarkEnd w:id="259"/>
    <w:p w14:paraId="6F2FE471">
      <w:pPr>
        <w:adjustRightInd w:val="0"/>
        <w:snapToGrid w:val="0"/>
        <w:spacing w:line="360" w:lineRule="auto"/>
        <w:ind w:firstLine="420" w:firstLineChars="20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发包人和承包人同意以下情形视为异常恶劣的气候条件：</w:t>
      </w:r>
      <w:r>
        <w:rPr>
          <w:rFonts w:hint="eastAsia" w:ascii="宋体" w:hAnsi="宋体" w:eastAsia="宋体" w:cs="宋体"/>
          <w:color w:val="auto"/>
          <w:sz w:val="21"/>
          <w:szCs w:val="21"/>
          <w:highlight w:val="none"/>
          <w:u w:val="single"/>
        </w:rPr>
        <w:t>日最高气温达到40 度及以上的天气；启动台风橙色及以上的预警的天气；启动防汛预案一级响应的天气；启动防冻预案一级响应的天气</w:t>
      </w:r>
      <w:r>
        <w:rPr>
          <w:rFonts w:hint="eastAsia" w:ascii="宋体" w:hAnsi="宋体" w:eastAsia="宋体" w:cs="宋体"/>
          <w:color w:val="auto"/>
          <w:sz w:val="21"/>
          <w:szCs w:val="21"/>
          <w:highlight w:val="none"/>
        </w:rPr>
        <w:t>。</w:t>
      </w:r>
    </w:p>
    <w:p w14:paraId="3BDCDDA6">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7.9 提前竣工的奖励</w:t>
      </w:r>
    </w:p>
    <w:p w14:paraId="572F4AE4">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7.9.2提前竣工的奖励：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05A39BD">
      <w:pPr>
        <w:keepNext/>
        <w:keepLines/>
        <w:widowControl w:val="0"/>
        <w:numPr>
          <w:ilvl w:val="3"/>
          <w:numId w:val="0"/>
        </w:numPr>
        <w:adjustRightInd w:val="0"/>
        <w:snapToGrid w:val="0"/>
        <w:spacing w:before="280" w:after="290" w:line="360" w:lineRule="auto"/>
        <w:ind w:left="426"/>
        <w:jc w:val="both"/>
        <w:outlineLvl w:val="3"/>
        <w:rPr>
          <w:rFonts w:hint="eastAsia" w:ascii="宋体" w:hAnsi="宋体" w:eastAsia="宋体" w:cs="宋体"/>
          <w:b/>
          <w:bCs/>
          <w:color w:val="auto"/>
          <w:kern w:val="2"/>
          <w:sz w:val="21"/>
          <w:szCs w:val="21"/>
          <w:highlight w:val="none"/>
          <w:lang w:val="en-US" w:eastAsia="zh-CN" w:bidi="ar-SA"/>
        </w:rPr>
      </w:pPr>
      <w:bookmarkStart w:id="260" w:name="_Toc351203640"/>
      <w:r>
        <w:rPr>
          <w:rFonts w:hint="eastAsia" w:ascii="宋体" w:hAnsi="宋体" w:eastAsia="宋体" w:cs="宋体"/>
          <w:b/>
          <w:bCs/>
          <w:color w:val="auto"/>
          <w:kern w:val="2"/>
          <w:sz w:val="21"/>
          <w:szCs w:val="21"/>
          <w:highlight w:val="none"/>
          <w:lang w:val="en-US" w:eastAsia="zh-CN" w:bidi="ar-SA"/>
        </w:rPr>
        <w:t>8. 材料与设备</w:t>
      </w:r>
      <w:bookmarkEnd w:id="260"/>
    </w:p>
    <w:bookmarkEnd w:id="195"/>
    <w:bookmarkEnd w:id="196"/>
    <w:bookmarkEnd w:id="197"/>
    <w:bookmarkEnd w:id="198"/>
    <w:bookmarkEnd w:id="199"/>
    <w:bookmarkEnd w:id="200"/>
    <w:bookmarkEnd w:id="201"/>
    <w:bookmarkEnd w:id="202"/>
    <w:bookmarkEnd w:id="203"/>
    <w:bookmarkEnd w:id="204"/>
    <w:p w14:paraId="7445997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bookmarkStart w:id="261" w:name="_Toc297216186"/>
      <w:bookmarkStart w:id="262" w:name="_Toc296890995"/>
      <w:bookmarkStart w:id="263" w:name="_Toc297123527"/>
      <w:bookmarkStart w:id="264" w:name="_Toc312677493"/>
      <w:bookmarkStart w:id="265" w:name="_Toc280868654"/>
      <w:bookmarkStart w:id="266" w:name="_Toc303539136"/>
      <w:bookmarkStart w:id="267" w:name="_Toc296503167"/>
      <w:bookmarkStart w:id="268" w:name="_Toc296944506"/>
      <w:bookmarkStart w:id="269" w:name="_Toc296347166"/>
      <w:bookmarkStart w:id="270" w:name="_Toc304295556"/>
      <w:bookmarkStart w:id="271" w:name="_Toc292559372"/>
      <w:bookmarkStart w:id="272" w:name="_Toc296891207"/>
      <w:bookmarkStart w:id="273" w:name="_Toc296346668"/>
      <w:bookmarkStart w:id="274" w:name="_Toc297120467"/>
      <w:bookmarkStart w:id="275" w:name="_Toc312678019"/>
      <w:bookmarkStart w:id="276" w:name="_Toc292559877"/>
      <w:bookmarkStart w:id="277" w:name="_Toc300934979"/>
      <w:bookmarkStart w:id="278" w:name="_Toc297048353"/>
      <w:bookmarkStart w:id="279" w:name="_Toc267251424"/>
      <w:bookmarkStart w:id="280" w:name="_Toc280868655"/>
      <w:bookmarkStart w:id="281" w:name="_Toc280868656"/>
      <w:r>
        <w:rPr>
          <w:rFonts w:hint="eastAsia" w:ascii="宋体" w:hAnsi="宋体" w:eastAsia="宋体" w:cs="宋体"/>
          <w:color w:val="auto"/>
          <w:sz w:val="21"/>
          <w:szCs w:val="21"/>
          <w:highlight w:val="none"/>
        </w:rPr>
        <w:t>.4材料与工程设备的保管与使用</w:t>
      </w:r>
    </w:p>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14:paraId="64E1655D">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8</w:t>
      </w:r>
      <w:bookmarkStart w:id="282" w:name="_Toc292559878"/>
      <w:bookmarkStart w:id="283" w:name="_Toc292559373"/>
      <w:bookmarkStart w:id="284" w:name="_Toc296944507"/>
      <w:bookmarkStart w:id="285" w:name="_Toc303539137"/>
      <w:bookmarkStart w:id="286" w:name="_Toc297048354"/>
      <w:bookmarkStart w:id="287" w:name="_Toc300934980"/>
      <w:bookmarkStart w:id="288" w:name="_Toc318581173"/>
      <w:bookmarkStart w:id="289" w:name="_Toc312677494"/>
      <w:bookmarkStart w:id="290" w:name="_Toc296346669"/>
      <w:bookmarkStart w:id="291" w:name="_Toc297216187"/>
      <w:bookmarkStart w:id="292" w:name="_Toc296347167"/>
      <w:bookmarkStart w:id="293" w:name="_Toc297123528"/>
      <w:bookmarkStart w:id="294" w:name="_Toc296503168"/>
      <w:bookmarkStart w:id="295" w:name="_Toc296890996"/>
      <w:bookmarkStart w:id="296" w:name="_Toc297120468"/>
      <w:bookmarkStart w:id="297" w:name="_Toc312678020"/>
      <w:bookmarkStart w:id="298" w:name="_Toc296891208"/>
      <w:bookmarkStart w:id="299" w:name="_Toc304295557"/>
      <w:r>
        <w:rPr>
          <w:rFonts w:hint="eastAsia" w:ascii="宋体" w:hAnsi="宋体" w:eastAsia="宋体" w:cs="宋体"/>
          <w:color w:val="auto"/>
          <w:sz w:val="21"/>
          <w:szCs w:val="21"/>
          <w:highlight w:val="none"/>
        </w:rPr>
        <w:t>.4.1发包人供应的材料设备的保管费用的承担：</w:t>
      </w:r>
      <w:r>
        <w:rPr>
          <w:rFonts w:hint="eastAsia" w:ascii="宋体" w:hAnsi="宋体" w:eastAsia="宋体" w:cs="宋体"/>
          <w:color w:val="auto"/>
          <w:sz w:val="21"/>
          <w:szCs w:val="21"/>
          <w:highlight w:val="none"/>
          <w:u w:val="single"/>
        </w:rPr>
        <w:t xml:space="preserve">  </w:t>
      </w:r>
      <w:bookmarkEnd w:id="282"/>
      <w:bookmarkEnd w:id="283"/>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56065F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8.6 样品</w:t>
      </w:r>
    </w:p>
    <w:p w14:paraId="0602FC4D">
      <w:pPr>
        <w:autoSpaceDE w:val="0"/>
        <w:autoSpaceDN w:val="0"/>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8.6.1样品的报送与封存</w:t>
      </w:r>
    </w:p>
    <w:p w14:paraId="705A4D76">
      <w:pPr>
        <w:autoSpaceDE w:val="0"/>
        <w:autoSpaceDN w:val="0"/>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需要承包人报送样品的材料或工程设备，样品的种类、名称、规格、数量要求：</w:t>
      </w:r>
      <w:r>
        <w:rPr>
          <w:rFonts w:hint="eastAsia" w:ascii="宋体" w:hAnsi="宋体" w:eastAsia="宋体" w:cs="宋体"/>
          <w:color w:val="auto"/>
          <w:sz w:val="21"/>
          <w:szCs w:val="21"/>
          <w:highlight w:val="none"/>
          <w:u w:val="single"/>
        </w:rPr>
        <w:t>按有关规定和发包人要求执行</w:t>
      </w:r>
      <w:r>
        <w:rPr>
          <w:rFonts w:hint="eastAsia" w:ascii="宋体" w:hAnsi="宋体" w:eastAsia="宋体" w:cs="宋体"/>
          <w:color w:val="auto"/>
          <w:sz w:val="21"/>
          <w:szCs w:val="21"/>
          <w:highlight w:val="none"/>
        </w:rPr>
        <w:t>。</w:t>
      </w:r>
    </w:p>
    <w:p w14:paraId="03B20AD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8.8 施工设备和临时设施</w:t>
      </w:r>
    </w:p>
    <w:p w14:paraId="3F0D30CE">
      <w:pPr>
        <w:autoSpaceDE w:val="0"/>
        <w:autoSpaceDN w:val="0"/>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8.8.1 承包人提供的施工设备和临时设施</w:t>
      </w:r>
    </w:p>
    <w:p w14:paraId="321044D0">
      <w:pPr>
        <w:autoSpaceDE w:val="0"/>
        <w:autoSpaceDN w:val="0"/>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关于修建临时设施费用承担的约定：</w:t>
      </w:r>
      <w:r>
        <w:rPr>
          <w:rFonts w:hint="eastAsia" w:ascii="宋体" w:hAnsi="宋体" w:eastAsia="宋体" w:cs="宋体"/>
          <w:color w:val="auto"/>
          <w:sz w:val="21"/>
          <w:szCs w:val="21"/>
          <w:highlight w:val="none"/>
          <w:u w:val="single"/>
        </w:rPr>
        <w:t>按通用条款约定</w:t>
      </w:r>
    </w:p>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14:paraId="5699E378">
      <w:pPr>
        <w:keepNext/>
        <w:keepLines/>
        <w:widowControl w:val="0"/>
        <w:numPr>
          <w:ilvl w:val="3"/>
          <w:numId w:val="0"/>
        </w:numPr>
        <w:adjustRightInd w:val="0"/>
        <w:snapToGrid w:val="0"/>
        <w:spacing w:before="280" w:after="290" w:line="360" w:lineRule="auto"/>
        <w:ind w:left="426"/>
        <w:jc w:val="both"/>
        <w:outlineLvl w:val="3"/>
        <w:rPr>
          <w:rFonts w:hint="eastAsia" w:ascii="宋体" w:hAnsi="宋体" w:eastAsia="宋体" w:cs="宋体"/>
          <w:b/>
          <w:bCs/>
          <w:color w:val="auto"/>
          <w:kern w:val="2"/>
          <w:sz w:val="21"/>
          <w:szCs w:val="21"/>
          <w:highlight w:val="none"/>
          <w:lang w:val="en-US" w:eastAsia="zh-CN" w:bidi="ar-SA"/>
        </w:rPr>
      </w:pPr>
      <w:bookmarkStart w:id="300" w:name="_Toc351203641"/>
      <w:r>
        <w:rPr>
          <w:rFonts w:hint="eastAsia" w:ascii="宋体" w:hAnsi="宋体" w:eastAsia="宋体" w:cs="宋体"/>
          <w:b/>
          <w:bCs/>
          <w:color w:val="auto"/>
          <w:kern w:val="2"/>
          <w:sz w:val="21"/>
          <w:szCs w:val="21"/>
          <w:highlight w:val="none"/>
          <w:lang w:val="en-US" w:eastAsia="zh-CN" w:bidi="ar-SA"/>
        </w:rPr>
        <w:t>9</w:t>
      </w:r>
      <w:bookmarkEnd w:id="279"/>
      <w:bookmarkEnd w:id="280"/>
      <w:bookmarkEnd w:id="281"/>
      <w:bookmarkStart w:id="301" w:name="_Toc312678021"/>
      <w:bookmarkStart w:id="302" w:name="_Toc300934982"/>
      <w:bookmarkStart w:id="303" w:name="_Toc312677495"/>
      <w:bookmarkStart w:id="304" w:name="_Toc297216192"/>
      <w:bookmarkStart w:id="305" w:name="_Toc304295559"/>
      <w:bookmarkStart w:id="306" w:name="_Toc297123533"/>
      <w:bookmarkStart w:id="307" w:name="_Toc303539139"/>
      <w:bookmarkStart w:id="308" w:name="_Toc267251427"/>
      <w:bookmarkStart w:id="309" w:name="_Toc267251428"/>
      <w:bookmarkStart w:id="310" w:name="_Toc296944512"/>
      <w:bookmarkStart w:id="311" w:name="_Toc296891213"/>
      <w:bookmarkStart w:id="312" w:name="_Toc296347172"/>
      <w:bookmarkStart w:id="313" w:name="_Toc296891001"/>
      <w:bookmarkStart w:id="314" w:name="_Toc297048359"/>
      <w:bookmarkStart w:id="315" w:name="_Toc297120473"/>
      <w:bookmarkStart w:id="316" w:name="_Toc296503173"/>
      <w:bookmarkStart w:id="317" w:name="_Toc296346674"/>
      <w:bookmarkStart w:id="318" w:name="_Toc292559378"/>
      <w:bookmarkStart w:id="319" w:name="_Toc292559883"/>
      <w:r>
        <w:rPr>
          <w:rFonts w:hint="eastAsia" w:ascii="宋体" w:hAnsi="宋体" w:eastAsia="宋体" w:cs="宋体"/>
          <w:b/>
          <w:bCs/>
          <w:color w:val="auto"/>
          <w:kern w:val="2"/>
          <w:sz w:val="21"/>
          <w:szCs w:val="21"/>
          <w:highlight w:val="none"/>
          <w:lang w:val="en-US" w:eastAsia="zh-CN" w:bidi="ar-SA"/>
        </w:rPr>
        <w:t>. 试验与检验</w:t>
      </w:r>
      <w:bookmarkEnd w:id="300"/>
    </w:p>
    <w:bookmarkEnd w:id="301"/>
    <w:bookmarkEnd w:id="302"/>
    <w:bookmarkEnd w:id="303"/>
    <w:bookmarkEnd w:id="304"/>
    <w:bookmarkEnd w:id="305"/>
    <w:bookmarkEnd w:id="306"/>
    <w:bookmarkEnd w:id="307"/>
    <w:p w14:paraId="178DE6E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bookmarkStart w:id="320" w:name="_Toc304295560"/>
      <w:bookmarkStart w:id="321" w:name="_Toc297123534"/>
      <w:bookmarkStart w:id="322" w:name="_Toc303539140"/>
      <w:bookmarkStart w:id="323" w:name="_Toc312677496"/>
      <w:bookmarkStart w:id="324" w:name="_Toc300934983"/>
      <w:bookmarkStart w:id="325" w:name="_Toc297216193"/>
      <w:bookmarkStart w:id="326" w:name="_Toc312678022"/>
      <w:r>
        <w:rPr>
          <w:rFonts w:hint="eastAsia" w:ascii="宋体" w:hAnsi="宋体" w:eastAsia="宋体" w:cs="宋体"/>
          <w:color w:val="auto"/>
          <w:sz w:val="21"/>
          <w:szCs w:val="21"/>
          <w:highlight w:val="none"/>
        </w:rPr>
        <w:t>.1试验设备与试验人员</w:t>
      </w:r>
    </w:p>
    <w:bookmarkEnd w:id="320"/>
    <w:bookmarkEnd w:id="321"/>
    <w:bookmarkEnd w:id="322"/>
    <w:bookmarkEnd w:id="323"/>
    <w:bookmarkEnd w:id="324"/>
    <w:bookmarkEnd w:id="325"/>
    <w:bookmarkEnd w:id="326"/>
    <w:p w14:paraId="4DF927D0">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bookmarkStart w:id="327" w:name="_Toc300934984"/>
      <w:bookmarkStart w:id="328" w:name="_Toc297123535"/>
      <w:bookmarkStart w:id="329" w:name="_Toc304295561"/>
      <w:bookmarkStart w:id="330" w:name="_Toc303539141"/>
      <w:bookmarkStart w:id="331" w:name="_Toc312677497"/>
      <w:bookmarkStart w:id="332" w:name="_Toc312678023"/>
      <w:bookmarkStart w:id="333" w:name="_Toc297216194"/>
      <w:bookmarkStart w:id="334" w:name="_Toc318581174"/>
      <w:r>
        <w:rPr>
          <w:rFonts w:hint="eastAsia" w:ascii="宋体" w:hAnsi="宋体" w:eastAsia="宋体" w:cs="宋体"/>
          <w:color w:val="auto"/>
          <w:sz w:val="21"/>
          <w:szCs w:val="21"/>
          <w:highlight w:val="none"/>
        </w:rPr>
        <w:t>.1.2 试验设备</w:t>
      </w:r>
    </w:p>
    <w:bookmarkEnd w:id="327"/>
    <w:bookmarkEnd w:id="328"/>
    <w:bookmarkEnd w:id="329"/>
    <w:bookmarkEnd w:id="330"/>
    <w:bookmarkEnd w:id="331"/>
    <w:bookmarkEnd w:id="332"/>
    <w:bookmarkEnd w:id="333"/>
    <w:p w14:paraId="156A483D">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bookmarkStart w:id="335" w:name="_Toc304295562"/>
      <w:bookmarkStart w:id="336" w:name="_Toc312678024"/>
      <w:bookmarkStart w:id="337" w:name="_Toc297123536"/>
      <w:bookmarkStart w:id="338" w:name="_Toc300934985"/>
      <w:bookmarkStart w:id="339" w:name="_Toc303539142"/>
      <w:bookmarkStart w:id="340" w:name="_Toc312677498"/>
      <w:bookmarkStart w:id="341" w:name="_Toc297216195"/>
      <w:r>
        <w:rPr>
          <w:rFonts w:hint="eastAsia" w:ascii="宋体" w:hAnsi="宋体" w:eastAsia="宋体" w:cs="宋体"/>
          <w:color w:val="auto"/>
          <w:sz w:val="21"/>
          <w:szCs w:val="21"/>
          <w:highlight w:val="none"/>
        </w:rPr>
        <w:t>施工现场需要配置的试验场所：</w:t>
      </w:r>
      <w:r>
        <w:rPr>
          <w:rFonts w:hint="eastAsia" w:ascii="宋体" w:hAnsi="宋体" w:eastAsia="宋体" w:cs="宋体"/>
          <w:color w:val="auto"/>
          <w:sz w:val="21"/>
          <w:szCs w:val="21"/>
          <w:highlight w:val="none"/>
          <w:u w:val="single"/>
        </w:rPr>
        <w:t>按有关规定和发包人要求执行</w:t>
      </w:r>
      <w:r>
        <w:rPr>
          <w:rFonts w:hint="eastAsia" w:ascii="宋体" w:hAnsi="宋体" w:eastAsia="宋体" w:cs="宋体"/>
          <w:color w:val="auto"/>
          <w:sz w:val="21"/>
          <w:szCs w:val="21"/>
          <w:highlight w:val="none"/>
        </w:rPr>
        <w:t xml:space="preserve">。 </w:t>
      </w:r>
    </w:p>
    <w:p w14:paraId="3AB10B03">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施工现场需要配备的试验设备：</w:t>
      </w:r>
      <w:r>
        <w:rPr>
          <w:rFonts w:hint="eastAsia" w:ascii="宋体" w:hAnsi="宋体" w:eastAsia="宋体" w:cs="宋体"/>
          <w:color w:val="auto"/>
          <w:sz w:val="21"/>
          <w:szCs w:val="21"/>
          <w:highlight w:val="none"/>
          <w:u w:val="single"/>
        </w:rPr>
        <w:t>按有关规定和发包人要求执行</w:t>
      </w:r>
      <w:r>
        <w:rPr>
          <w:rFonts w:hint="eastAsia" w:ascii="宋体" w:hAnsi="宋体" w:eastAsia="宋体" w:cs="宋体"/>
          <w:color w:val="auto"/>
          <w:sz w:val="21"/>
          <w:szCs w:val="21"/>
          <w:highlight w:val="none"/>
        </w:rPr>
        <w:t>。</w:t>
      </w:r>
    </w:p>
    <w:p w14:paraId="3D364874">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施工现场需要具备的其他试验条件：</w:t>
      </w:r>
      <w:r>
        <w:rPr>
          <w:rFonts w:hint="eastAsia" w:ascii="宋体" w:hAnsi="宋体" w:eastAsia="宋体" w:cs="宋体"/>
          <w:color w:val="auto"/>
          <w:sz w:val="21"/>
          <w:szCs w:val="21"/>
          <w:highlight w:val="none"/>
          <w:u w:val="single"/>
        </w:rPr>
        <w:t>按有关规定和发包人要求执行</w:t>
      </w:r>
      <w:r>
        <w:rPr>
          <w:rFonts w:hint="eastAsia" w:ascii="宋体" w:hAnsi="宋体" w:eastAsia="宋体" w:cs="宋体"/>
          <w:color w:val="auto"/>
          <w:sz w:val="21"/>
          <w:szCs w:val="21"/>
          <w:highlight w:val="none"/>
        </w:rPr>
        <w:t>。</w:t>
      </w:r>
    </w:p>
    <w:p w14:paraId="215CD7C6">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9.3材料、工程设备和工程的试验和检验</w:t>
      </w:r>
    </w:p>
    <w:p w14:paraId="15507584">
      <w:pPr>
        <w:adjustRightInd w:val="0"/>
        <w:snapToGrid w:val="0"/>
        <w:spacing w:line="360" w:lineRule="auto"/>
        <w:ind w:firstLine="398" w:firstLineChars="189"/>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试验、检测单位资质条件约定：</w:t>
      </w:r>
      <w:r>
        <w:rPr>
          <w:rFonts w:hint="eastAsia" w:ascii="宋体" w:hAnsi="宋体" w:eastAsia="宋体" w:cs="宋体"/>
          <w:b/>
          <w:color w:val="auto"/>
          <w:sz w:val="21"/>
          <w:szCs w:val="21"/>
          <w:highlight w:val="none"/>
          <w:u w:val="single"/>
        </w:rPr>
        <w:t>按有关规定和发包人要求执行</w:t>
      </w:r>
      <w:r>
        <w:rPr>
          <w:rFonts w:hint="eastAsia" w:ascii="宋体" w:hAnsi="宋体" w:eastAsia="宋体" w:cs="宋体"/>
          <w:b/>
          <w:color w:val="auto"/>
          <w:sz w:val="21"/>
          <w:szCs w:val="21"/>
          <w:highlight w:val="none"/>
        </w:rPr>
        <w:t>；</w:t>
      </w:r>
    </w:p>
    <w:p w14:paraId="0009C120">
      <w:pPr>
        <w:adjustRightInd w:val="0"/>
        <w:snapToGrid w:val="0"/>
        <w:spacing w:line="360" w:lineRule="auto"/>
        <w:ind w:firstLine="398" w:firstLineChars="189"/>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试验、检测单位选择约定：</w:t>
      </w:r>
      <w:r>
        <w:rPr>
          <w:rFonts w:hint="eastAsia" w:ascii="宋体" w:hAnsi="宋体" w:eastAsia="宋体" w:cs="宋体"/>
          <w:b/>
          <w:color w:val="auto"/>
          <w:sz w:val="21"/>
          <w:szCs w:val="21"/>
          <w:highlight w:val="none"/>
          <w:u w:val="single"/>
        </w:rPr>
        <w:t>按有关规定和发包人要求执行</w:t>
      </w:r>
      <w:r>
        <w:rPr>
          <w:rFonts w:hint="eastAsia" w:ascii="宋体" w:hAnsi="宋体" w:eastAsia="宋体" w:cs="宋体"/>
          <w:b/>
          <w:color w:val="auto"/>
          <w:sz w:val="21"/>
          <w:szCs w:val="21"/>
          <w:highlight w:val="none"/>
        </w:rPr>
        <w:t>；</w:t>
      </w:r>
    </w:p>
    <w:p w14:paraId="1DEF403C">
      <w:pPr>
        <w:adjustRightInd w:val="0"/>
        <w:snapToGrid w:val="0"/>
        <w:spacing w:line="360" w:lineRule="auto"/>
        <w:ind w:firstLine="398" w:firstLineChars="189"/>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试验、检测费用约定：</w:t>
      </w:r>
      <w:r>
        <w:rPr>
          <w:rFonts w:hint="eastAsia" w:ascii="宋体" w:hAnsi="宋体" w:eastAsia="宋体" w:cs="宋体"/>
          <w:b/>
          <w:color w:val="auto"/>
          <w:sz w:val="21"/>
          <w:szCs w:val="21"/>
          <w:highlight w:val="none"/>
          <w:u w:val="single"/>
        </w:rPr>
        <w:t>工程有关试验、检测费用由承包人承担（政府有关部门明确规定需要发包人支付的除外），并已包含在合同价款中，不再另行计算</w:t>
      </w:r>
      <w:r>
        <w:rPr>
          <w:rFonts w:hint="eastAsia" w:ascii="宋体" w:hAnsi="宋体" w:eastAsia="宋体" w:cs="宋体"/>
          <w:b/>
          <w:color w:val="auto"/>
          <w:sz w:val="21"/>
          <w:szCs w:val="21"/>
          <w:highlight w:val="none"/>
        </w:rPr>
        <w:t>。</w:t>
      </w:r>
    </w:p>
    <w:p w14:paraId="3DD9AE4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 现场工艺试验 </w:t>
      </w:r>
    </w:p>
    <w:p w14:paraId="424B1652">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现场工艺试验的有关约定：</w:t>
      </w:r>
      <w:r>
        <w:rPr>
          <w:rFonts w:hint="eastAsia" w:ascii="宋体" w:hAnsi="宋体" w:eastAsia="宋体" w:cs="宋体"/>
          <w:color w:val="auto"/>
          <w:sz w:val="21"/>
          <w:szCs w:val="21"/>
          <w:highlight w:val="none"/>
          <w:u w:val="single"/>
        </w:rPr>
        <w:t xml:space="preserve">按有关规定和发包人要求执行    </w:t>
      </w:r>
      <w:r>
        <w:rPr>
          <w:rFonts w:hint="eastAsia" w:ascii="宋体" w:hAnsi="宋体" w:eastAsia="宋体" w:cs="宋体"/>
          <w:color w:val="auto"/>
          <w:sz w:val="21"/>
          <w:szCs w:val="21"/>
          <w:highlight w:val="none"/>
        </w:rPr>
        <w:t>。</w:t>
      </w:r>
    </w:p>
    <w:bookmarkEnd w:id="334"/>
    <w:bookmarkEnd w:id="335"/>
    <w:bookmarkEnd w:id="336"/>
    <w:bookmarkEnd w:id="337"/>
    <w:bookmarkEnd w:id="338"/>
    <w:bookmarkEnd w:id="339"/>
    <w:bookmarkEnd w:id="340"/>
    <w:bookmarkEnd w:id="341"/>
    <w:p w14:paraId="358BC101">
      <w:pPr>
        <w:keepNext/>
        <w:keepLines/>
        <w:widowControl w:val="0"/>
        <w:numPr>
          <w:ilvl w:val="3"/>
          <w:numId w:val="0"/>
        </w:numPr>
        <w:adjustRightInd w:val="0"/>
        <w:snapToGrid w:val="0"/>
        <w:spacing w:before="280" w:after="290" w:line="360" w:lineRule="auto"/>
        <w:ind w:left="426"/>
        <w:jc w:val="both"/>
        <w:outlineLvl w:val="3"/>
        <w:rPr>
          <w:rFonts w:hint="eastAsia" w:ascii="宋体" w:hAnsi="宋体" w:eastAsia="宋体" w:cs="宋体"/>
          <w:b/>
          <w:bCs/>
          <w:color w:val="auto"/>
          <w:kern w:val="2"/>
          <w:sz w:val="21"/>
          <w:szCs w:val="21"/>
          <w:highlight w:val="none"/>
          <w:lang w:val="en-US" w:eastAsia="zh-CN" w:bidi="ar-SA"/>
        </w:rPr>
      </w:pPr>
      <w:bookmarkStart w:id="342" w:name="_Toc351203642"/>
      <w:r>
        <w:rPr>
          <w:rFonts w:hint="eastAsia" w:ascii="宋体" w:hAnsi="宋体" w:eastAsia="宋体" w:cs="宋体"/>
          <w:b/>
          <w:bCs/>
          <w:color w:val="auto"/>
          <w:kern w:val="2"/>
          <w:sz w:val="21"/>
          <w:szCs w:val="21"/>
          <w:highlight w:val="none"/>
          <w:lang w:val="en-US" w:eastAsia="zh-CN" w:bidi="ar-SA"/>
        </w:rPr>
        <w:t>1</w:t>
      </w:r>
      <w:bookmarkEnd w:id="308"/>
      <w:bookmarkEnd w:id="309"/>
      <w:bookmarkEnd w:id="310"/>
      <w:bookmarkEnd w:id="311"/>
      <w:bookmarkEnd w:id="312"/>
      <w:bookmarkEnd w:id="313"/>
      <w:bookmarkEnd w:id="314"/>
      <w:bookmarkEnd w:id="315"/>
      <w:bookmarkEnd w:id="316"/>
      <w:bookmarkEnd w:id="317"/>
      <w:bookmarkEnd w:id="318"/>
      <w:bookmarkEnd w:id="319"/>
      <w:bookmarkStart w:id="343" w:name="_Toc297120493"/>
      <w:bookmarkStart w:id="344" w:name="_Toc296891233"/>
      <w:bookmarkStart w:id="345" w:name="_Toc297216199"/>
      <w:bookmarkStart w:id="346" w:name="_Toc304295566"/>
      <w:bookmarkStart w:id="347" w:name="_Toc297048379"/>
      <w:bookmarkStart w:id="348" w:name="_Toc296346694"/>
      <w:bookmarkStart w:id="349" w:name="_Toc292559398"/>
      <w:bookmarkStart w:id="350" w:name="_Toc296503193"/>
      <w:bookmarkStart w:id="351" w:name="_Toc296891021"/>
      <w:bookmarkStart w:id="352" w:name="_Toc292559903"/>
      <w:bookmarkStart w:id="353" w:name="_Toc296347192"/>
      <w:bookmarkStart w:id="354" w:name="_Toc297123540"/>
      <w:bookmarkStart w:id="355" w:name="_Toc296944532"/>
      <w:bookmarkStart w:id="356" w:name="_Toc303539146"/>
      <w:bookmarkStart w:id="357" w:name="_Toc300934989"/>
      <w:bookmarkStart w:id="358" w:name="_Toc312677499"/>
      <w:bookmarkStart w:id="359" w:name="_Toc312678025"/>
      <w:bookmarkStart w:id="360" w:name="_Toc267251433"/>
      <w:bookmarkStart w:id="361" w:name="_Toc267251439"/>
      <w:bookmarkStart w:id="362" w:name="_Toc267251441"/>
      <w:bookmarkStart w:id="363" w:name="_Toc267251440"/>
      <w:bookmarkStart w:id="364" w:name="_Toc267251437"/>
      <w:bookmarkStart w:id="365" w:name="_Toc267251435"/>
      <w:bookmarkStart w:id="366" w:name="_Toc267251442"/>
      <w:r>
        <w:rPr>
          <w:rFonts w:hint="eastAsia" w:ascii="宋体" w:hAnsi="宋体" w:eastAsia="宋体" w:cs="宋体"/>
          <w:b/>
          <w:bCs/>
          <w:color w:val="auto"/>
          <w:kern w:val="2"/>
          <w:sz w:val="21"/>
          <w:szCs w:val="21"/>
          <w:highlight w:val="none"/>
          <w:lang w:val="en-US" w:eastAsia="zh-CN" w:bidi="ar-SA"/>
        </w:rPr>
        <w:t>0. 变更</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bookmarkEnd w:id="358"/>
    <w:bookmarkEnd w:id="359"/>
    <w:p w14:paraId="245D30A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367" w:name="_Toc296891234"/>
      <w:bookmarkStart w:id="368" w:name="_Toc297216200"/>
      <w:bookmarkStart w:id="369" w:name="_Toc296347193"/>
      <w:bookmarkStart w:id="370" w:name="_Toc292559904"/>
      <w:bookmarkStart w:id="371" w:name="_Toc300934990"/>
      <w:bookmarkStart w:id="372" w:name="_Toc312678026"/>
      <w:bookmarkStart w:id="373" w:name="_Toc297123541"/>
      <w:bookmarkStart w:id="374" w:name="_Toc304295567"/>
      <w:bookmarkStart w:id="375" w:name="_Toc297048380"/>
      <w:bookmarkStart w:id="376" w:name="_Toc296891022"/>
      <w:bookmarkStart w:id="377" w:name="_Toc297120494"/>
      <w:bookmarkStart w:id="378" w:name="_Toc312677500"/>
      <w:bookmarkStart w:id="379" w:name="_Toc296944533"/>
      <w:bookmarkStart w:id="380" w:name="_Toc303539147"/>
      <w:bookmarkStart w:id="381" w:name="_Toc296346695"/>
      <w:bookmarkStart w:id="382" w:name="_Toc292559399"/>
      <w:bookmarkStart w:id="383" w:name="_Toc296503194"/>
      <w:r>
        <w:rPr>
          <w:rFonts w:hint="eastAsia" w:ascii="宋体" w:hAnsi="宋体" w:eastAsia="宋体" w:cs="宋体"/>
          <w:color w:val="auto"/>
          <w:sz w:val="21"/>
          <w:szCs w:val="21"/>
          <w:highlight w:val="none"/>
        </w:rPr>
        <w:t>0.1变更的范围</w:t>
      </w:r>
    </w:p>
    <w:p w14:paraId="010EA1BF">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关于变更的范围的约定：</w:t>
      </w:r>
      <w:r>
        <w:rPr>
          <w:rFonts w:hint="eastAsia" w:ascii="宋体" w:hAnsi="宋体" w:eastAsia="宋体" w:cs="宋体"/>
          <w:b/>
          <w:color w:val="auto"/>
          <w:sz w:val="21"/>
          <w:szCs w:val="21"/>
          <w:highlight w:val="none"/>
          <w:u w:val="single"/>
        </w:rPr>
        <w:t xml:space="preserve">  按通用合同条款约定    </w:t>
      </w:r>
      <w:r>
        <w:rPr>
          <w:rFonts w:hint="eastAsia" w:ascii="宋体" w:hAnsi="宋体" w:eastAsia="宋体" w:cs="宋体"/>
          <w:b/>
          <w:color w:val="auto"/>
          <w:sz w:val="21"/>
          <w:szCs w:val="21"/>
          <w:highlight w:val="none"/>
        </w:rPr>
        <w:t>。</w:t>
      </w:r>
    </w:p>
    <w:p w14:paraId="7059542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 变更估价</w:t>
      </w:r>
    </w:p>
    <w:p w14:paraId="67DBC991">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10.4.1 变更估价原则</w:t>
      </w:r>
    </w:p>
    <w:p w14:paraId="2F241ABC">
      <w:pPr>
        <w:autoSpaceDE w:val="0"/>
        <w:autoSpaceDN w:val="0"/>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关于变更估价的约定:</w:t>
      </w:r>
    </w:p>
    <w:p w14:paraId="325CC04D">
      <w:pPr>
        <w:autoSpaceDE w:val="0"/>
        <w:autoSpaceDN w:val="0"/>
        <w:adjustRightInd w:val="0"/>
        <w:snapToGrid w:val="0"/>
        <w:spacing w:line="360" w:lineRule="auto"/>
        <w:ind w:firstLine="422" w:firstLineChars="200"/>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一、已标价工程量清单或预算书有相同项目的，按照相同项目单价确定。</w:t>
      </w:r>
    </w:p>
    <w:p w14:paraId="09D8C97C">
      <w:pPr>
        <w:autoSpaceDE w:val="0"/>
        <w:autoSpaceDN w:val="0"/>
        <w:adjustRightInd w:val="0"/>
        <w:snapToGrid w:val="0"/>
        <w:spacing w:line="360" w:lineRule="auto"/>
        <w:ind w:firstLine="422" w:firstLineChars="200"/>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二、已标价工程量清单或预算书中无相同项目，但有类似项目的，参照类似项目的单价确定。</w:t>
      </w:r>
    </w:p>
    <w:p w14:paraId="52E9977A">
      <w:pPr>
        <w:autoSpaceDE w:val="0"/>
        <w:autoSpaceDN w:val="0"/>
        <w:adjustRightInd w:val="0"/>
        <w:snapToGrid w:val="0"/>
        <w:spacing w:line="360" w:lineRule="auto"/>
        <w:ind w:firstLine="422" w:firstLineChars="200"/>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a、变更引起的原工程量清单中项目特征或工程内容发生部分变更时，应以原综合</w:t>
      </w:r>
    </w:p>
    <w:p w14:paraId="0F47550D">
      <w:pPr>
        <w:autoSpaceDE w:val="0"/>
        <w:autoSpaceDN w:val="0"/>
        <w:adjustRightInd w:val="0"/>
        <w:snapToGrid w:val="0"/>
        <w:spacing w:line="360" w:lineRule="auto"/>
        <w:ind w:firstLine="422" w:firstLineChars="200"/>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单价为基础，仅就变更部分相应定额子目调整综合单价，并经监理工程师审核，发包人签证同意后执行。</w:t>
      </w:r>
    </w:p>
    <w:p w14:paraId="5FDBE11F">
      <w:pPr>
        <w:autoSpaceDE w:val="0"/>
        <w:autoSpaceDN w:val="0"/>
        <w:adjustRightInd w:val="0"/>
        <w:snapToGrid w:val="0"/>
        <w:spacing w:line="360" w:lineRule="auto"/>
        <w:ind w:firstLine="422" w:firstLineChars="200"/>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b、变更引起的原清单项目主材变更，则仅调整其主材价差价，差价为“该变更主材施工工期内各月的信息价格的平均值与投标截止日当期的该主材信息价的差价”， 其余项目均不作调整。当变更的主材无信息价可以套用，按承发包双方确认的市场价计取差价，其余项目均不作调整。以上价差仅计取税金。发包人有权对材料设备的品牌进行变更，承包人应接受。</w:t>
      </w:r>
    </w:p>
    <w:p w14:paraId="7F5B6F88">
      <w:pPr>
        <w:autoSpaceDE w:val="0"/>
        <w:autoSpaceDN w:val="0"/>
        <w:adjustRightInd w:val="0"/>
        <w:snapToGrid w:val="0"/>
        <w:spacing w:line="360" w:lineRule="auto"/>
        <w:ind w:firstLine="422" w:firstLineChars="200"/>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三、已标价工程量清单或预算书中无相同项目及类似项目单价的，其单价的确定，按以下约定：  a、套用 《浙江省建筑工程预算定额（2018）版》、《 浙江省安装工程预算定额（2018）版》采用以“直接工程费＋规费＋税金”方式组价，其它管理、利润、风险等费用均不再计取。</w:t>
      </w:r>
    </w:p>
    <w:p w14:paraId="17357811">
      <w:pPr>
        <w:autoSpaceDE w:val="0"/>
        <w:autoSpaceDN w:val="0"/>
        <w:adjustRightInd w:val="0"/>
        <w:snapToGrid w:val="0"/>
        <w:spacing w:line="360" w:lineRule="auto"/>
        <w:ind w:firstLine="422" w:firstLineChars="200"/>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b、“直接工程费”中的人工、机械及除主要材料外的其它材料的单价和定额消耗量参照 2018版定额计取，人工、机械及主要材料价格按承包人投标文件中的价格计算，如投标文件中同一项目有不同报价的，则按低价计算；如投标文件中无此人工、机械及主要材料单价，按发包人审核后的签证价格。</w:t>
      </w:r>
    </w:p>
    <w:p w14:paraId="74A9E974">
      <w:pPr>
        <w:autoSpaceDE w:val="0"/>
        <w:autoSpaceDN w:val="0"/>
        <w:adjustRightInd w:val="0"/>
        <w:snapToGrid w:val="0"/>
        <w:spacing w:line="360" w:lineRule="auto"/>
        <w:ind w:firstLine="422" w:firstLineChars="200"/>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c、若变更项目无法套用2018版浙江省定额，则由承包人根据市场行情上报建议综合单价，经监理单位审核后，最终以发包人签证价格为准。</w:t>
      </w:r>
    </w:p>
    <w:p w14:paraId="71140198">
      <w:pPr>
        <w:autoSpaceDE w:val="0"/>
        <w:autoSpaceDN w:val="0"/>
        <w:adjustRightInd w:val="0"/>
        <w:snapToGrid w:val="0"/>
        <w:spacing w:line="360" w:lineRule="auto"/>
        <w:ind w:firstLine="422" w:firstLineChars="200"/>
        <w:jc w:val="left"/>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四、工程量清单错误和（或）设计变更导致实际完成的工程量与已标价工程量清单或预算书中列明的该项目工程量的变化幅度超过以下情况的，其单价允许调整：凡合价金额占合同总价2%及以上的分部分项清单项目，其工程量增加或减少超过本项目工程数量15%及以上时，或者合价金额占合同总价不到2%的分部分项清单项目，但其工程量增加或减少超过本项目工程数量25%以上时。工程量偏差超过上述变化幅度之外变动部分的相应单价调整方法按以下方式约定：不调整</w:t>
      </w:r>
    </w:p>
    <w:p w14:paraId="4567133B">
      <w:pPr>
        <w:autoSpaceDE w:val="0"/>
        <w:autoSpaceDN w:val="0"/>
        <w:adjustRightInd w:val="0"/>
        <w:snapToGrid w:val="0"/>
        <w:spacing w:line="360" w:lineRule="auto"/>
        <w:ind w:firstLine="312" w:firstLineChars="148"/>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（5）其他： ①工程量必须按照《建设工程工程量清单计价规范》 （GB50500-2013）规定的工程量计算规则计算。工程量必须以承包人完成合同工程应予计量的工程量确定。最终结算工程量应首先报监理及发包人审核。</w:t>
      </w:r>
    </w:p>
    <w:p w14:paraId="42AC03F0">
      <w:pPr>
        <w:autoSpaceDE w:val="0"/>
        <w:autoSpaceDN w:val="0"/>
        <w:adjustRightInd w:val="0"/>
        <w:snapToGrid w:val="0"/>
        <w:spacing w:line="360" w:lineRule="auto"/>
        <w:ind w:firstLine="312" w:firstLineChars="148"/>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②本合同专用条款 1.1.1.10 中的“施工组织设计”是指承包人在投标书中制定的相关技术、经济和施工组织的综合性文件。施工组织措施费、施工技术措施费在招标范围未发生变化情况下，不做调整。在招标范围发生重大变化或重大设计变更引起施工技术措施项目费增加或减少时，根据相关工程变更依据进行相应调整，原措施费项目清单中已有的措施项目，按原有措施费的组价方法或单价调整；原措施费项目清单中没有的措施项目，组价方法按前述第 10.4.1 条（3）约定执行。如有甩项工程，发包人将对承包人未实际投入的施工组织措施费和技术措施费按上述方法予以扣除。</w:t>
      </w:r>
    </w:p>
    <w:p w14:paraId="40064DAA">
      <w:pPr>
        <w:autoSpaceDE w:val="0"/>
        <w:autoSpaceDN w:val="0"/>
        <w:adjustRightInd w:val="0"/>
        <w:snapToGrid w:val="0"/>
        <w:spacing w:line="360" w:lineRule="auto"/>
        <w:ind w:firstLine="312" w:firstLineChars="148"/>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③工程量清单项目特征描述的分项工程内容均应计入综合单价报价，若承包人提供的分部分项工程量综合单价计算表及综合单价工料机分析表没有详尽分析的，发包人将对实际未实施的分项工程予以扣除，扣除部分的价格参考前述第 10.4.1 条（3）约定，结合投标报价水平确定。</w:t>
      </w:r>
    </w:p>
    <w:p w14:paraId="3C0CE25A">
      <w:pPr>
        <w:autoSpaceDE w:val="0"/>
        <w:autoSpaceDN w:val="0"/>
        <w:adjustRightInd w:val="0"/>
        <w:snapToGrid w:val="0"/>
        <w:spacing w:line="360" w:lineRule="auto"/>
        <w:ind w:firstLine="312" w:firstLineChars="148"/>
        <w:jc w:val="left"/>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④现有管线、邻近建筑物、构筑物（含文物保护建筑） 、古树名木等的保护费计算。招标时已明确的，其保护费用承包人应根据发包人提供的交底资料，结合现场探勘，充分考虑施工难度，计入报价，包干使用。实施过程中新发现的，其保护费用按实计算，计算口径按前述第 10.4.1 条（3）约定执行。</w:t>
      </w:r>
    </w:p>
    <w:p w14:paraId="7BB9AC63">
      <w:pPr>
        <w:autoSpaceDE w:val="0"/>
        <w:autoSpaceDN w:val="0"/>
        <w:adjustRightInd w:val="0"/>
        <w:snapToGrid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Start w:id="384" w:name="_Toc297048383"/>
      <w:bookmarkStart w:id="385" w:name="_Toc296891237"/>
      <w:bookmarkStart w:id="386" w:name="_Toc297120497"/>
      <w:bookmarkStart w:id="387" w:name="_Toc292559402"/>
      <w:bookmarkStart w:id="388" w:name="_Toc296503197"/>
      <w:bookmarkStart w:id="389" w:name="_Toc296944536"/>
      <w:bookmarkStart w:id="390" w:name="_Toc296346698"/>
      <w:bookmarkStart w:id="391" w:name="_Toc297216203"/>
      <w:bookmarkStart w:id="392" w:name="_Toc292559907"/>
      <w:bookmarkStart w:id="393" w:name="_Toc300934993"/>
      <w:bookmarkStart w:id="394" w:name="_Toc303539150"/>
      <w:bookmarkStart w:id="395" w:name="_Toc297123544"/>
      <w:bookmarkStart w:id="396" w:name="_Toc296891025"/>
      <w:bookmarkStart w:id="397" w:name="_Toc296347196"/>
      <w:bookmarkStart w:id="398" w:name="_Toc312677503"/>
      <w:bookmarkStart w:id="399" w:name="_Toc304295570"/>
      <w:bookmarkStart w:id="400" w:name="_Toc312678029"/>
      <w:r>
        <w:rPr>
          <w:rFonts w:hint="eastAsia" w:ascii="宋体" w:hAnsi="宋体" w:eastAsia="宋体" w:cs="宋体"/>
          <w:color w:val="auto"/>
          <w:sz w:val="21"/>
          <w:szCs w:val="21"/>
          <w:highlight w:val="none"/>
        </w:rPr>
        <w:t>0.5承</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Start w:id="401" w:name="_Toc300934994"/>
      <w:bookmarkStart w:id="402" w:name="_Toc297120503"/>
      <w:bookmarkStart w:id="403" w:name="_Toc296346704"/>
      <w:bookmarkStart w:id="404" w:name="_Toc297123545"/>
      <w:bookmarkStart w:id="405" w:name="_Toc296944542"/>
      <w:bookmarkStart w:id="406" w:name="_Toc296503203"/>
      <w:bookmarkStart w:id="407" w:name="_Toc296891243"/>
      <w:bookmarkStart w:id="408" w:name="_Toc303539151"/>
      <w:bookmarkStart w:id="409" w:name="_Toc297216204"/>
      <w:bookmarkStart w:id="410" w:name="_Toc297048389"/>
      <w:bookmarkStart w:id="411" w:name="_Toc292559913"/>
      <w:bookmarkStart w:id="412" w:name="_Toc292559408"/>
      <w:bookmarkStart w:id="413" w:name="_Toc296891031"/>
      <w:bookmarkStart w:id="414" w:name="_Toc296347202"/>
      <w:r>
        <w:rPr>
          <w:rFonts w:hint="eastAsia" w:ascii="宋体" w:hAnsi="宋体" w:eastAsia="宋体" w:cs="宋体"/>
          <w:color w:val="auto"/>
          <w:sz w:val="21"/>
          <w:szCs w:val="21"/>
          <w:highlight w:val="none"/>
        </w:rPr>
        <w:t>包人的合理化建议</w:t>
      </w:r>
    </w:p>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14:paraId="2FDABED5">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发包人审批承包人合理化建议的期限：</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w:t>
      </w:r>
    </w:p>
    <w:p w14:paraId="2DB9081B">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w:t>
      </w:r>
      <w:bookmarkStart w:id="415" w:name="_Toc297123546"/>
      <w:bookmarkStart w:id="416" w:name="_Toc296346705"/>
      <w:bookmarkStart w:id="417" w:name="_Toc296891244"/>
      <w:bookmarkStart w:id="418" w:name="_Toc318581175"/>
      <w:bookmarkStart w:id="419" w:name="_Toc312677504"/>
      <w:bookmarkStart w:id="420" w:name="_Toc296944543"/>
      <w:bookmarkStart w:id="421" w:name="_Toc312678030"/>
      <w:bookmarkStart w:id="422" w:name="_Toc300934995"/>
      <w:bookmarkStart w:id="423" w:name="_Toc297216205"/>
      <w:bookmarkStart w:id="424" w:name="_Toc292559914"/>
      <w:bookmarkStart w:id="425" w:name="_Toc297048390"/>
      <w:bookmarkStart w:id="426" w:name="_Toc304295571"/>
      <w:bookmarkStart w:id="427" w:name="_Toc297120504"/>
      <w:bookmarkStart w:id="428" w:name="_Toc296503204"/>
      <w:bookmarkStart w:id="429" w:name="_Toc296891032"/>
      <w:bookmarkStart w:id="430" w:name="_Toc303539152"/>
      <w:bookmarkStart w:id="431" w:name="_Toc296347203"/>
      <w:bookmarkStart w:id="432" w:name="_Toc292559409"/>
      <w:r>
        <w:rPr>
          <w:rFonts w:hint="eastAsia" w:ascii="宋体" w:hAnsi="宋体" w:eastAsia="宋体" w:cs="宋体"/>
          <w:color w:val="auto"/>
          <w:sz w:val="21"/>
          <w:szCs w:val="21"/>
          <w:highlight w:val="none"/>
        </w:rPr>
        <w:t>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14:paraId="40BE432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433" w:name="_Toc296503199"/>
      <w:bookmarkStart w:id="434" w:name="_Toc312678033"/>
      <w:bookmarkStart w:id="435" w:name="_Toc292559404"/>
      <w:bookmarkStart w:id="436" w:name="_Toc303539154"/>
      <w:bookmarkStart w:id="437" w:name="_Toc296944538"/>
      <w:bookmarkStart w:id="438" w:name="_Toc297216207"/>
      <w:bookmarkStart w:id="439" w:name="_Toc297048385"/>
      <w:bookmarkStart w:id="440" w:name="_Toc312677507"/>
      <w:bookmarkStart w:id="441" w:name="_Toc297123548"/>
      <w:bookmarkStart w:id="442" w:name="_Toc296891027"/>
      <w:bookmarkStart w:id="443" w:name="_Toc296891239"/>
      <w:bookmarkStart w:id="444" w:name="_Toc297120499"/>
      <w:bookmarkStart w:id="445" w:name="_Toc304295574"/>
      <w:bookmarkStart w:id="446" w:name="_Toc296346700"/>
      <w:bookmarkStart w:id="447" w:name="_Toc300934997"/>
      <w:bookmarkStart w:id="448" w:name="_Toc296347198"/>
      <w:bookmarkStart w:id="449" w:name="_Toc292559909"/>
      <w:r>
        <w:rPr>
          <w:rFonts w:hint="eastAsia" w:ascii="宋体" w:hAnsi="宋体" w:eastAsia="宋体" w:cs="宋体"/>
          <w:color w:val="auto"/>
          <w:sz w:val="21"/>
          <w:szCs w:val="21"/>
          <w:highlight w:val="none"/>
        </w:rPr>
        <w:t>0.7 暂估价</w:t>
      </w:r>
    </w:p>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14:paraId="6A0E92C3">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450" w:name="_Toc312678035"/>
      <w:bookmarkStart w:id="451" w:name="_Toc312677509"/>
      <w:bookmarkStart w:id="452" w:name="_Toc318581177"/>
      <w:r>
        <w:rPr>
          <w:rFonts w:hint="eastAsia" w:ascii="宋体" w:hAnsi="宋体" w:eastAsia="宋体" w:cs="宋体"/>
          <w:color w:val="auto"/>
          <w:sz w:val="21"/>
          <w:szCs w:val="21"/>
          <w:highlight w:val="none"/>
        </w:rPr>
        <w:t>0.7.1 依法必须招标的暂估价项目</w:t>
      </w:r>
    </w:p>
    <w:bookmarkEnd w:id="450"/>
    <w:bookmarkEnd w:id="451"/>
    <w:bookmarkEnd w:id="452"/>
    <w:p w14:paraId="58F80588">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对于依法必须招标的暂估价项目的确认和批准采取第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种方式确定。</w:t>
      </w:r>
    </w:p>
    <w:p w14:paraId="021DEE3C">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10.7.2 不属于依法必须招标的暂估价项目</w:t>
      </w:r>
    </w:p>
    <w:p w14:paraId="0261804E">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对于不属于依法必须招标的暂估价项目的确认和批准采取第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种方式确定。</w:t>
      </w:r>
    </w:p>
    <w:p w14:paraId="0E5E1EA9">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第3种方式：承包人直接实施的暂估价项目</w:t>
      </w:r>
    </w:p>
    <w:p w14:paraId="6303E7B3">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承包人直接实施的暂估价项目的约定：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93A8F6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10.8 暂列金额</w:t>
      </w:r>
    </w:p>
    <w:p w14:paraId="008A768B">
      <w:pPr>
        <w:autoSpaceDE w:val="0"/>
        <w:autoSpaceDN w:val="0"/>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合同当事人关于暂列金额使用的约定：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58864FE7">
      <w:pPr>
        <w:keepNext/>
        <w:keepLines/>
        <w:widowControl w:val="0"/>
        <w:numPr>
          <w:ilvl w:val="3"/>
          <w:numId w:val="0"/>
        </w:numPr>
        <w:adjustRightInd w:val="0"/>
        <w:snapToGrid w:val="0"/>
        <w:spacing w:before="280" w:after="290" w:line="360" w:lineRule="auto"/>
        <w:ind w:left="426"/>
        <w:jc w:val="both"/>
        <w:outlineLvl w:val="3"/>
        <w:rPr>
          <w:rFonts w:hint="eastAsia" w:ascii="宋体" w:hAnsi="宋体" w:eastAsia="宋体" w:cs="宋体"/>
          <w:b/>
          <w:bCs/>
          <w:color w:val="auto"/>
          <w:kern w:val="2"/>
          <w:sz w:val="21"/>
          <w:szCs w:val="21"/>
          <w:highlight w:val="none"/>
          <w:lang w:val="en-US" w:eastAsia="zh-CN" w:bidi="ar-SA"/>
        </w:rPr>
      </w:pPr>
      <w:bookmarkStart w:id="453" w:name="_Toc351203643"/>
      <w:r>
        <w:rPr>
          <w:rFonts w:hint="eastAsia" w:ascii="宋体" w:hAnsi="宋体" w:eastAsia="宋体" w:cs="宋体"/>
          <w:b/>
          <w:bCs/>
          <w:color w:val="auto"/>
          <w:kern w:val="2"/>
          <w:sz w:val="21"/>
          <w:szCs w:val="21"/>
          <w:highlight w:val="none"/>
          <w:lang w:val="en-US" w:eastAsia="zh-CN" w:bidi="ar-SA"/>
        </w:rPr>
        <w:t>11. 价格调整</w:t>
      </w:r>
      <w:bookmarkEnd w:id="453"/>
    </w:p>
    <w:p w14:paraId="752B8FB3">
      <w:pPr>
        <w:adjustRightInd w:val="0"/>
        <w:snapToGrid w:val="0"/>
        <w:spacing w:line="360" w:lineRule="auto"/>
        <w:ind w:firstLine="420" w:firstLineChars="200"/>
        <w:rPr>
          <w:rFonts w:hint="eastAsia" w:ascii="宋体" w:hAnsi="宋体" w:eastAsia="宋体" w:cs="宋体"/>
          <w:color w:val="auto"/>
          <w:sz w:val="21"/>
          <w:szCs w:val="21"/>
          <w:highlight w:val="none"/>
        </w:rPr>
      </w:pPr>
      <w:bookmarkStart w:id="454" w:name="_Toc292559406"/>
      <w:bookmarkStart w:id="455" w:name="_Toc296346702"/>
      <w:bookmarkStart w:id="456" w:name="_Toc303539157"/>
      <w:bookmarkStart w:id="457" w:name="_Toc296944540"/>
      <w:bookmarkStart w:id="458" w:name="_Toc296347200"/>
      <w:bookmarkStart w:id="459" w:name="_Toc296891029"/>
      <w:bookmarkStart w:id="460" w:name="_Toc296891241"/>
      <w:bookmarkStart w:id="461" w:name="_Toc312678039"/>
      <w:bookmarkStart w:id="462" w:name="_Toc297123550"/>
      <w:bookmarkStart w:id="463" w:name="_Toc300935000"/>
      <w:bookmarkStart w:id="464" w:name="_Toc292559911"/>
      <w:bookmarkStart w:id="465" w:name="_Toc296503201"/>
      <w:bookmarkStart w:id="466" w:name="_Toc297120501"/>
      <w:bookmarkStart w:id="467" w:name="_Toc304295577"/>
      <w:bookmarkStart w:id="468" w:name="_Toc297048387"/>
      <w:bookmarkStart w:id="469" w:name="_Toc297216209"/>
      <w:r>
        <w:rPr>
          <w:rFonts w:hint="eastAsia" w:ascii="宋体" w:hAnsi="宋体" w:eastAsia="宋体" w:cs="宋体"/>
          <w:color w:val="auto"/>
          <w:sz w:val="21"/>
          <w:szCs w:val="21"/>
          <w:highlight w:val="none"/>
        </w:rPr>
        <w:t>11.1 市场价格波动引起的调整</w:t>
      </w:r>
    </w:p>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14:paraId="2864B4A2">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市场价格波动是否调整合同价格的约定：</w:t>
      </w:r>
      <w:r>
        <w:rPr>
          <w:rFonts w:hint="eastAsia" w:ascii="宋体" w:hAnsi="宋体" w:eastAsia="宋体" w:cs="宋体"/>
          <w:color w:val="auto"/>
          <w:sz w:val="21"/>
          <w:szCs w:val="21"/>
          <w:highlight w:val="none"/>
          <w:u w:val="single"/>
        </w:rPr>
        <w:t xml:space="preserve">      否     </w:t>
      </w:r>
      <w:r>
        <w:rPr>
          <w:rFonts w:hint="eastAsia" w:ascii="宋体" w:hAnsi="宋体" w:eastAsia="宋体" w:cs="宋体"/>
          <w:color w:val="auto"/>
          <w:sz w:val="21"/>
          <w:szCs w:val="21"/>
          <w:highlight w:val="none"/>
        </w:rPr>
        <w:t>。</w:t>
      </w:r>
    </w:p>
    <w:p w14:paraId="67CE54D0">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因市场价格波动调整合同价格，采用以下第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种方式对合同价格进行调整：</w:t>
      </w:r>
    </w:p>
    <w:p w14:paraId="685E3446">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第1种方式：采用价格指数进行价格调整。</w:t>
      </w:r>
    </w:p>
    <w:p w14:paraId="615C368A">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关于各可调因子、定值和变值权重，以及基本价格指数及其来源的约定：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0944F8AB">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第2种方式：采用造价信息进行价格调整。</w:t>
      </w:r>
    </w:p>
    <w:p w14:paraId="2411E532">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（2）关于基准价格的约定：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492C8FC">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%时，或材料单价跌幅以已标价工程量清单或预算书中载明材料单价为基础超过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%时，其超过部分据实调整。</w:t>
      </w:r>
    </w:p>
    <w:p w14:paraId="23A3E037">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%时，材料单价涨幅以已标价工程量清单或预算书中载明材料单价为基础超过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%时，其超过部分据实调整。</w:t>
      </w:r>
    </w:p>
    <w:p w14:paraId="561C75BF">
      <w:pPr>
        <w:adjustRightInd w:val="0"/>
        <w:snapToGrid w:val="0"/>
        <w:spacing w:line="360" w:lineRule="auto"/>
        <w:ind w:firstLine="64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%时，其超过部分据实调整。</w:t>
      </w:r>
    </w:p>
    <w:p w14:paraId="4ED3D358">
      <w:pPr>
        <w:adjustRightInd w:val="0"/>
        <w:snapToGrid w:val="0"/>
        <w:spacing w:line="276"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第3种方式：采用政策性文件进行价格调整。</w:t>
      </w:r>
    </w:p>
    <w:bookmarkEnd w:id="360"/>
    <w:bookmarkEnd w:id="361"/>
    <w:bookmarkEnd w:id="362"/>
    <w:bookmarkEnd w:id="363"/>
    <w:bookmarkEnd w:id="364"/>
    <w:bookmarkEnd w:id="365"/>
    <w:p w14:paraId="013B8365">
      <w:pPr>
        <w:spacing w:line="276" w:lineRule="auto"/>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政府投资工程因市场价格波动引起的调整按以下第</w:t>
      </w:r>
      <w:bookmarkStart w:id="470" w:name="SOA_zyht_yd"/>
      <w:r>
        <w:rPr>
          <w:rFonts w:hint="eastAsia" w:ascii="宋体" w:hAnsi="宋体" w:eastAsia="宋体" w:cs="宋体"/>
          <w:b/>
          <w:color w:val="auto"/>
          <w:sz w:val="21"/>
          <w:szCs w:val="21"/>
          <w:highlight w:val="none"/>
          <w:u w:val="single"/>
        </w:rPr>
        <w:t xml:space="preserve">   /   </w:t>
      </w:r>
      <w:bookmarkEnd w:id="470"/>
      <w:r>
        <w:rPr>
          <w:rFonts w:hint="eastAsia" w:ascii="宋体" w:hAnsi="宋体" w:eastAsia="宋体" w:cs="宋体"/>
          <w:b/>
          <w:color w:val="auto"/>
          <w:sz w:val="21"/>
          <w:szCs w:val="21"/>
          <w:highlight w:val="none"/>
          <w:u w:val="single"/>
        </w:rPr>
        <w:t>种方式约定执行：</w:t>
      </w:r>
    </w:p>
    <w:p w14:paraId="658D53D6">
      <w:pPr>
        <w:spacing w:line="276" w:lineRule="auto"/>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1、按《关于进一步加强杭州市建设工程市场要素价格动态管理的指导意见》（杭建市【2018】579号）执行。</w:t>
      </w:r>
    </w:p>
    <w:p w14:paraId="7C2489F5">
      <w:pPr>
        <w:spacing w:line="276" w:lineRule="auto"/>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2、其他：  </w:t>
      </w:r>
      <w:bookmarkStart w:id="471" w:name="SOA_zyht_qt15"/>
      <w:r>
        <w:rPr>
          <w:rFonts w:hint="eastAsia" w:ascii="宋体" w:hAnsi="宋体" w:eastAsia="宋体" w:cs="宋体"/>
          <w:b/>
          <w:color w:val="auto"/>
          <w:sz w:val="21"/>
          <w:szCs w:val="21"/>
          <w:highlight w:val="none"/>
          <w:u w:val="single"/>
        </w:rPr>
        <w:t xml:space="preserve">   /   </w:t>
      </w:r>
      <w:bookmarkEnd w:id="471"/>
      <w:r>
        <w:rPr>
          <w:rFonts w:hint="eastAsia" w:ascii="宋体" w:hAnsi="宋体" w:eastAsia="宋体" w:cs="宋体"/>
          <w:b/>
          <w:color w:val="auto"/>
          <w:sz w:val="21"/>
          <w:szCs w:val="21"/>
          <w:highlight w:val="none"/>
          <w:u w:val="single"/>
        </w:rPr>
        <w:t xml:space="preserve">                                                  。</w:t>
      </w:r>
    </w:p>
    <w:p w14:paraId="3F7978A6">
      <w:pPr>
        <w:spacing w:line="276" w:lineRule="auto"/>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其中</w:t>
      </w:r>
    </w:p>
    <w:p w14:paraId="61316C83">
      <w:pPr>
        <w:spacing w:line="276" w:lineRule="auto"/>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（一）风险范围及幅度的约定：</w:t>
      </w:r>
    </w:p>
    <w:p w14:paraId="4449DCAB">
      <w:pPr>
        <w:spacing w:line="276" w:lineRule="auto"/>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（1）人工费的风险幅度</w:t>
      </w:r>
      <w:bookmarkStart w:id="472" w:name="SOA_zyht_rgf"/>
      <w:r>
        <w:rPr>
          <w:rFonts w:hint="eastAsia" w:ascii="宋体" w:hAnsi="宋体" w:eastAsia="宋体" w:cs="宋体"/>
          <w:b/>
          <w:color w:val="auto"/>
          <w:sz w:val="21"/>
          <w:szCs w:val="21"/>
          <w:highlight w:val="none"/>
          <w:u w:val="single"/>
        </w:rPr>
        <w:t xml:space="preserve">   /   </w:t>
      </w:r>
      <w:bookmarkEnd w:id="472"/>
    </w:p>
    <w:p w14:paraId="2E4C0C6B">
      <w:pPr>
        <w:spacing w:line="276" w:lineRule="auto"/>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（2）材料价格的风险幅度</w:t>
      </w:r>
      <w:bookmarkStart w:id="473" w:name="SOA_zyht_clfxf"/>
      <w:r>
        <w:rPr>
          <w:rFonts w:hint="eastAsia" w:ascii="宋体" w:hAnsi="宋体" w:eastAsia="宋体" w:cs="宋体"/>
          <w:b/>
          <w:color w:val="auto"/>
          <w:sz w:val="21"/>
          <w:szCs w:val="21"/>
          <w:highlight w:val="none"/>
          <w:u w:val="single"/>
        </w:rPr>
        <w:t xml:space="preserve">   /   </w:t>
      </w:r>
      <w:bookmarkEnd w:id="473"/>
    </w:p>
    <w:p w14:paraId="03BB3095">
      <w:pPr>
        <w:spacing w:line="276" w:lineRule="auto"/>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（二）材料价款动态调整结算方式采用以下第</w:t>
      </w:r>
      <w:bookmarkStart w:id="474" w:name="SOA_zyht_yd1"/>
      <w:r>
        <w:rPr>
          <w:rFonts w:hint="eastAsia" w:ascii="宋体" w:hAnsi="宋体" w:eastAsia="宋体" w:cs="宋体"/>
          <w:b/>
          <w:color w:val="auto"/>
          <w:sz w:val="21"/>
          <w:szCs w:val="21"/>
          <w:highlight w:val="none"/>
          <w:u w:val="single"/>
        </w:rPr>
        <w:t xml:space="preserve">   /   </w:t>
      </w:r>
      <w:bookmarkEnd w:id="474"/>
      <w:r>
        <w:rPr>
          <w:rFonts w:hint="eastAsia" w:ascii="宋体" w:hAnsi="宋体" w:eastAsia="宋体" w:cs="宋体"/>
          <w:b/>
          <w:color w:val="auto"/>
          <w:sz w:val="21"/>
          <w:szCs w:val="21"/>
          <w:highlight w:val="none"/>
          <w:u w:val="single"/>
        </w:rPr>
        <w:t>种方式约定：</w:t>
      </w:r>
    </w:p>
    <w:p w14:paraId="6CB9CD23">
      <w:pPr>
        <w:spacing w:line="276" w:lineRule="auto"/>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1、按时间进度分段结算：</w:t>
      </w:r>
      <w:bookmarkStart w:id="475" w:name="SOA_zyht_sjjs"/>
      <w:r>
        <w:rPr>
          <w:rFonts w:hint="eastAsia" w:ascii="宋体" w:hAnsi="宋体" w:eastAsia="宋体" w:cs="宋体"/>
          <w:b/>
          <w:color w:val="auto"/>
          <w:sz w:val="21"/>
          <w:szCs w:val="21"/>
          <w:highlight w:val="none"/>
          <w:u w:val="single"/>
        </w:rPr>
        <w:t xml:space="preserve">  /    </w:t>
      </w:r>
      <w:bookmarkEnd w:id="475"/>
      <w:r>
        <w:rPr>
          <w:rFonts w:hint="eastAsia" w:ascii="宋体" w:hAnsi="宋体" w:eastAsia="宋体" w:cs="宋体"/>
          <w:b/>
          <w:color w:val="auto"/>
          <w:sz w:val="21"/>
          <w:szCs w:val="21"/>
          <w:highlight w:val="none"/>
          <w:u w:val="single"/>
        </w:rPr>
        <w:t xml:space="preserve">   </w:t>
      </w:r>
    </w:p>
    <w:p w14:paraId="4FB74EC3">
      <w:pPr>
        <w:spacing w:line="276" w:lineRule="auto"/>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2、按工程形象部位(目标)分段结算：  </w:t>
      </w:r>
      <w:bookmarkStart w:id="476" w:name="SOA_zyht_bwjs"/>
      <w:r>
        <w:rPr>
          <w:rFonts w:hint="eastAsia" w:ascii="宋体" w:hAnsi="宋体" w:eastAsia="宋体" w:cs="宋体"/>
          <w:b/>
          <w:color w:val="auto"/>
          <w:sz w:val="21"/>
          <w:szCs w:val="21"/>
          <w:highlight w:val="none"/>
          <w:u w:val="single"/>
        </w:rPr>
        <w:t xml:space="preserve">   /   </w:t>
      </w:r>
      <w:bookmarkEnd w:id="476"/>
      <w:r>
        <w:rPr>
          <w:rFonts w:hint="eastAsia" w:ascii="宋体" w:hAnsi="宋体" w:eastAsia="宋体" w:cs="宋体"/>
          <w:b/>
          <w:color w:val="auto"/>
          <w:sz w:val="21"/>
          <w:szCs w:val="21"/>
          <w:highlight w:val="none"/>
          <w:u w:val="single"/>
        </w:rPr>
        <w:t xml:space="preserve">    </w:t>
      </w:r>
    </w:p>
    <w:p w14:paraId="52658134">
      <w:pPr>
        <w:spacing w:line="276" w:lineRule="auto"/>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3、竣工后一次性结算：    </w:t>
      </w:r>
      <w:bookmarkStart w:id="477" w:name="SOA_zyht_ycxjs"/>
      <w:r>
        <w:rPr>
          <w:rFonts w:hint="eastAsia" w:ascii="宋体" w:hAnsi="宋体" w:eastAsia="宋体" w:cs="宋体"/>
          <w:b/>
          <w:color w:val="auto"/>
          <w:sz w:val="21"/>
          <w:szCs w:val="21"/>
          <w:highlight w:val="none"/>
          <w:u w:val="single"/>
        </w:rPr>
        <w:t xml:space="preserve">   /   </w:t>
      </w:r>
      <w:bookmarkEnd w:id="477"/>
      <w:r>
        <w:rPr>
          <w:rFonts w:hint="eastAsia" w:ascii="宋体" w:hAnsi="宋体" w:eastAsia="宋体" w:cs="宋体"/>
          <w:b/>
          <w:color w:val="auto"/>
          <w:sz w:val="21"/>
          <w:szCs w:val="21"/>
          <w:highlight w:val="none"/>
          <w:u w:val="single"/>
        </w:rPr>
        <w:t xml:space="preserve">    </w:t>
      </w:r>
    </w:p>
    <w:p w14:paraId="7E555130">
      <w:pPr>
        <w:keepNext/>
        <w:keepLines/>
        <w:widowControl w:val="0"/>
        <w:numPr>
          <w:ilvl w:val="3"/>
          <w:numId w:val="0"/>
        </w:numPr>
        <w:adjustRightInd w:val="0"/>
        <w:snapToGrid w:val="0"/>
        <w:spacing w:before="280" w:after="290" w:line="360" w:lineRule="auto"/>
        <w:ind w:left="426"/>
        <w:jc w:val="both"/>
        <w:outlineLvl w:val="3"/>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12. 合同价格、计量与支付</w:t>
      </w:r>
    </w:p>
    <w:p w14:paraId="422E3318">
      <w:pPr>
        <w:adjustRightInd w:val="0"/>
        <w:snapToGrid w:val="0"/>
        <w:spacing w:line="276"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合同价格形式</w:t>
      </w:r>
    </w:p>
    <w:p w14:paraId="4D91A996">
      <w:pPr>
        <w:spacing w:line="276"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单价合同。</w:t>
      </w:r>
    </w:p>
    <w:p w14:paraId="3E3D2120">
      <w:pPr>
        <w:spacing w:line="276"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综合单价包含的风险范围：</w:t>
      </w:r>
    </w:p>
    <w:p w14:paraId="62B5E84B">
      <w:pPr>
        <w:spacing w:line="276" w:lineRule="auto"/>
        <w:ind w:firstLine="422" w:firstLineChars="200"/>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（1）应由承包人承担的工、料、机在投标编制期或预算书编制期与合同实施期间所发生的市场价格波动。 </w:t>
      </w:r>
    </w:p>
    <w:p w14:paraId="773584A7">
      <w:pPr>
        <w:spacing w:line="276" w:lineRule="auto"/>
        <w:ind w:firstLine="422" w:firstLineChars="200"/>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（2）其他：</w:t>
      </w:r>
      <w:bookmarkStart w:id="478" w:name="SOA_zyht_qt16"/>
      <w:r>
        <w:rPr>
          <w:rFonts w:hint="eastAsia" w:ascii="宋体" w:hAnsi="宋体" w:eastAsia="宋体" w:cs="宋体"/>
          <w:b/>
          <w:color w:val="auto"/>
          <w:sz w:val="21"/>
          <w:szCs w:val="21"/>
          <w:highlight w:val="none"/>
          <w:u w:val="single"/>
        </w:rPr>
        <w:t>①人、材、机的市场</w:t>
      </w:r>
      <w:r>
        <w:rPr>
          <w:rFonts w:hint="eastAsia" w:cs="宋体"/>
          <w:b/>
          <w:color w:val="auto"/>
          <w:sz w:val="21"/>
          <w:szCs w:val="21"/>
          <w:highlight w:val="none"/>
          <w:u w:val="single"/>
          <w:lang w:val="en-US" w:eastAsia="zh-CN"/>
        </w:rPr>
        <w:t>价</w:t>
      </w:r>
      <w:r>
        <w:rPr>
          <w:rFonts w:hint="eastAsia" w:ascii="宋体" w:hAnsi="宋体" w:eastAsia="宋体" w:cs="宋体"/>
          <w:b/>
          <w:color w:val="auto"/>
          <w:sz w:val="21"/>
          <w:szCs w:val="21"/>
          <w:highlight w:val="none"/>
          <w:u w:val="single"/>
        </w:rPr>
        <w:t>格变化；②连续 8 小时的停水、电、气；③政策性的调整、④技术措施费，⑤有经验的承包商应该可以预料的风险⑥施工图虽未明确表示但按国家规范必须实施的内容招标文件明确要求包干的内容</w:t>
      </w:r>
      <w:bookmarkEnd w:id="478"/>
      <w:r>
        <w:rPr>
          <w:rFonts w:hint="eastAsia" w:ascii="宋体" w:hAnsi="宋体" w:eastAsia="宋体" w:cs="宋体"/>
          <w:b/>
          <w:color w:val="auto"/>
          <w:sz w:val="21"/>
          <w:szCs w:val="21"/>
          <w:highlight w:val="none"/>
        </w:rPr>
        <w:t>。</w:t>
      </w:r>
    </w:p>
    <w:p w14:paraId="5613E5BA">
      <w:pPr>
        <w:spacing w:line="276"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w:t>
      </w:r>
      <w:bookmarkStart w:id="479" w:name="SOA_zyht_djhtfxjs"/>
      <w:r>
        <w:rPr>
          <w:rFonts w:hint="eastAsia" w:ascii="宋体" w:hAnsi="宋体" w:eastAsia="宋体" w:cs="宋体"/>
          <w:color w:val="auto"/>
          <w:sz w:val="21"/>
          <w:szCs w:val="21"/>
          <w:highlight w:val="none"/>
          <w:u w:val="single"/>
        </w:rPr>
        <w:t xml:space="preserve">以上风险费用已在投标报价时考虑，不再另行计取  </w:t>
      </w:r>
      <w:bookmarkEnd w:id="479"/>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D0CABF9">
      <w:pPr>
        <w:spacing w:line="276"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p>
    <w:p w14:paraId="055CF6F5">
      <w:pPr>
        <w:spacing w:line="276" w:lineRule="auto"/>
        <w:ind w:firstLine="422" w:firstLineChars="200"/>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（1）市场价格波动引起的调整按本合同11.1第3种方式的约定计算</w:t>
      </w:r>
      <w:r>
        <w:rPr>
          <w:rFonts w:hint="eastAsia" w:ascii="宋体" w:hAnsi="宋体" w:eastAsia="宋体" w:cs="宋体"/>
          <w:b/>
          <w:color w:val="auto"/>
          <w:sz w:val="21"/>
          <w:szCs w:val="21"/>
          <w:highlight w:val="none"/>
        </w:rPr>
        <w:t>。</w:t>
      </w:r>
    </w:p>
    <w:p w14:paraId="0EE51A9C">
      <w:pPr>
        <w:spacing w:line="276" w:lineRule="auto"/>
        <w:ind w:firstLine="441" w:firstLineChars="209"/>
        <w:jc w:val="left"/>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u w:val="single"/>
        </w:rPr>
        <w:t>（2）其他：</w:t>
      </w:r>
      <w:r>
        <w:rPr>
          <w:rFonts w:hint="eastAsia" w:ascii="宋体" w:hAnsi="宋体" w:eastAsia="宋体" w:cs="宋体"/>
          <w:color w:val="auto"/>
          <w:sz w:val="21"/>
          <w:szCs w:val="21"/>
          <w:highlight w:val="none"/>
          <w:u w:val="single"/>
        </w:rPr>
        <w:t>只有发生发包人提供的工程量清单漏项、清单工程量有偏差，非承包人原因的设计变更必须由设计单位出具设计变更图纸并经发包人确认、签证认可的特殊事项才可调整合同价款。</w:t>
      </w:r>
    </w:p>
    <w:p w14:paraId="29F0D724">
      <w:pPr>
        <w:spacing w:line="276" w:lineRule="auto"/>
        <w:ind w:firstLine="438" w:firstLineChars="209"/>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调整方法如下：</w:t>
      </w:r>
    </w:p>
    <w:p w14:paraId="1C159678">
      <w:pPr>
        <w:spacing w:line="276" w:lineRule="auto"/>
        <w:ind w:firstLine="438" w:firstLineChars="209"/>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工程量的调整：工程量依据《建设工程工程量清单计价规范》 （GB50500-2013）结算，所有增减工程量的核定均先上报总监理工程师审核签字并加盖监理签证章，由发包人指定代表审定签字加盖（发包人）公章，最终以经工程结算审计审核后的工程量为准。</w:t>
      </w:r>
    </w:p>
    <w:p w14:paraId="7AB821DC">
      <w:pPr>
        <w:spacing w:line="276" w:lineRule="auto"/>
        <w:ind w:firstLine="438" w:firstLineChars="209"/>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合同价款的调整：</w:t>
      </w:r>
    </w:p>
    <w:p w14:paraId="6F8E2753">
      <w:pPr>
        <w:spacing w:line="276" w:lineRule="auto"/>
        <w:ind w:firstLine="438" w:firstLineChars="209"/>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a、招标工程量清单部分及施工过程中的签证部分的单价均按承包人投标时的首轮报价的单价及10.4.1款确定的单价执行，计算出总造价后乘以下浮率（下浮率=投标时最终报价/投标时首轮报价）。</w:t>
      </w:r>
    </w:p>
    <w:p w14:paraId="6A96EC6E">
      <w:pPr>
        <w:spacing w:line="276" w:lineRule="auto"/>
        <w:ind w:firstLine="438" w:firstLineChars="209"/>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变更引起的原清单项目主材变更，则仅调整其主材价差价，差价为“该变更主材施工工期内各月的信息价格的平均值与投标截止日当期的该主材信息价的差价”，其余项目均不作调整。当变更的主材无信息价可以套用，按承发包双方确认的市场价计取差价，其余项目均不作调整。以上价差仅计取税金。发包人有权对材料设备的品牌进行变更，承包人应接受。</w:t>
      </w:r>
    </w:p>
    <w:p w14:paraId="45776D5A">
      <w:pPr>
        <w:spacing w:line="276" w:lineRule="auto"/>
        <w:ind w:firstLine="438" w:firstLineChars="209"/>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（3）工程量清单中没有相同、类似项目综合单价的，按以下方式结算：</w:t>
      </w:r>
    </w:p>
    <w:p w14:paraId="128996FB">
      <w:pPr>
        <w:spacing w:line="276" w:lineRule="auto"/>
        <w:ind w:firstLine="438" w:firstLineChars="209"/>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a、套用 《浙江省建筑工程预算定额（2018）版》、《浙江省安装工程预算定额（2018）版》采用以“直接工程费＋规费＋税金”方式组价，其它管理、利润、风险等费用均不再计取。</w:t>
      </w:r>
    </w:p>
    <w:p w14:paraId="0A07B7FF">
      <w:pPr>
        <w:spacing w:line="276" w:lineRule="auto"/>
        <w:ind w:firstLine="438" w:firstLineChars="209"/>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b、“直接工程费”中的人工、机械及除主要材料外的其它材料的单价和定额消耗量参照 2018版定额计取，人工、机械及主要材料价格按承包人投标文件中的价格计算，如投标文件中同一项目有不同报价的，则按低价计算；如投标文件中无此人工、机械及主要材料单价，按发包人审核后的签证价格。</w:t>
      </w:r>
    </w:p>
    <w:p w14:paraId="4F49108C">
      <w:pPr>
        <w:spacing w:line="276" w:lineRule="auto"/>
        <w:ind w:firstLine="438" w:firstLineChars="209"/>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c、若变更项目无法套用 2018版浙江省定额，则由承包人根据市场行情上报建议综合单价，经监理单位审核后，最终以发包人签证价格为准。</w:t>
      </w:r>
    </w:p>
    <w:p w14:paraId="44CC56B2">
      <w:pPr>
        <w:spacing w:line="276" w:lineRule="auto"/>
        <w:ind w:firstLine="438" w:firstLineChars="209"/>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（4）材料及人工价格调整： /</w:t>
      </w:r>
    </w:p>
    <w:p w14:paraId="5DBBDA44">
      <w:pPr>
        <w:spacing w:line="276" w:lineRule="auto"/>
        <w:ind w:firstLine="438" w:firstLineChars="209"/>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属不可抗力因素造成承包人的直接损失费用，发包人将根据实际情况另行协商，但属于应该预防的因素，因承包人没有及时预防或预防不当造成的损失，发包人不负责补偿；属施工技术组织失误造成的费用、工期损失均由承包人负担。</w:t>
      </w:r>
    </w:p>
    <w:p w14:paraId="5EBBFF49">
      <w:pPr>
        <w:spacing w:line="276" w:lineRule="auto"/>
        <w:ind w:firstLine="438" w:firstLineChars="209"/>
        <w:jc w:val="left"/>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u w:val="single"/>
        </w:rPr>
        <w:t>（6）凡是变更引起的合同价款的调整，均在竣工结算时审计后归入结算总价，施工期间内发包人不再另行支付。</w:t>
      </w:r>
    </w:p>
    <w:p w14:paraId="1B56EB27">
      <w:pPr>
        <w:spacing w:line="276"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总价合同。</w:t>
      </w:r>
    </w:p>
    <w:p w14:paraId="10E36BC0">
      <w:pPr>
        <w:spacing w:line="276"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总价包含的风险范围：</w:t>
      </w:r>
      <w:r>
        <w:rPr>
          <w:rFonts w:hint="eastAsia" w:ascii="宋体" w:hAnsi="宋体" w:eastAsia="宋体" w:cs="宋体"/>
          <w:color w:val="auto"/>
          <w:sz w:val="21"/>
          <w:szCs w:val="21"/>
          <w:highlight w:val="none"/>
          <w:u w:val="single"/>
        </w:rPr>
        <w:t xml:space="preserve"> </w:t>
      </w:r>
      <w:bookmarkStart w:id="480" w:name="SOA_zyht_zjhtfx"/>
      <w:r>
        <w:rPr>
          <w:rFonts w:hint="eastAsia" w:ascii="宋体" w:hAnsi="宋体" w:eastAsia="宋体" w:cs="宋体"/>
          <w:color w:val="auto"/>
          <w:sz w:val="21"/>
          <w:szCs w:val="21"/>
          <w:highlight w:val="none"/>
          <w:u w:val="single"/>
        </w:rPr>
        <w:t xml:space="preserve">   /   </w:t>
      </w:r>
      <w:bookmarkEnd w:id="480"/>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A8D37BE">
      <w:pPr>
        <w:spacing w:line="276"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w:t>
      </w:r>
      <w:bookmarkStart w:id="481" w:name="SOA_zyht_zjhtfxjs"/>
      <w:r>
        <w:rPr>
          <w:rFonts w:hint="eastAsia" w:ascii="宋体" w:hAnsi="宋体" w:eastAsia="宋体" w:cs="宋体"/>
          <w:color w:val="auto"/>
          <w:sz w:val="21"/>
          <w:szCs w:val="21"/>
          <w:highlight w:val="none"/>
          <w:u w:val="single"/>
        </w:rPr>
        <w:t xml:space="preserve">   /   </w:t>
      </w:r>
      <w:bookmarkEnd w:id="481"/>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849BEF2">
      <w:pPr>
        <w:spacing w:line="276"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 xml:space="preserve">  </w:t>
      </w:r>
      <w:bookmarkStart w:id="482" w:name="SOA_zyht_zjhtjgtz"/>
      <w:r>
        <w:rPr>
          <w:rFonts w:hint="eastAsia" w:ascii="宋体" w:hAnsi="宋体" w:eastAsia="宋体" w:cs="宋体"/>
          <w:color w:val="auto"/>
          <w:sz w:val="21"/>
          <w:szCs w:val="21"/>
          <w:highlight w:val="none"/>
          <w:u w:val="single"/>
        </w:rPr>
        <w:t xml:space="preserve">  /    </w:t>
      </w:r>
      <w:bookmarkEnd w:id="482"/>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9E07199">
      <w:pPr>
        <w:spacing w:line="276"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其他价格方式：</w:t>
      </w:r>
      <w:r>
        <w:rPr>
          <w:rFonts w:hint="eastAsia" w:ascii="宋体" w:hAnsi="宋体" w:eastAsia="宋体" w:cs="宋体"/>
          <w:color w:val="auto"/>
          <w:sz w:val="21"/>
          <w:szCs w:val="21"/>
          <w:highlight w:val="none"/>
          <w:u w:val="single"/>
        </w:rPr>
        <w:t xml:space="preserve">     </w:t>
      </w:r>
      <w:bookmarkStart w:id="483" w:name="SOA_zyht_zjhtqtjg"/>
      <w:r>
        <w:rPr>
          <w:rFonts w:hint="eastAsia" w:ascii="宋体" w:hAnsi="宋体" w:eastAsia="宋体" w:cs="宋体"/>
          <w:color w:val="auto"/>
          <w:sz w:val="21"/>
          <w:szCs w:val="21"/>
          <w:highlight w:val="none"/>
          <w:u w:val="single"/>
        </w:rPr>
        <w:t xml:space="preserve">   /   </w:t>
      </w:r>
      <w:bookmarkEnd w:id="483"/>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DAB77C2">
      <w:pPr>
        <w:adjustRightInd w:val="0"/>
        <w:snapToGrid w:val="0"/>
        <w:spacing w:line="360" w:lineRule="auto"/>
        <w:ind w:firstLine="420" w:firstLineChars="200"/>
        <w:rPr>
          <w:rFonts w:hint="eastAsia" w:ascii="宋体" w:hAnsi="宋体" w:eastAsia="宋体" w:cs="宋体"/>
          <w:color w:val="auto"/>
          <w:sz w:val="21"/>
          <w:szCs w:val="21"/>
          <w:highlight w:val="none"/>
        </w:rPr>
      </w:pPr>
      <w:bookmarkStart w:id="484" w:name="_Toc312678042"/>
      <w:bookmarkStart w:id="485" w:name="_Toc297216213"/>
      <w:bookmarkStart w:id="486" w:name="_Toc303539161"/>
      <w:bookmarkStart w:id="487" w:name="_Toc297123554"/>
      <w:bookmarkStart w:id="488" w:name="_Toc304295581"/>
      <w:bookmarkStart w:id="489" w:name="_Toc300935004"/>
      <w:bookmarkStart w:id="490" w:name="_Toc296944546"/>
      <w:bookmarkStart w:id="491" w:name="_Toc296347206"/>
      <w:bookmarkStart w:id="492" w:name="_Toc292559412"/>
      <w:bookmarkStart w:id="493" w:name="_Toc296891035"/>
      <w:bookmarkStart w:id="494" w:name="_Toc296503207"/>
      <w:bookmarkStart w:id="495" w:name="_Toc297048393"/>
      <w:bookmarkStart w:id="496" w:name="_Toc296891247"/>
      <w:bookmarkStart w:id="497" w:name="_Toc292559917"/>
      <w:bookmarkStart w:id="498" w:name="_Toc296346708"/>
      <w:bookmarkStart w:id="499" w:name="_Toc297120507"/>
      <w:r>
        <w:rPr>
          <w:rFonts w:hint="eastAsia" w:ascii="宋体" w:hAnsi="宋体" w:eastAsia="宋体" w:cs="宋体"/>
          <w:color w:val="auto"/>
          <w:sz w:val="21"/>
          <w:szCs w:val="21"/>
          <w:highlight w:val="none"/>
        </w:rPr>
        <w:t>12.2 预付款</w:t>
      </w:r>
    </w:p>
    <w:bookmarkEnd w:id="484"/>
    <w:bookmarkEnd w:id="485"/>
    <w:bookmarkEnd w:id="486"/>
    <w:bookmarkEnd w:id="487"/>
    <w:bookmarkEnd w:id="488"/>
    <w:bookmarkEnd w:id="489"/>
    <w:p w14:paraId="2FBCEDFA">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12.2.1 预付款的支付</w:t>
      </w:r>
    </w:p>
    <w:p w14:paraId="0995E1D9">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color w:val="auto"/>
          <w:sz w:val="21"/>
          <w:szCs w:val="21"/>
          <w:highlight w:val="none"/>
          <w:u w:val="single"/>
        </w:rPr>
        <w:t xml:space="preserve">   合同总价的</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rPr>
        <w:t xml:space="preserve">0%   </w:t>
      </w:r>
      <w:r>
        <w:rPr>
          <w:rFonts w:hint="eastAsia" w:ascii="宋体" w:hAnsi="宋体" w:eastAsia="宋体" w:cs="宋体"/>
          <w:color w:val="auto"/>
          <w:sz w:val="21"/>
          <w:szCs w:val="21"/>
          <w:highlight w:val="none"/>
        </w:rPr>
        <w:t>。</w:t>
      </w:r>
    </w:p>
    <w:p w14:paraId="6C3AB199">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rPr>
        <w:t xml:space="preserve">     乙</w:t>
      </w:r>
      <w:r>
        <w:rPr>
          <w:rFonts w:hint="eastAsia" w:ascii="宋体" w:hAnsi="宋体" w:eastAsia="宋体" w:cs="宋体"/>
          <w:color w:val="auto"/>
          <w:sz w:val="21"/>
          <w:szCs w:val="21"/>
          <w:highlight w:val="none"/>
          <w:u w:val="single"/>
          <w:lang w:val="en-US" w:eastAsia="zh-CN"/>
        </w:rPr>
        <w:t>方</w:t>
      </w:r>
      <w:r>
        <w:rPr>
          <w:rFonts w:hint="eastAsia" w:ascii="宋体" w:hAnsi="宋体" w:eastAsia="宋体" w:cs="宋体"/>
          <w:color w:val="auto"/>
          <w:sz w:val="21"/>
          <w:szCs w:val="21"/>
          <w:highlight w:val="none"/>
          <w:u w:val="single"/>
        </w:rPr>
        <w:t xml:space="preserve">出具预付款保函后七个工作日内        </w:t>
      </w:r>
      <w:r>
        <w:rPr>
          <w:rFonts w:hint="eastAsia" w:ascii="宋体" w:hAnsi="宋体" w:eastAsia="宋体" w:cs="宋体"/>
          <w:color w:val="auto"/>
          <w:sz w:val="21"/>
          <w:szCs w:val="21"/>
          <w:highlight w:val="none"/>
        </w:rPr>
        <w:t>。</w:t>
      </w:r>
    </w:p>
    <w:p w14:paraId="4F144DC8">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B76EBCF">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12.2.2 预付款担保</w:t>
      </w:r>
    </w:p>
    <w:p w14:paraId="6E14C6E1">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7A3CAF8">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bookmarkEnd w:id="490"/>
    <w:bookmarkEnd w:id="491"/>
    <w:bookmarkEnd w:id="492"/>
    <w:bookmarkEnd w:id="493"/>
    <w:bookmarkEnd w:id="494"/>
    <w:bookmarkEnd w:id="495"/>
    <w:bookmarkEnd w:id="496"/>
    <w:bookmarkEnd w:id="497"/>
    <w:bookmarkEnd w:id="498"/>
    <w:bookmarkEnd w:id="499"/>
    <w:p w14:paraId="796D63A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14:paraId="3B321DE0">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12.3.1 计量原则</w:t>
      </w:r>
    </w:p>
    <w:p w14:paraId="2FE17A83">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工程量计算规则：</w:t>
      </w:r>
    </w:p>
    <w:p w14:paraId="787AEF91">
      <w:pPr>
        <w:adjustRightInd w:val="0"/>
        <w:snapToGrid w:val="0"/>
        <w:spacing w:line="360" w:lineRule="auto"/>
        <w:ind w:firstLine="422" w:firstLineChars="200"/>
        <w:jc w:val="lef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（1）</w:t>
      </w:r>
      <w:r>
        <w:rPr>
          <w:rFonts w:hint="eastAsia" w:ascii="宋体" w:hAnsi="宋体" w:eastAsia="宋体" w:cs="宋体"/>
          <w:b/>
          <w:color w:val="auto"/>
          <w:sz w:val="21"/>
          <w:szCs w:val="21"/>
          <w:highlight w:val="none"/>
          <w:u w:val="single"/>
        </w:rPr>
        <w:t xml:space="preserve"> 实行工程量清单计价的工程项目，其工程量的计算规则应按国家标准工程量计算规范及省级行业主管部门颁布的补充规定执行。</w:t>
      </w:r>
    </w:p>
    <w:p w14:paraId="069F3B5A">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12.3.2 计量周期</w:t>
      </w:r>
    </w:p>
    <w:p w14:paraId="4B5CB9B7">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关于计量周期的约定：</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6300A8C8">
      <w:pPr>
        <w:adjustRightInd w:val="0"/>
        <w:snapToGrid w:val="0"/>
        <w:spacing w:line="360" w:lineRule="auto"/>
        <w:ind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12.3.3 单价合同的计量</w:t>
      </w:r>
    </w:p>
    <w:p w14:paraId="0559A05D">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关于单价合同计量的约定：</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3A7665B7">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12.3.4 总价合同的计量</w:t>
      </w:r>
    </w:p>
    <w:p w14:paraId="53BE7A19">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53248373">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12.3.5总价合同采用支付分解表计量支付的，是否适用第12.3.4 项〔总价合同的计量〕约定进行计量：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5FCEF505">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12.3.6 其他价格形式合同的计量</w:t>
      </w:r>
    </w:p>
    <w:p w14:paraId="539D0352">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0B36F4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 工程进度款支付</w:t>
      </w:r>
    </w:p>
    <w:p w14:paraId="6C633A35">
      <w:pPr>
        <w:adjustRightInd w:val="0"/>
        <w:snapToGrid w:val="0"/>
        <w:spacing w:line="360" w:lineRule="auto"/>
        <w:ind w:firstLine="420" w:firstLineChars="200"/>
        <w:jc w:val="left"/>
        <w:rPr>
          <w:rFonts w:hint="eastAsia" w:ascii="宋体" w:hAnsi="宋体" w:eastAsia="宋体" w:cs="宋体"/>
          <w:b/>
          <w:color w:val="auto"/>
          <w:sz w:val="21"/>
          <w:szCs w:val="21"/>
          <w:highlight w:val="none"/>
          <w:u w:val="single"/>
        </w:rPr>
      </w:pPr>
      <w:bookmarkStart w:id="500" w:name="_Toc297048397"/>
      <w:bookmarkStart w:id="501" w:name="_Toc297216215"/>
      <w:bookmarkStart w:id="502" w:name="_Toc297123556"/>
      <w:bookmarkStart w:id="503" w:name="_Toc292559416"/>
      <w:bookmarkStart w:id="504" w:name="_Toc296891251"/>
      <w:bookmarkStart w:id="505" w:name="_Toc292559921"/>
      <w:bookmarkStart w:id="506" w:name="_Toc296891039"/>
      <w:bookmarkStart w:id="507" w:name="_Toc296347210"/>
      <w:bookmarkStart w:id="508" w:name="_Toc297120511"/>
      <w:bookmarkStart w:id="509" w:name="_Toc296346712"/>
      <w:bookmarkStart w:id="510" w:name="_Toc300935006"/>
      <w:bookmarkStart w:id="511" w:name="_Toc296944550"/>
      <w:bookmarkStart w:id="512" w:name="_Toc303539163"/>
      <w:bookmarkStart w:id="513" w:name="_Toc296503211"/>
      <w:r>
        <w:rPr>
          <w:rFonts w:hint="eastAsia" w:ascii="宋体" w:hAnsi="宋体" w:eastAsia="宋体" w:cs="宋体"/>
          <w:color w:val="auto"/>
          <w:sz w:val="21"/>
          <w:szCs w:val="21"/>
          <w:highlight w:val="none"/>
        </w:rPr>
        <w:t>12.4.1</w:t>
      </w:r>
      <w:r>
        <w:rPr>
          <w:rFonts w:hint="eastAsia" w:ascii="宋体" w:hAnsi="宋体" w:eastAsia="宋体" w:cs="宋体"/>
          <w:b/>
          <w:color w:val="auto"/>
          <w:sz w:val="21"/>
          <w:szCs w:val="21"/>
          <w:highlight w:val="none"/>
          <w:u w:val="single"/>
        </w:rPr>
        <w:t>付款周期</w:t>
      </w:r>
    </w:p>
    <w:p w14:paraId="1D2D3DAE">
      <w:pPr>
        <w:adjustRightInd w:val="0"/>
        <w:snapToGrid w:val="0"/>
        <w:spacing w:line="360" w:lineRule="auto"/>
        <w:ind w:firstLine="396" w:firstLineChars="200"/>
        <w:jc w:val="left"/>
        <w:rPr>
          <w:rFonts w:hint="eastAsia" w:ascii="宋体" w:hAnsi="宋体" w:eastAsia="宋体" w:cs="宋体"/>
          <w:b w:val="0"/>
          <w:bCs w:val="0"/>
          <w:color w:val="auto"/>
          <w:sz w:val="21"/>
          <w:szCs w:val="21"/>
          <w:highlight w:val="none"/>
          <w:u w:val="single"/>
        </w:rPr>
      </w:pPr>
      <w:r>
        <w:rPr>
          <w:rFonts w:hint="eastAsia" w:cs="宋体"/>
          <w:b w:val="0"/>
          <w:bCs w:val="0"/>
          <w:color w:val="auto"/>
          <w:spacing w:val="-6"/>
          <w:sz w:val="21"/>
          <w:szCs w:val="21"/>
          <w:highlight w:val="none"/>
          <w:u w:val="single"/>
          <w:lang w:val="en-US" w:eastAsia="zh-CN"/>
        </w:rPr>
        <w:t>合</w:t>
      </w:r>
      <w:r>
        <w:rPr>
          <w:rFonts w:hint="eastAsia" w:ascii="宋体" w:hAnsi="宋体" w:eastAsia="宋体" w:cs="宋体"/>
          <w:b w:val="0"/>
          <w:bCs w:val="0"/>
          <w:color w:val="auto"/>
          <w:spacing w:val="-6"/>
          <w:sz w:val="21"/>
          <w:szCs w:val="21"/>
          <w:highlight w:val="none"/>
          <w:u w:val="single"/>
        </w:rPr>
        <w:t>同生效且</w:t>
      </w:r>
      <w:r>
        <w:rPr>
          <w:rFonts w:hint="eastAsia" w:cs="宋体"/>
          <w:b w:val="0"/>
          <w:bCs w:val="0"/>
          <w:color w:val="auto"/>
          <w:spacing w:val="-6"/>
          <w:sz w:val="21"/>
          <w:szCs w:val="21"/>
          <w:highlight w:val="none"/>
          <w:u w:val="single"/>
          <w:lang w:val="en-US" w:eastAsia="zh-CN"/>
        </w:rPr>
        <w:t>乙方</w:t>
      </w:r>
      <w:r>
        <w:rPr>
          <w:rFonts w:hint="eastAsia" w:ascii="宋体" w:hAnsi="宋体" w:eastAsia="宋体" w:cs="宋体"/>
          <w:b w:val="0"/>
          <w:bCs w:val="0"/>
          <w:color w:val="auto"/>
          <w:spacing w:val="-6"/>
          <w:sz w:val="21"/>
          <w:szCs w:val="21"/>
          <w:highlight w:val="none"/>
          <w:u w:val="single"/>
        </w:rPr>
        <w:t>出具预付款保函后七个工作日内，</w:t>
      </w:r>
      <w:r>
        <w:rPr>
          <w:rFonts w:hint="eastAsia" w:cs="宋体"/>
          <w:b w:val="0"/>
          <w:bCs w:val="0"/>
          <w:color w:val="auto"/>
          <w:spacing w:val="-6"/>
          <w:sz w:val="21"/>
          <w:szCs w:val="21"/>
          <w:highlight w:val="none"/>
          <w:u w:val="single"/>
          <w:lang w:val="en-US" w:eastAsia="zh-CN"/>
        </w:rPr>
        <w:t>甲方</w:t>
      </w:r>
      <w:r>
        <w:rPr>
          <w:rFonts w:hint="eastAsia" w:ascii="宋体" w:hAnsi="宋体" w:eastAsia="宋体" w:cs="宋体"/>
          <w:b w:val="0"/>
          <w:bCs w:val="0"/>
          <w:color w:val="auto"/>
          <w:spacing w:val="-6"/>
          <w:sz w:val="21"/>
          <w:szCs w:val="21"/>
          <w:highlight w:val="none"/>
          <w:u w:val="single"/>
        </w:rPr>
        <w:t>向</w:t>
      </w:r>
      <w:r>
        <w:rPr>
          <w:rFonts w:hint="eastAsia" w:cs="宋体"/>
          <w:b w:val="0"/>
          <w:bCs w:val="0"/>
          <w:color w:val="auto"/>
          <w:spacing w:val="-6"/>
          <w:sz w:val="21"/>
          <w:szCs w:val="21"/>
          <w:highlight w:val="none"/>
          <w:u w:val="single"/>
          <w:lang w:val="en-US" w:eastAsia="zh-CN"/>
        </w:rPr>
        <w:t>乙方</w:t>
      </w:r>
      <w:r>
        <w:rPr>
          <w:rFonts w:hint="eastAsia" w:ascii="宋体" w:hAnsi="宋体" w:eastAsia="宋体" w:cs="宋体"/>
          <w:b w:val="0"/>
          <w:bCs w:val="0"/>
          <w:color w:val="auto"/>
          <w:spacing w:val="-6"/>
          <w:sz w:val="21"/>
          <w:szCs w:val="21"/>
          <w:highlight w:val="none"/>
          <w:u w:val="single"/>
        </w:rPr>
        <w:t>支付合同金额</w:t>
      </w:r>
      <w:r>
        <w:rPr>
          <w:rFonts w:hint="eastAsia" w:ascii="宋体" w:hAnsi="宋体" w:eastAsia="宋体" w:cs="宋体"/>
          <w:b w:val="0"/>
          <w:bCs w:val="0"/>
          <w:color w:val="auto"/>
          <w:spacing w:val="-6"/>
          <w:sz w:val="21"/>
          <w:szCs w:val="21"/>
          <w:highlight w:val="none"/>
          <w:u w:val="single"/>
          <w:lang w:val="en-US" w:eastAsia="zh-CN"/>
        </w:rPr>
        <w:t>4</w:t>
      </w:r>
      <w:r>
        <w:rPr>
          <w:rFonts w:hint="eastAsia" w:ascii="宋体" w:hAnsi="宋体" w:eastAsia="宋体" w:cs="宋体"/>
          <w:b w:val="0"/>
          <w:bCs w:val="0"/>
          <w:color w:val="auto"/>
          <w:spacing w:val="-6"/>
          <w:sz w:val="21"/>
          <w:szCs w:val="21"/>
          <w:highlight w:val="none"/>
          <w:u w:val="single"/>
        </w:rPr>
        <w:t>0%的预付款</w:t>
      </w:r>
      <w:r>
        <w:rPr>
          <w:rFonts w:hint="eastAsia" w:cs="宋体"/>
          <w:b w:val="0"/>
          <w:bCs w:val="0"/>
          <w:color w:val="auto"/>
          <w:spacing w:val="-6"/>
          <w:sz w:val="21"/>
          <w:szCs w:val="21"/>
          <w:highlight w:val="none"/>
          <w:u w:val="single"/>
          <w:lang w:eastAsia="zh-CN"/>
        </w:rPr>
        <w:t>；项目主要材料、设备进场后支付到合同金额的</w:t>
      </w:r>
      <w:r>
        <w:rPr>
          <w:rFonts w:hint="eastAsia" w:cs="宋体"/>
          <w:b w:val="0"/>
          <w:bCs w:val="0"/>
          <w:color w:val="auto"/>
          <w:spacing w:val="-6"/>
          <w:sz w:val="21"/>
          <w:szCs w:val="21"/>
          <w:highlight w:val="none"/>
          <w:u w:val="single"/>
          <w:lang w:val="en-US" w:eastAsia="zh-CN"/>
        </w:rPr>
        <w:t>75%；项目竣工验收合格后，经甲方委托第三方审计单位对该项目进行结算审计，根据双方认可的审定结果支付工程款，甲方</w:t>
      </w:r>
      <w:r>
        <w:rPr>
          <w:rFonts w:hint="eastAsia" w:cs="宋体"/>
          <w:b w:val="0"/>
          <w:bCs w:val="0"/>
          <w:color w:val="auto"/>
          <w:spacing w:val="-6"/>
          <w:sz w:val="21"/>
          <w:szCs w:val="21"/>
          <w:highlight w:val="none"/>
          <w:u w:val="single"/>
          <w:lang w:eastAsia="zh-CN"/>
        </w:rPr>
        <w:t>自收到发票后7个工作日内，支付至审定价的100%。</w:t>
      </w:r>
    </w:p>
    <w:p w14:paraId="497A7379">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12.4.2 进度付款申请单的编制</w:t>
      </w:r>
    </w:p>
    <w:p w14:paraId="38E71E93">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关于进度付款申请单编制的约定：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E187711">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r>
        <w:rPr>
          <w:rFonts w:hint="eastAsia" w:ascii="宋体" w:hAnsi="宋体" w:eastAsia="宋体" w:cs="宋体"/>
          <w:color w:val="auto"/>
          <w:sz w:val="21"/>
          <w:szCs w:val="21"/>
          <w:highlight w:val="none"/>
        </w:rPr>
        <w:t>2.4.3 进度付款申请单的提交</w:t>
      </w:r>
    </w:p>
    <w:p w14:paraId="51CC979B">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0747C4D">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343F1AE">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59E18250">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12.4.4 进度款审核和支付</w:t>
      </w:r>
    </w:p>
    <w:p w14:paraId="0C4B007D">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（1）发包人完成审批并签发进度款支付证书的期限：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9122DB6">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（2）发包人支付进度款的期限：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56884CAE">
      <w:pPr>
        <w:adjustRightInd w:val="0"/>
        <w:snapToGrid w:val="0"/>
        <w:spacing w:line="360" w:lineRule="auto"/>
        <w:ind w:firstLine="525" w:firstLineChars="25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发包人逾期支付进度款的违约金的计算方式：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C283C38">
      <w:pPr>
        <w:adjustRightInd w:val="0"/>
        <w:snapToGrid w:val="0"/>
        <w:spacing w:line="360" w:lineRule="auto"/>
        <w:ind w:firstLine="525" w:firstLineChars="2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12.4.6 支付分解表的编制</w:t>
      </w:r>
    </w:p>
    <w:p w14:paraId="5C03BD3C">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50F61A86">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bookmarkEnd w:id="366"/>
    <w:p w14:paraId="31BE8C42">
      <w:pPr>
        <w:keepNext/>
        <w:keepLines/>
        <w:widowControl w:val="0"/>
        <w:numPr>
          <w:ilvl w:val="3"/>
          <w:numId w:val="0"/>
        </w:numPr>
        <w:adjustRightInd w:val="0"/>
        <w:snapToGrid w:val="0"/>
        <w:spacing w:before="280" w:after="290" w:line="360" w:lineRule="auto"/>
        <w:ind w:left="426"/>
        <w:jc w:val="both"/>
        <w:outlineLvl w:val="3"/>
        <w:rPr>
          <w:rFonts w:hint="eastAsia" w:ascii="宋体" w:hAnsi="宋体" w:eastAsia="宋体" w:cs="宋体"/>
          <w:b/>
          <w:bCs/>
          <w:color w:val="auto"/>
          <w:kern w:val="2"/>
          <w:sz w:val="21"/>
          <w:szCs w:val="21"/>
          <w:highlight w:val="none"/>
          <w:lang w:val="en-US" w:eastAsia="zh-CN" w:bidi="ar-SA"/>
        </w:rPr>
      </w:pPr>
      <w:bookmarkStart w:id="514" w:name="_Toc351203645"/>
      <w:bookmarkStart w:id="515" w:name="_Toc296944558"/>
      <w:bookmarkStart w:id="516" w:name="_Toc300935015"/>
      <w:bookmarkStart w:id="517" w:name="_Toc303539172"/>
      <w:bookmarkStart w:id="518" w:name="_Toc297123564"/>
      <w:bookmarkStart w:id="519" w:name="_Toc297216223"/>
      <w:bookmarkStart w:id="520" w:name="_Toc297120519"/>
      <w:bookmarkStart w:id="521" w:name="_Toc312678053"/>
      <w:bookmarkStart w:id="522" w:name="_Toc296347218"/>
      <w:bookmarkStart w:id="523" w:name="_Toc296503219"/>
      <w:bookmarkStart w:id="524" w:name="_Toc297048405"/>
      <w:bookmarkStart w:id="525" w:name="_Toc292559929"/>
      <w:bookmarkStart w:id="526" w:name="_Toc296891259"/>
      <w:bookmarkStart w:id="527" w:name="_Toc296346720"/>
      <w:bookmarkStart w:id="528" w:name="_Toc296891047"/>
      <w:bookmarkStart w:id="529" w:name="_Toc292559424"/>
      <w:bookmarkStart w:id="530" w:name="_Toc304295593"/>
      <w:r>
        <w:rPr>
          <w:rFonts w:hint="eastAsia" w:ascii="宋体" w:hAnsi="宋体" w:eastAsia="宋体" w:cs="宋体"/>
          <w:b/>
          <w:bCs/>
          <w:color w:val="auto"/>
          <w:kern w:val="2"/>
          <w:sz w:val="21"/>
          <w:szCs w:val="21"/>
          <w:highlight w:val="none"/>
          <w:lang w:val="en-US" w:eastAsia="zh-CN" w:bidi="ar-SA"/>
        </w:rPr>
        <w:t>13. 验收和工程试车</w:t>
      </w:r>
      <w:bookmarkEnd w:id="514"/>
    </w:p>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14:paraId="14888C14">
      <w:pPr>
        <w:adjustRightInd w:val="0"/>
        <w:snapToGrid w:val="0"/>
        <w:spacing w:line="360" w:lineRule="auto"/>
        <w:ind w:firstLine="420" w:firstLineChars="200"/>
        <w:rPr>
          <w:rFonts w:hint="eastAsia" w:ascii="宋体" w:hAnsi="宋体" w:eastAsia="宋体" w:cs="宋体"/>
          <w:color w:val="auto"/>
          <w:sz w:val="21"/>
          <w:szCs w:val="21"/>
          <w:highlight w:val="none"/>
        </w:rPr>
      </w:pPr>
      <w:bookmarkStart w:id="531" w:name="_Toc296891051"/>
      <w:bookmarkStart w:id="532" w:name="_Toc296944562"/>
      <w:bookmarkStart w:id="533" w:name="_Toc296503223"/>
      <w:bookmarkStart w:id="534" w:name="_Toc296346724"/>
      <w:bookmarkStart w:id="535" w:name="_Toc292559428"/>
      <w:bookmarkStart w:id="536" w:name="_Toc300935016"/>
      <w:bookmarkStart w:id="537" w:name="_Toc297123565"/>
      <w:bookmarkStart w:id="538" w:name="_Toc297048409"/>
      <w:bookmarkStart w:id="539" w:name="_Toc296347222"/>
      <w:bookmarkStart w:id="540" w:name="_Toc292559933"/>
      <w:bookmarkStart w:id="541" w:name="_Toc296891263"/>
      <w:bookmarkStart w:id="542" w:name="_Toc297216224"/>
      <w:bookmarkStart w:id="543" w:name="_Toc304295596"/>
      <w:bookmarkStart w:id="544" w:name="_Toc312678056"/>
      <w:bookmarkStart w:id="545" w:name="_Toc297120523"/>
      <w:bookmarkStart w:id="546" w:name="_Toc303539173"/>
      <w:bookmarkStart w:id="547" w:name="_Toc267251471"/>
      <w:bookmarkStart w:id="548" w:name="_Toc267251475"/>
      <w:bookmarkStart w:id="549" w:name="_Toc267251474"/>
      <w:bookmarkStart w:id="550" w:name="_Toc267251472"/>
      <w:bookmarkStart w:id="551" w:name="_Toc267251476"/>
      <w:bookmarkStart w:id="552" w:name="_Toc267251470"/>
      <w:bookmarkStart w:id="553" w:name="_Toc267251473"/>
      <w:r>
        <w:rPr>
          <w:rFonts w:hint="eastAsia" w:ascii="宋体" w:hAnsi="宋体" w:eastAsia="宋体" w:cs="宋体"/>
          <w:color w:val="auto"/>
          <w:sz w:val="21"/>
          <w:szCs w:val="21"/>
          <w:highlight w:val="none"/>
        </w:rPr>
        <w:t>13.2 竣工验收</w:t>
      </w:r>
    </w:p>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14:paraId="1BEB1EA9">
      <w:pPr>
        <w:adjustRightInd w:val="0"/>
        <w:snapToGrid w:val="0"/>
        <w:spacing w:line="360" w:lineRule="auto"/>
        <w:ind w:firstLine="420" w:firstLineChars="200"/>
        <w:jc w:val="left"/>
        <w:rPr>
          <w:rFonts w:hint="eastAsia" w:ascii="宋体" w:hAnsi="宋体" w:eastAsia="宋体" w:cs="宋体"/>
          <w:color w:val="auto"/>
          <w:sz w:val="21"/>
          <w:szCs w:val="21"/>
          <w:highlight w:val="none"/>
        </w:rPr>
      </w:pPr>
      <w:bookmarkStart w:id="554" w:name="_Toc280868704"/>
      <w:bookmarkStart w:id="555" w:name="_Toc280868705"/>
      <w:bookmarkStart w:id="556" w:name="_Toc280868706"/>
      <w:bookmarkStart w:id="557" w:name="_Toc280868707"/>
      <w:bookmarkStart w:id="558" w:name="_Toc280868708"/>
      <w:bookmarkStart w:id="559" w:name="_Toc280868709"/>
      <w:r>
        <w:rPr>
          <w:rFonts w:hint="eastAsia" w:ascii="宋体" w:hAnsi="宋体" w:eastAsia="宋体" w:cs="宋体"/>
          <w:color w:val="auto"/>
          <w:sz w:val="21"/>
          <w:szCs w:val="21"/>
          <w:highlight w:val="none"/>
        </w:rPr>
        <w:t>13.2.2竣工验收程序</w:t>
      </w:r>
    </w:p>
    <w:bookmarkEnd w:id="554"/>
    <w:p w14:paraId="286FE138">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关于竣工验收程序的约定：</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3F0BEA7A">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按通用条款执行   </w:t>
      </w:r>
      <w:r>
        <w:rPr>
          <w:rFonts w:hint="eastAsia" w:ascii="宋体" w:hAnsi="宋体" w:eastAsia="宋体" w:cs="宋体"/>
          <w:color w:val="auto"/>
          <w:sz w:val="21"/>
          <w:szCs w:val="21"/>
          <w:highlight w:val="none"/>
        </w:rPr>
        <w:t>。</w:t>
      </w:r>
    </w:p>
    <w:bookmarkEnd w:id="555"/>
    <w:p w14:paraId="6841737B">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13.2.5移交、接收全部与部分工程</w:t>
      </w:r>
    </w:p>
    <w:bookmarkEnd w:id="556"/>
    <w:p w14:paraId="68C5F6CF">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承包人向发包人移交工程的期限：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4D185D82">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bookmarkEnd w:id="557"/>
    <w:p w14:paraId="167CE84D">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color w:val="auto"/>
          <w:sz w:val="21"/>
          <w:szCs w:val="21"/>
          <w:highlight w:val="none"/>
          <w:u w:val="single"/>
        </w:rPr>
        <w:t>工程竣工验收备案后2日内，承包人须向发包人移交全部工程（含工程资料），延误3天以内的按人民币3000元/天扣除延误费，3天以上的，则以上天数按人民币5000元/天计算，违约金直接从工程款中扣除。因逾期交付工程给发包人造成经济损失的，赔偿损失。同时，承包人移交所有工程之前，发包人有权拒绝结算、支付工程款</w:t>
      </w:r>
      <w:r>
        <w:rPr>
          <w:rFonts w:hint="eastAsia" w:ascii="宋体" w:hAnsi="宋体" w:eastAsia="宋体" w:cs="宋体"/>
          <w:color w:val="auto"/>
          <w:sz w:val="21"/>
          <w:szCs w:val="21"/>
          <w:highlight w:val="none"/>
        </w:rPr>
        <w:t>。</w:t>
      </w:r>
    </w:p>
    <w:p w14:paraId="42B3D9D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工程试车</w:t>
      </w:r>
    </w:p>
    <w:bookmarkEnd w:id="558"/>
    <w:p w14:paraId="1E713AA7">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13.3.1 试车程序</w:t>
      </w:r>
    </w:p>
    <w:p w14:paraId="6F5E8669">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工程试车内容：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7E2B46A">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（1）单机无负荷试车费用由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承担；</w:t>
      </w:r>
    </w:p>
    <w:p w14:paraId="3A9CCEE4">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（2）无负荷联动试车费用由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承担。</w:t>
      </w:r>
    </w:p>
    <w:p w14:paraId="2A29E39B">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13.3.3 投料试车</w:t>
      </w:r>
    </w:p>
    <w:p w14:paraId="09A47FD6">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关于投料试车相关事项的约定：</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65770E5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13.6 竣工退场</w:t>
      </w:r>
    </w:p>
    <w:p w14:paraId="6C25DEF8">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13.6.1 竣工退场</w:t>
      </w:r>
    </w:p>
    <w:p w14:paraId="577D32DF">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承包人完成竣工退场的期限：</w:t>
      </w:r>
      <w:r>
        <w:rPr>
          <w:rFonts w:hint="eastAsia" w:ascii="宋体" w:hAnsi="宋体" w:eastAsia="宋体" w:cs="宋体"/>
          <w:color w:val="auto"/>
          <w:sz w:val="21"/>
          <w:szCs w:val="21"/>
          <w:highlight w:val="none"/>
          <w:u w:val="single"/>
        </w:rPr>
        <w:t xml:space="preserve">   颁发工程接收书后2天      </w:t>
      </w:r>
      <w:r>
        <w:rPr>
          <w:rFonts w:hint="eastAsia" w:ascii="宋体" w:hAnsi="宋体" w:eastAsia="宋体" w:cs="宋体"/>
          <w:color w:val="auto"/>
          <w:sz w:val="21"/>
          <w:szCs w:val="21"/>
          <w:highlight w:val="none"/>
        </w:rPr>
        <w:t>。</w:t>
      </w:r>
    </w:p>
    <w:p w14:paraId="5081C576">
      <w:pPr>
        <w:keepNext/>
        <w:keepLines/>
        <w:widowControl w:val="0"/>
        <w:numPr>
          <w:ilvl w:val="3"/>
          <w:numId w:val="0"/>
        </w:numPr>
        <w:adjustRightInd w:val="0"/>
        <w:snapToGrid w:val="0"/>
        <w:spacing w:before="280" w:after="290" w:line="360" w:lineRule="auto"/>
        <w:ind w:left="426"/>
        <w:jc w:val="both"/>
        <w:outlineLvl w:val="3"/>
        <w:rPr>
          <w:rFonts w:hint="eastAsia" w:ascii="宋体" w:hAnsi="宋体" w:eastAsia="宋体" w:cs="宋体"/>
          <w:b/>
          <w:bCs/>
          <w:color w:val="auto"/>
          <w:kern w:val="2"/>
          <w:sz w:val="21"/>
          <w:szCs w:val="21"/>
          <w:highlight w:val="none"/>
          <w:lang w:val="en-US" w:eastAsia="zh-CN" w:bidi="ar-SA"/>
        </w:rPr>
      </w:pPr>
      <w:bookmarkStart w:id="560" w:name="_Toc351203646"/>
      <w:r>
        <w:rPr>
          <w:rFonts w:hint="eastAsia" w:ascii="宋体" w:hAnsi="宋体" w:eastAsia="宋体" w:cs="宋体"/>
          <w:b/>
          <w:bCs/>
          <w:color w:val="auto"/>
          <w:kern w:val="2"/>
          <w:sz w:val="21"/>
          <w:szCs w:val="21"/>
          <w:highlight w:val="none"/>
          <w:lang w:val="en-US" w:eastAsia="zh-CN" w:bidi="ar-SA"/>
        </w:rPr>
        <w:t>14. 竣工结算</w:t>
      </w:r>
      <w:bookmarkEnd w:id="560"/>
    </w:p>
    <w:p w14:paraId="313C25A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竣工付款申请</w:t>
      </w:r>
    </w:p>
    <w:p w14:paraId="4C2F646A">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承包人提交竣工付款申请单的期限：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7E06DACB">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竣工付款申请单应包括的内容：</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4509A84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竣工结算审核</w:t>
      </w:r>
    </w:p>
    <w:p w14:paraId="2964E0AD">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发包人审批竣工付款申请单的期限：</w:t>
      </w:r>
      <w:r>
        <w:rPr>
          <w:rFonts w:hint="eastAsia" w:ascii="宋体" w:hAnsi="宋体" w:eastAsia="宋体" w:cs="宋体"/>
          <w:color w:val="auto"/>
          <w:sz w:val="21"/>
          <w:szCs w:val="21"/>
          <w:highlight w:val="none"/>
          <w:u w:val="single"/>
        </w:rPr>
        <w:t xml:space="preserve">  按发包人实际审计完成时间</w:t>
      </w:r>
      <w:r>
        <w:rPr>
          <w:rFonts w:hint="eastAsia" w:ascii="宋体" w:hAnsi="宋体" w:eastAsia="宋体" w:cs="宋体"/>
          <w:color w:val="auto"/>
          <w:sz w:val="21"/>
          <w:szCs w:val="21"/>
          <w:highlight w:val="none"/>
        </w:rPr>
        <w:t>。</w:t>
      </w:r>
    </w:p>
    <w:p w14:paraId="0ED5CC31">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发包人完成竣工付款的期限：</w:t>
      </w:r>
      <w:r>
        <w:rPr>
          <w:rFonts w:hint="eastAsia" w:ascii="宋体" w:hAnsi="宋体" w:eastAsia="宋体" w:cs="宋体"/>
          <w:color w:val="auto"/>
          <w:sz w:val="21"/>
          <w:szCs w:val="21"/>
          <w:highlight w:val="none"/>
          <w:u w:val="single"/>
        </w:rPr>
        <w:t xml:space="preserve">   发包人完成审计结算10个工作日内，如遇法定节假日及寒、暑假顺延    </w:t>
      </w:r>
      <w:r>
        <w:rPr>
          <w:rFonts w:hint="eastAsia" w:ascii="宋体" w:hAnsi="宋体" w:eastAsia="宋体" w:cs="宋体"/>
          <w:color w:val="auto"/>
          <w:sz w:val="21"/>
          <w:szCs w:val="21"/>
          <w:highlight w:val="none"/>
        </w:rPr>
        <w:t>。</w:t>
      </w:r>
    </w:p>
    <w:p w14:paraId="45197025">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关于竣工付款证书异议部分复核的方式和程序：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D13688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 最终结清</w:t>
      </w:r>
    </w:p>
    <w:p w14:paraId="61B85C39">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14.4.1 最终结清申请单</w:t>
      </w:r>
    </w:p>
    <w:p w14:paraId="7D339D9E">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承包人提交最终结清申请单的份数：</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47B35C38">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承包人提交最终结算申请单的期限：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 </w:t>
      </w:r>
    </w:p>
    <w:p w14:paraId="5B09C60F">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14.4.2 最终结清证书和支付</w:t>
      </w:r>
    </w:p>
    <w:bookmarkEnd w:id="547"/>
    <w:bookmarkEnd w:id="548"/>
    <w:bookmarkEnd w:id="549"/>
    <w:bookmarkEnd w:id="550"/>
    <w:bookmarkEnd w:id="551"/>
    <w:bookmarkEnd w:id="552"/>
    <w:bookmarkEnd w:id="553"/>
    <w:bookmarkEnd w:id="559"/>
    <w:p w14:paraId="49C81E3E">
      <w:pPr>
        <w:adjustRightInd w:val="0"/>
        <w:snapToGrid w:val="0"/>
        <w:spacing w:line="360" w:lineRule="auto"/>
        <w:ind w:firstLine="420" w:firstLineChars="200"/>
        <w:jc w:val="left"/>
        <w:rPr>
          <w:rFonts w:hint="eastAsia" w:ascii="宋体" w:hAnsi="宋体" w:eastAsia="宋体" w:cs="宋体"/>
          <w:color w:val="auto"/>
          <w:sz w:val="21"/>
          <w:szCs w:val="21"/>
          <w:highlight w:val="none"/>
        </w:rPr>
      </w:pPr>
      <w:bookmarkStart w:id="561" w:name="_Toc351203647"/>
      <w:bookmarkStart w:id="562" w:name="_Toc267251483"/>
      <w:bookmarkStart w:id="563" w:name="_Toc267251484"/>
      <w:bookmarkStart w:id="564" w:name="_Toc267251482"/>
      <w:bookmarkStart w:id="565" w:name="_Toc267251485"/>
      <w:bookmarkStart w:id="566" w:name="_Toc267251488"/>
      <w:bookmarkStart w:id="567" w:name="_Toc267251486"/>
      <w:bookmarkStart w:id="568" w:name="_Toc267251490"/>
      <w:bookmarkStart w:id="569" w:name="_Toc267251489"/>
      <w:bookmarkStart w:id="570" w:name="_Toc267251497"/>
      <w:bookmarkStart w:id="571" w:name="_Toc267251503"/>
      <w:bookmarkStart w:id="572" w:name="_Toc267251496"/>
      <w:bookmarkStart w:id="573" w:name="_Toc267251501"/>
      <w:bookmarkStart w:id="574" w:name="_Toc267251493"/>
      <w:bookmarkStart w:id="575" w:name="_Toc267251491"/>
      <w:bookmarkStart w:id="576" w:name="_Toc267251492"/>
      <w:bookmarkStart w:id="577" w:name="_Toc267251494"/>
      <w:bookmarkStart w:id="578" w:name="_Toc267251499"/>
      <w:bookmarkStart w:id="579" w:name="_Toc267251502"/>
      <w:bookmarkStart w:id="580" w:name="_Toc267251495"/>
      <w:bookmarkStart w:id="581" w:name="_Toc267251498"/>
      <w:bookmarkStart w:id="582" w:name="_Toc267251504"/>
      <w:bookmarkStart w:id="583" w:name="_Toc267251506"/>
      <w:bookmarkStart w:id="584" w:name="_Toc267251507"/>
      <w:bookmarkStart w:id="585" w:name="_Toc267251508"/>
      <w:bookmarkStart w:id="586" w:name="_Toc267251511"/>
      <w:bookmarkStart w:id="587" w:name="_Toc267251513"/>
      <w:bookmarkStart w:id="588" w:name="_Toc267251514"/>
      <w:bookmarkStart w:id="589" w:name="_Toc267251510"/>
      <w:bookmarkStart w:id="590" w:name="_Toc267251515"/>
      <w:bookmarkStart w:id="591" w:name="_Toc267251509"/>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color w:val="auto"/>
          <w:sz w:val="21"/>
          <w:szCs w:val="21"/>
          <w:highlight w:val="none"/>
          <w:u w:val="single"/>
        </w:rPr>
        <w:t xml:space="preserve">  按发包人实际审计完成时间 </w:t>
      </w:r>
      <w:r>
        <w:rPr>
          <w:rFonts w:hint="eastAsia" w:ascii="宋体" w:hAnsi="宋体" w:eastAsia="宋体" w:cs="宋体"/>
          <w:color w:val="auto"/>
          <w:sz w:val="21"/>
          <w:szCs w:val="21"/>
          <w:highlight w:val="none"/>
        </w:rPr>
        <w:t>。</w:t>
      </w:r>
    </w:p>
    <w:p w14:paraId="5772B852">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sz w:val="21"/>
          <w:szCs w:val="21"/>
          <w:highlight w:val="none"/>
          <w:u w:val="single"/>
        </w:rPr>
        <w:t xml:space="preserve">   发包人完成审计结算10个工作日内   </w:t>
      </w:r>
      <w:r>
        <w:rPr>
          <w:rFonts w:hint="eastAsia" w:ascii="宋体" w:hAnsi="宋体" w:eastAsia="宋体" w:cs="宋体"/>
          <w:color w:val="auto"/>
          <w:sz w:val="21"/>
          <w:szCs w:val="21"/>
          <w:highlight w:val="none"/>
        </w:rPr>
        <w:t>。</w:t>
      </w:r>
    </w:p>
    <w:p w14:paraId="13442630">
      <w:pPr>
        <w:keepNext/>
        <w:keepLines/>
        <w:widowControl w:val="0"/>
        <w:numPr>
          <w:ilvl w:val="3"/>
          <w:numId w:val="0"/>
        </w:numPr>
        <w:adjustRightInd w:val="0"/>
        <w:snapToGrid w:val="0"/>
        <w:spacing w:before="280" w:after="290" w:line="360" w:lineRule="auto"/>
        <w:ind w:left="426"/>
        <w:jc w:val="both"/>
        <w:outlineLvl w:val="3"/>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15. 缺陷责任期与保修</w:t>
      </w:r>
      <w:bookmarkEnd w:id="561"/>
    </w:p>
    <w:p w14:paraId="45CB3B7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15.2缺陷责任期</w:t>
      </w:r>
      <w:bookmarkEnd w:id="562"/>
    </w:p>
    <w:p w14:paraId="7C14458D">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缺陷责任期的具体期限：</w:t>
      </w:r>
      <w:r>
        <w:rPr>
          <w:rFonts w:hint="eastAsia" w:ascii="宋体" w:hAnsi="宋体" w:eastAsia="宋体" w:cs="宋体"/>
          <w:color w:val="auto"/>
          <w:sz w:val="21"/>
          <w:szCs w:val="21"/>
          <w:highlight w:val="none"/>
          <w:u w:val="single"/>
        </w:rPr>
        <w:t xml:space="preserve"> 24个月 。</w:t>
      </w:r>
      <w:r>
        <w:rPr>
          <w:rFonts w:hint="eastAsia" w:ascii="宋体" w:hAnsi="宋体" w:eastAsia="宋体" w:cs="宋体"/>
          <w:color w:val="auto"/>
          <w:sz w:val="21"/>
          <w:szCs w:val="21"/>
          <w:highlight w:val="none"/>
        </w:rPr>
        <w:t xml:space="preserve">   </w:t>
      </w:r>
    </w:p>
    <w:p w14:paraId="2966BA2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 质量保证金</w:t>
      </w:r>
    </w:p>
    <w:p w14:paraId="3B917A88">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15.3.1 承包人提供质量保证金的方式</w:t>
      </w:r>
    </w:p>
    <w:p w14:paraId="610DDB69">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种方式：</w:t>
      </w:r>
    </w:p>
    <w:p w14:paraId="58849B5E">
      <w:pPr>
        <w:autoSpaceDE w:val="0"/>
        <w:autoSpaceDN w:val="0"/>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（1）质量保证金保函，保证金额为：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4963C1C1">
      <w:pPr>
        <w:autoSpaceDE w:val="0"/>
        <w:autoSpaceDN w:val="0"/>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%的工程款；</w:t>
      </w:r>
    </w:p>
    <w:p w14:paraId="547220AB">
      <w:pPr>
        <w:autoSpaceDE w:val="0"/>
        <w:autoSpaceDN w:val="0"/>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（3）其他方式:</w:t>
      </w:r>
    </w:p>
    <w:p w14:paraId="5E25071A">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 质量保证金的扣留 </w:t>
      </w:r>
    </w:p>
    <w:p w14:paraId="582A3868">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种方式：</w:t>
      </w:r>
    </w:p>
    <w:p w14:paraId="68E1D578">
      <w:pPr>
        <w:autoSpaceDE w:val="0"/>
        <w:autoSpaceDN w:val="0"/>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（1）在支付工程进度款时逐次扣留，在此情形下，质量保证金的计算基数不包括预付款的支付、扣回以及价格调整的金额；</w:t>
      </w:r>
    </w:p>
    <w:p w14:paraId="0B6AB3B2">
      <w:pPr>
        <w:autoSpaceDE w:val="0"/>
        <w:autoSpaceDN w:val="0"/>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（2）工程竣工结算时一次性扣留质量保证金；</w:t>
      </w:r>
    </w:p>
    <w:p w14:paraId="49982B71">
      <w:pPr>
        <w:widowControl/>
        <w:adjustRightInd w:val="0"/>
        <w:snapToGrid w:val="0"/>
        <w:spacing w:before="0" w:after="0" w:line="360" w:lineRule="auto"/>
        <w:ind w:firstLine="420"/>
        <w:jc w:val="left"/>
        <w:rPr>
          <w:rFonts w:hint="eastAsia" w:ascii="宋体" w:hAnsi="宋体" w:eastAsia="宋体" w:cs="宋体"/>
          <w:b/>
          <w:bCs/>
          <w:color w:val="auto"/>
          <w:kern w:val="0"/>
          <w:sz w:val="21"/>
          <w:szCs w:val="21"/>
          <w:highlight w:val="none"/>
          <w:u w:val="single"/>
          <w:lang w:val="en-US" w:eastAsia="zh-CN" w:bidi="ar-SA"/>
        </w:rPr>
      </w:pPr>
      <w:r>
        <w:rPr>
          <w:rFonts w:hint="eastAsia" w:ascii="宋体" w:hAnsi="宋体" w:eastAsia="宋体" w:cs="宋体"/>
          <w:color w:val="auto"/>
          <w:kern w:val="0"/>
          <w:sz w:val="21"/>
          <w:szCs w:val="21"/>
          <w:highlight w:val="none"/>
          <w:lang w:val="en-US" w:eastAsia="zh-CN" w:bidi="ar-SA"/>
        </w:rPr>
        <w:t>（3）其他扣留方式:</w:t>
      </w:r>
      <w:bookmarkEnd w:id="563"/>
      <w:bookmarkEnd w:id="564"/>
      <w:r>
        <w:rPr>
          <w:rFonts w:hint="eastAsia" w:ascii="宋体" w:hAnsi="宋体" w:eastAsia="宋体" w:cs="宋体"/>
          <w:color w:val="auto"/>
          <w:kern w:val="0"/>
          <w:sz w:val="21"/>
          <w:szCs w:val="21"/>
          <w:highlight w:val="none"/>
          <w:lang w:val="en-US" w:eastAsia="zh-CN" w:bidi="ar-SA"/>
        </w:rPr>
        <w:t xml:space="preserve"> </w:t>
      </w:r>
      <w:r>
        <w:rPr>
          <w:rFonts w:hint="eastAsia" w:ascii="宋体" w:hAnsi="宋体" w:eastAsia="宋体" w:cs="宋体"/>
          <w:b/>
          <w:bCs/>
          <w:color w:val="auto"/>
          <w:kern w:val="0"/>
          <w:sz w:val="21"/>
          <w:szCs w:val="21"/>
          <w:highlight w:val="none"/>
          <w:u w:val="single"/>
          <w:lang w:val="en-US" w:eastAsia="zh-CN" w:bidi="ar-SA"/>
        </w:rPr>
        <w:t>待审计完成后承包人向发包人缴纳工程审定金额的</w:t>
      </w:r>
      <w:r>
        <w:rPr>
          <w:rFonts w:hint="eastAsia" w:cs="宋体"/>
          <w:b/>
          <w:bCs/>
          <w:color w:val="auto"/>
          <w:kern w:val="0"/>
          <w:sz w:val="21"/>
          <w:szCs w:val="21"/>
          <w:highlight w:val="none"/>
          <w:u w:val="single"/>
          <w:lang w:val="en-US" w:eastAsia="zh-CN" w:bidi="ar-SA"/>
        </w:rPr>
        <w:t>1.5</w:t>
      </w:r>
      <w:r>
        <w:rPr>
          <w:rFonts w:hint="eastAsia" w:ascii="宋体" w:hAnsi="宋体" w:eastAsia="宋体" w:cs="宋体"/>
          <w:b/>
          <w:bCs/>
          <w:color w:val="auto"/>
          <w:kern w:val="0"/>
          <w:sz w:val="21"/>
          <w:szCs w:val="21"/>
          <w:highlight w:val="none"/>
          <w:u w:val="single"/>
          <w:lang w:val="en-US" w:eastAsia="zh-CN" w:bidi="ar-SA"/>
        </w:rPr>
        <w:t>%作为质量保证金。</w:t>
      </w:r>
    </w:p>
    <w:p w14:paraId="6EB70A7A">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15.4保修</w:t>
      </w:r>
    </w:p>
    <w:bookmarkEnd w:id="565"/>
    <w:p w14:paraId="084FA5F7">
      <w:pPr>
        <w:adjustRightInd w:val="0"/>
        <w:snapToGrid w:val="0"/>
        <w:spacing w:line="360" w:lineRule="auto"/>
        <w:ind w:firstLine="409" w:firstLineChars="19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15.4.1 保修责任</w:t>
      </w:r>
    </w:p>
    <w:p w14:paraId="2ADB04B9">
      <w:pPr>
        <w:adjustRightInd w:val="0"/>
        <w:snapToGrid w:val="0"/>
        <w:spacing w:line="360" w:lineRule="auto"/>
        <w:ind w:firstLine="409" w:firstLineChars="19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工程保修期为：</w:t>
      </w:r>
      <w:r>
        <w:rPr>
          <w:rFonts w:hint="eastAsia" w:ascii="宋体" w:hAnsi="宋体" w:eastAsia="宋体" w:cs="宋体"/>
          <w:color w:val="auto"/>
          <w:sz w:val="21"/>
          <w:szCs w:val="21"/>
          <w:highlight w:val="none"/>
          <w:u w:val="single"/>
        </w:rPr>
        <w:t xml:space="preserve">  按工程质量保修书规定执行 </w:t>
      </w:r>
      <w:r>
        <w:rPr>
          <w:rFonts w:hint="eastAsia" w:ascii="宋体" w:hAnsi="宋体" w:eastAsia="宋体" w:cs="宋体"/>
          <w:color w:val="auto"/>
          <w:sz w:val="21"/>
          <w:szCs w:val="21"/>
          <w:highlight w:val="none"/>
        </w:rPr>
        <w:t>。</w:t>
      </w:r>
    </w:p>
    <w:p w14:paraId="15569A1B">
      <w:pPr>
        <w:adjustRightInd w:val="0"/>
        <w:snapToGrid w:val="0"/>
        <w:spacing w:line="360" w:lineRule="auto"/>
        <w:ind w:firstLine="409" w:firstLineChars="19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15.4.3 修复通知</w:t>
      </w:r>
    </w:p>
    <w:p w14:paraId="2A8C5AA1">
      <w:pPr>
        <w:adjustRightInd w:val="0"/>
        <w:snapToGrid w:val="0"/>
        <w:spacing w:line="360" w:lineRule="auto"/>
        <w:ind w:firstLine="409" w:firstLineChars="195"/>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承包人收到保修通知并到达工程现场的合理时间：</w:t>
      </w:r>
      <w:r>
        <w:rPr>
          <w:rFonts w:hint="eastAsia" w:ascii="宋体" w:hAnsi="宋体" w:eastAsia="宋体" w:cs="宋体"/>
          <w:color w:val="auto"/>
          <w:sz w:val="21"/>
          <w:szCs w:val="21"/>
          <w:highlight w:val="none"/>
          <w:u w:val="single"/>
        </w:rPr>
        <w:t xml:space="preserve">24小时内   </w:t>
      </w:r>
      <w:r>
        <w:rPr>
          <w:rFonts w:hint="eastAsia" w:ascii="宋体" w:hAnsi="宋体" w:eastAsia="宋体" w:cs="宋体"/>
          <w:color w:val="auto"/>
          <w:sz w:val="21"/>
          <w:szCs w:val="21"/>
          <w:highlight w:val="none"/>
        </w:rPr>
        <w:t>。</w:t>
      </w:r>
    </w:p>
    <w:bookmarkEnd w:id="566"/>
    <w:bookmarkEnd w:id="567"/>
    <w:bookmarkEnd w:id="568"/>
    <w:bookmarkEnd w:id="569"/>
    <w:p w14:paraId="7E54F37B">
      <w:pPr>
        <w:keepNext/>
        <w:keepLines/>
        <w:widowControl w:val="0"/>
        <w:numPr>
          <w:ilvl w:val="3"/>
          <w:numId w:val="0"/>
        </w:numPr>
        <w:adjustRightInd w:val="0"/>
        <w:snapToGrid w:val="0"/>
        <w:spacing w:before="280" w:after="290" w:line="360" w:lineRule="auto"/>
        <w:ind w:left="426"/>
        <w:jc w:val="both"/>
        <w:outlineLvl w:val="3"/>
        <w:rPr>
          <w:rFonts w:hint="eastAsia" w:ascii="宋体" w:hAnsi="宋体" w:eastAsia="宋体" w:cs="宋体"/>
          <w:b/>
          <w:bCs/>
          <w:color w:val="auto"/>
          <w:kern w:val="2"/>
          <w:sz w:val="21"/>
          <w:szCs w:val="21"/>
          <w:highlight w:val="none"/>
          <w:lang w:val="en-US" w:eastAsia="zh-CN" w:bidi="ar-SA"/>
        </w:rPr>
      </w:pPr>
      <w:bookmarkStart w:id="592" w:name="_Toc351203648"/>
      <w:bookmarkStart w:id="593" w:name="_Toc280868717"/>
      <w:bookmarkStart w:id="594" w:name="_Toc280868718"/>
      <w:r>
        <w:rPr>
          <w:rFonts w:hint="eastAsia" w:ascii="宋体" w:hAnsi="宋体" w:eastAsia="宋体" w:cs="宋体"/>
          <w:b/>
          <w:bCs/>
          <w:color w:val="auto"/>
          <w:kern w:val="2"/>
          <w:sz w:val="21"/>
          <w:szCs w:val="21"/>
          <w:highlight w:val="none"/>
          <w:lang w:val="en-US" w:eastAsia="zh-CN" w:bidi="ar-SA"/>
        </w:rPr>
        <w:t>16. 违约</w:t>
      </w:r>
      <w:bookmarkEnd w:id="592"/>
    </w:p>
    <w:p w14:paraId="5C34FDF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发包人违约</w:t>
      </w:r>
    </w:p>
    <w:p w14:paraId="543EFE4B">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14:paraId="2B55F50A">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发包人违约的其他情形：</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w:t>
      </w:r>
    </w:p>
    <w:p w14:paraId="3B31D3F3">
      <w:pPr>
        <w:adjustRightInd w:val="0"/>
        <w:snapToGrid w:val="0"/>
        <w:spacing w:line="360" w:lineRule="auto"/>
        <w:ind w:left="1050" w:hanging="1050" w:hangingChars="5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p>
    <w:p w14:paraId="6BF1F2C8">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发包人违约责任的承担方式和计算方法：</w:t>
      </w:r>
    </w:p>
    <w:p w14:paraId="3168C1E8">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（1）因发包人原因未能在计划开工日期前7天内下达开工通知的违约责任：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101F5BC">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（2）因发包人原因未能按合同约定支付合同价款的违约责任：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83BE5AB">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E9ACFA2">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BBCBEAF">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（5）因发包人违反合同约定造成暂停施工的违约责任：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4D78326">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D8BCD58">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（7）其他：</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87844AE">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16.1.3 因发包人违约解除合同</w:t>
      </w:r>
    </w:p>
    <w:p w14:paraId="4786A4E9">
      <w:pPr>
        <w:autoSpaceDE w:val="0"/>
        <w:autoSpaceDN w:val="0"/>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承包人按16.1.1项〔发包人违约的情形〕约定暂停施工满</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天后发包人仍不纠正其违约行为并致使合同目的不能实现的，承包人有权解除合同。</w:t>
      </w:r>
    </w:p>
    <w:p w14:paraId="3AA1BE9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承包人违约</w:t>
      </w:r>
    </w:p>
    <w:p w14:paraId="029EDA8D">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16.2.1 承包人违约的情形</w:t>
      </w:r>
    </w:p>
    <w:p w14:paraId="5CEEB20D">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承包人违约的其他情形：</w:t>
      </w:r>
      <w:r>
        <w:rPr>
          <w:rFonts w:hint="eastAsia" w:ascii="宋体" w:hAnsi="宋体" w:eastAsia="宋体" w:cs="宋体"/>
          <w:color w:val="auto"/>
          <w:sz w:val="21"/>
          <w:szCs w:val="21"/>
          <w:highlight w:val="none"/>
          <w:u w:val="single"/>
        </w:rPr>
        <w:t xml:space="preserve">因承包人原因工程最终验收结果未达到合格标准，无条件返工，直至验收合格，工期不得顺延；若承包人不返工，发包人有权委托第三方进行返工，费用由承包人承担,发包人有权直接从工程款中扣除  </w:t>
      </w:r>
      <w:r>
        <w:rPr>
          <w:rFonts w:hint="eastAsia" w:ascii="宋体" w:hAnsi="宋体" w:eastAsia="宋体" w:cs="宋体"/>
          <w:color w:val="auto"/>
          <w:sz w:val="21"/>
          <w:szCs w:val="21"/>
          <w:highlight w:val="none"/>
        </w:rPr>
        <w:t>。</w:t>
      </w:r>
    </w:p>
    <w:p w14:paraId="227F9B73">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16.2.2承包人违约的责任</w:t>
      </w:r>
    </w:p>
    <w:p w14:paraId="0D166116">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承包人违约责任的承担方式和计算方法：承担其违约行为而增加的费用和（或）延误的工期，并承担合同所约定的违约金。</w:t>
      </w:r>
    </w:p>
    <w:p w14:paraId="3EB7DB49">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16.2.3 因承包人违约解除合同</w:t>
      </w:r>
    </w:p>
    <w:p w14:paraId="50E566FB">
      <w:pPr>
        <w:adjustRightInd w:val="0"/>
        <w:snapToGrid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关于承包人违约解除合同的特别约定：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C5EB8C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     费用另行约定，由发包人承担       </w:t>
      </w:r>
      <w:r>
        <w:rPr>
          <w:rFonts w:hint="eastAsia" w:ascii="宋体" w:hAnsi="宋体" w:eastAsia="宋体" w:cs="宋体"/>
          <w:color w:val="auto"/>
          <w:sz w:val="21"/>
          <w:szCs w:val="21"/>
          <w:highlight w:val="none"/>
        </w:rPr>
        <w:t>。</w:t>
      </w:r>
    </w:p>
    <w:p w14:paraId="1ED20D5F">
      <w:pPr>
        <w:keepNext/>
        <w:keepLines/>
        <w:widowControl w:val="0"/>
        <w:numPr>
          <w:ilvl w:val="3"/>
          <w:numId w:val="0"/>
        </w:numPr>
        <w:adjustRightInd w:val="0"/>
        <w:snapToGrid w:val="0"/>
        <w:spacing w:before="280" w:after="290" w:line="360" w:lineRule="auto"/>
        <w:ind w:left="426"/>
        <w:jc w:val="both"/>
        <w:outlineLvl w:val="3"/>
        <w:rPr>
          <w:rFonts w:hint="eastAsia" w:ascii="宋体" w:hAnsi="宋体" w:eastAsia="宋体" w:cs="宋体"/>
          <w:b/>
          <w:bCs/>
          <w:color w:val="auto"/>
          <w:kern w:val="2"/>
          <w:sz w:val="21"/>
          <w:szCs w:val="21"/>
          <w:highlight w:val="none"/>
          <w:lang w:val="en-US" w:eastAsia="zh-CN" w:bidi="ar-SA"/>
        </w:rPr>
      </w:pPr>
      <w:bookmarkStart w:id="595" w:name="_Toc351203649"/>
      <w:r>
        <w:rPr>
          <w:rFonts w:hint="eastAsia" w:ascii="宋体" w:hAnsi="宋体" w:eastAsia="宋体" w:cs="宋体"/>
          <w:b/>
          <w:bCs/>
          <w:color w:val="auto"/>
          <w:kern w:val="2"/>
          <w:sz w:val="21"/>
          <w:szCs w:val="21"/>
          <w:highlight w:val="none"/>
          <w:lang w:val="en-US" w:eastAsia="zh-CN" w:bidi="ar-SA"/>
        </w:rPr>
        <w:t>17. 不可抗力</w:t>
      </w:r>
      <w:bookmarkEnd w:id="595"/>
      <w:r>
        <w:rPr>
          <w:rFonts w:hint="eastAsia" w:ascii="宋体" w:hAnsi="宋体" w:eastAsia="宋体" w:cs="宋体"/>
          <w:b/>
          <w:bCs/>
          <w:color w:val="auto"/>
          <w:kern w:val="2"/>
          <w:sz w:val="21"/>
          <w:szCs w:val="21"/>
          <w:highlight w:val="none"/>
          <w:lang w:val="en-US" w:eastAsia="zh-CN" w:bidi="ar-SA"/>
        </w:rPr>
        <w:t xml:space="preserve"> </w:t>
      </w:r>
      <w:bookmarkEnd w:id="593"/>
    </w:p>
    <w:p w14:paraId="1DB65B6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不可抗力的确认</w:t>
      </w:r>
    </w:p>
    <w:p w14:paraId="1AD3A337">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 </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6C0BAEB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17.4 因不可抗力解除合同</w:t>
      </w:r>
    </w:p>
    <w:p w14:paraId="29FC3DFF">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eastAsia="宋体" w:cs="宋体"/>
          <w:color w:val="auto"/>
          <w:sz w:val="21"/>
          <w:szCs w:val="21"/>
          <w:highlight w:val="none"/>
          <w:u w:val="single"/>
        </w:rPr>
        <w:t xml:space="preserve">   28  </w:t>
      </w:r>
      <w:r>
        <w:rPr>
          <w:rFonts w:hint="eastAsia" w:ascii="宋体" w:hAnsi="宋体" w:eastAsia="宋体" w:cs="宋体"/>
          <w:color w:val="auto"/>
          <w:sz w:val="21"/>
          <w:szCs w:val="21"/>
          <w:highlight w:val="none"/>
        </w:rPr>
        <w:t>天内完成款项的支付。</w:t>
      </w:r>
    </w:p>
    <w:p w14:paraId="4F0F2FF0">
      <w:pPr>
        <w:keepNext/>
        <w:keepLines/>
        <w:widowControl w:val="0"/>
        <w:numPr>
          <w:ilvl w:val="3"/>
          <w:numId w:val="0"/>
        </w:numPr>
        <w:adjustRightInd w:val="0"/>
        <w:snapToGrid w:val="0"/>
        <w:spacing w:before="280" w:after="290" w:line="360" w:lineRule="auto"/>
        <w:ind w:left="426"/>
        <w:jc w:val="both"/>
        <w:outlineLvl w:val="3"/>
        <w:rPr>
          <w:rFonts w:hint="eastAsia" w:ascii="宋体" w:hAnsi="宋体" w:eastAsia="宋体" w:cs="宋体"/>
          <w:b/>
          <w:bCs/>
          <w:color w:val="auto"/>
          <w:kern w:val="2"/>
          <w:sz w:val="21"/>
          <w:szCs w:val="21"/>
          <w:highlight w:val="none"/>
          <w:lang w:val="en-US" w:eastAsia="zh-CN" w:bidi="ar-SA"/>
        </w:rPr>
      </w:pPr>
      <w:bookmarkStart w:id="596" w:name="_Toc351203650"/>
      <w:r>
        <w:rPr>
          <w:rFonts w:hint="eastAsia" w:ascii="宋体" w:hAnsi="宋体" w:eastAsia="宋体" w:cs="宋体"/>
          <w:b/>
          <w:bCs/>
          <w:color w:val="auto"/>
          <w:kern w:val="2"/>
          <w:sz w:val="21"/>
          <w:szCs w:val="21"/>
          <w:highlight w:val="none"/>
          <w:lang w:val="en-US" w:eastAsia="zh-CN" w:bidi="ar-SA"/>
        </w:rPr>
        <w:t>18. 保险</w:t>
      </w:r>
      <w:bookmarkEnd w:id="596"/>
    </w:p>
    <w:bookmarkEnd w:id="594"/>
    <w:p w14:paraId="21E25AC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 工程保险</w:t>
      </w:r>
    </w:p>
    <w:p w14:paraId="0BB91EC6">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关于工程保险的特别约定：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F5EE42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 其他保险</w:t>
      </w:r>
    </w:p>
    <w:p w14:paraId="77EADA4F">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关于其他保险的约定：</w:t>
      </w:r>
      <w:r>
        <w:rPr>
          <w:rFonts w:hint="eastAsia" w:ascii="宋体" w:hAnsi="宋体" w:eastAsia="宋体" w:cs="宋体"/>
          <w:color w:val="auto"/>
          <w:sz w:val="21"/>
          <w:szCs w:val="21"/>
          <w:highlight w:val="none"/>
          <w:u w:val="single"/>
        </w:rPr>
        <w:t xml:space="preserve">承包人为建设工程和施工场地内的自有人员设备及第三方生命财产办理保险并支付保险费用，费用已包含在总价内。施工期间所发生的一切与本工程有关的承包人及第三方的人员、财产等意外伤害、损失，由承包人承担全部责任和费用   </w:t>
      </w:r>
      <w:r>
        <w:rPr>
          <w:rFonts w:hint="eastAsia" w:ascii="宋体" w:hAnsi="宋体" w:eastAsia="宋体" w:cs="宋体"/>
          <w:color w:val="auto"/>
          <w:sz w:val="21"/>
          <w:szCs w:val="21"/>
          <w:highlight w:val="none"/>
        </w:rPr>
        <w:t>。</w:t>
      </w:r>
    </w:p>
    <w:p w14:paraId="19026FF4">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承包人是否应为其施工设备等办理财产保险：</w:t>
      </w:r>
      <w:r>
        <w:rPr>
          <w:rFonts w:hint="eastAsia" w:ascii="宋体" w:hAnsi="宋体" w:eastAsia="宋体" w:cs="宋体"/>
          <w:color w:val="auto"/>
          <w:sz w:val="21"/>
          <w:szCs w:val="21"/>
          <w:highlight w:val="none"/>
          <w:u w:val="single"/>
        </w:rPr>
        <w:t xml:space="preserve">       是       </w:t>
      </w:r>
      <w:r>
        <w:rPr>
          <w:rFonts w:hint="eastAsia" w:ascii="宋体" w:hAnsi="宋体" w:eastAsia="宋体" w:cs="宋体"/>
          <w:color w:val="auto"/>
          <w:sz w:val="21"/>
          <w:szCs w:val="21"/>
          <w:highlight w:val="none"/>
        </w:rPr>
        <w:t>。</w:t>
      </w:r>
    </w:p>
    <w:p w14:paraId="4505CDE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18.7 通知义务</w:t>
      </w:r>
    </w:p>
    <w:p w14:paraId="7F59B925">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关于变更保险合同时的通知义务的约定：</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bookmarkEnd w:id="570"/>
    <w:bookmarkEnd w:id="571"/>
    <w:bookmarkEnd w:id="572"/>
    <w:bookmarkEnd w:id="573"/>
    <w:bookmarkEnd w:id="574"/>
    <w:bookmarkEnd w:id="575"/>
    <w:bookmarkEnd w:id="576"/>
    <w:bookmarkEnd w:id="577"/>
    <w:bookmarkEnd w:id="578"/>
    <w:bookmarkEnd w:id="579"/>
    <w:bookmarkEnd w:id="580"/>
    <w:bookmarkEnd w:id="581"/>
    <w:p w14:paraId="177D3F9E">
      <w:pPr>
        <w:keepNext/>
        <w:keepLines/>
        <w:widowControl w:val="0"/>
        <w:numPr>
          <w:ilvl w:val="3"/>
          <w:numId w:val="0"/>
        </w:numPr>
        <w:adjustRightInd w:val="0"/>
        <w:snapToGrid w:val="0"/>
        <w:spacing w:before="280" w:after="290" w:line="360" w:lineRule="auto"/>
        <w:ind w:left="426"/>
        <w:jc w:val="both"/>
        <w:outlineLvl w:val="3"/>
        <w:rPr>
          <w:rFonts w:hint="eastAsia" w:ascii="宋体" w:hAnsi="宋体" w:eastAsia="宋体" w:cs="宋体"/>
          <w:b/>
          <w:bCs/>
          <w:color w:val="auto"/>
          <w:kern w:val="2"/>
          <w:sz w:val="21"/>
          <w:szCs w:val="21"/>
          <w:highlight w:val="none"/>
          <w:lang w:val="en-US" w:eastAsia="zh-CN" w:bidi="ar-SA"/>
        </w:rPr>
      </w:pPr>
      <w:bookmarkStart w:id="597" w:name="_Toc351203651"/>
      <w:r>
        <w:rPr>
          <w:rFonts w:hint="eastAsia" w:ascii="宋体" w:hAnsi="宋体" w:eastAsia="宋体" w:cs="宋体"/>
          <w:b/>
          <w:bCs/>
          <w:color w:val="auto"/>
          <w:kern w:val="2"/>
          <w:sz w:val="21"/>
          <w:szCs w:val="21"/>
          <w:highlight w:val="none"/>
          <w:lang w:val="en-US" w:eastAsia="zh-CN" w:bidi="ar-SA"/>
        </w:rPr>
        <w:t>20. 争议解决</w:t>
      </w:r>
      <w:bookmarkEnd w:id="597"/>
    </w:p>
    <w:bookmarkEnd w:id="582"/>
    <w:bookmarkEnd w:id="583"/>
    <w:p w14:paraId="7F5E9A7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 争</w:t>
      </w:r>
      <w:bookmarkEnd w:id="584"/>
      <w:r>
        <w:rPr>
          <w:rFonts w:hint="eastAsia" w:ascii="宋体" w:hAnsi="宋体" w:eastAsia="宋体" w:cs="宋体"/>
          <w:color w:val="auto"/>
          <w:sz w:val="21"/>
          <w:szCs w:val="21"/>
          <w:highlight w:val="none"/>
        </w:rPr>
        <w:t>议评审</w:t>
      </w:r>
    </w:p>
    <w:p w14:paraId="27A7C730">
      <w:pPr>
        <w:adjustRightInd w:val="0"/>
        <w:snapToGrid w:val="0"/>
        <w:spacing w:line="360" w:lineRule="auto"/>
        <w:ind w:left="170" w:leftChars="71" w:firstLine="315" w:firstLineChars="15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合同当事人是否同意将工程争议提交争议评审小组决定：</w:t>
      </w:r>
      <w:r>
        <w:rPr>
          <w:rFonts w:hint="eastAsia" w:ascii="宋体" w:hAnsi="宋体" w:eastAsia="宋体" w:cs="宋体"/>
          <w:color w:val="auto"/>
          <w:sz w:val="21"/>
          <w:szCs w:val="21"/>
          <w:highlight w:val="none"/>
          <w:u w:val="single"/>
        </w:rPr>
        <w:t xml:space="preserve">  否  </w:t>
      </w:r>
      <w:r>
        <w:rPr>
          <w:rFonts w:hint="eastAsia" w:ascii="宋体" w:hAnsi="宋体" w:eastAsia="宋体" w:cs="宋体"/>
          <w:color w:val="auto"/>
          <w:sz w:val="21"/>
          <w:szCs w:val="21"/>
          <w:highlight w:val="none"/>
        </w:rPr>
        <w:t xml:space="preserve">。  </w:t>
      </w:r>
    </w:p>
    <w:p w14:paraId="433647DA">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20.3.1 争议评审小组的确定</w:t>
      </w:r>
    </w:p>
    <w:p w14:paraId="62D2C2A1">
      <w:pPr>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争议评审小组成员的确定：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03171C3">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选定争议评审员的期限：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2A4F1B5">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5E8BD9D5">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7F1B724">
      <w:pPr>
        <w:autoSpaceDE w:val="0"/>
        <w:autoSpaceDN w:val="0"/>
        <w:adjustRightInd w:val="0"/>
        <w:snapToGri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20.3.2 争议评审小组的决定</w:t>
      </w:r>
    </w:p>
    <w:p w14:paraId="2BB2DA99">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合同当事人关于本项的约定：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32D5CC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20.4仲裁或诉讼</w:t>
      </w:r>
      <w:bookmarkEnd w:id="585"/>
    </w:p>
    <w:p w14:paraId="6773DF3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因合同及合同有关事项发生的争议，双方当事人一致同意提交</w:t>
      </w:r>
      <w:r>
        <w:rPr>
          <w:rFonts w:hint="eastAsia" w:ascii="宋体" w:hAnsi="宋体" w:eastAsia="宋体" w:cs="宋体"/>
          <w:b/>
          <w:color w:val="auto"/>
          <w:sz w:val="21"/>
          <w:szCs w:val="21"/>
          <w:highlight w:val="none"/>
        </w:rPr>
        <w:t>杭州仲裁委员会申请仲裁</w:t>
      </w:r>
      <w:r>
        <w:rPr>
          <w:rFonts w:hint="eastAsia" w:ascii="宋体" w:hAnsi="宋体" w:eastAsia="宋体" w:cs="宋体"/>
          <w:color w:val="auto"/>
          <w:sz w:val="21"/>
          <w:szCs w:val="21"/>
          <w:highlight w:val="none"/>
        </w:rPr>
        <w:t>；但双方当事人特别约定下列解决方式中第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种方式解决争议的除外：</w:t>
      </w:r>
    </w:p>
    <w:p w14:paraId="620376B1">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（1）提交</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仲裁委员会申请仲裁；</w:t>
      </w:r>
    </w:p>
    <w:p w14:paraId="04CE3317">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（2）依法向</w:t>
      </w:r>
      <w:r>
        <w:rPr>
          <w:rFonts w:hint="eastAsia" w:ascii="宋体" w:hAnsi="宋体" w:eastAsia="宋体" w:cs="宋体"/>
          <w:color w:val="auto"/>
          <w:sz w:val="21"/>
          <w:szCs w:val="21"/>
          <w:highlight w:val="none"/>
          <w:u w:val="single"/>
        </w:rPr>
        <w:t xml:space="preserve">     发包人所在区   </w:t>
      </w:r>
      <w:r>
        <w:rPr>
          <w:rFonts w:hint="eastAsia" w:ascii="宋体" w:hAnsi="宋体" w:eastAsia="宋体" w:cs="宋体"/>
          <w:color w:val="auto"/>
          <w:sz w:val="21"/>
          <w:szCs w:val="21"/>
          <w:highlight w:val="none"/>
        </w:rPr>
        <w:t>人民法院起诉。</w:t>
      </w:r>
      <w:bookmarkEnd w:id="586"/>
      <w:bookmarkEnd w:id="587"/>
      <w:bookmarkEnd w:id="588"/>
      <w:bookmarkEnd w:id="589"/>
      <w:bookmarkEnd w:id="590"/>
      <w:bookmarkEnd w:id="591"/>
    </w:p>
    <w:p w14:paraId="1425F437">
      <w:pPr>
        <w:autoSpaceDE w:val="0"/>
        <w:autoSpaceDN w:val="0"/>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21．其他补充事项的约定</w:t>
      </w:r>
    </w:p>
    <w:p w14:paraId="6D1982A1">
      <w:pPr>
        <w:autoSpaceDE w:val="0"/>
        <w:autoSpaceDN w:val="0"/>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合同双方确认，本合同及本合同约定的其它文件组成部分中的各项约定都是通过法定招标过程形成的合法成果，不存在与招标文件和中标人响应文件实质性内容不一致的条款。如果存在任何此类不一致的条款，也不是合同双方真实意思的表示，对合同双方不构成任何合同或法律约束力。</w:t>
      </w:r>
    </w:p>
    <w:p w14:paraId="68E58C92">
      <w:pPr>
        <w:autoSpaceDE w:val="0"/>
        <w:autoSpaceDN w:val="0"/>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21.2发包人有权对招标范围内的分部分项内容进行调整，承包人应无条件响应发包人要求。</w:t>
      </w:r>
    </w:p>
    <w:p w14:paraId="2C295B2A">
      <w:pPr>
        <w:autoSpaceDE w:val="0"/>
        <w:autoSpaceDN w:val="0"/>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承包人未按合同约定履行义务，造成工程质量低下、进度迟缓、管理混乱，发包人有权终止合同，承包人赔偿发包人因此造成的损失且依法承担相应的法律责任；对工程实施出现的质量问题，承包人按照发包人的要求无条件地进行限期整改，达到质量要求；因整改造成工期延误，由承包人承担一切责任。</w:t>
      </w:r>
    </w:p>
    <w:p w14:paraId="1A745878">
      <w:pPr>
        <w:autoSpaceDE w:val="0"/>
        <w:autoSpaceDN w:val="0"/>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21.4承包人需按响应文件的承诺及时派驻现场工程技术、管理人员，尤其是项目经理、技术负责人、施工员、安全员、质检员、材料员等相关人员在合同实施过程中应按响应文件的承诺到岗到位，到岗率不低于90%。</w:t>
      </w:r>
    </w:p>
    <w:p w14:paraId="422EDD95">
      <w:pPr>
        <w:autoSpaceDE w:val="0"/>
        <w:autoSpaceDN w:val="0"/>
        <w:adjustRightInd w:val="0"/>
        <w:snapToGrid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21.5工程施工中所采取的必要技术措施费用承包人已自行考虑并在响应文件有实质性响应，自行补充项目列入措施项目清单报价中，如无补充项目，视作自愿优惠。</w:t>
      </w:r>
    </w:p>
    <w:p w14:paraId="1E242B85">
      <w:pPr>
        <w:autoSpaceDE w:val="0"/>
        <w:autoSpaceDN w:val="0"/>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21.6本工程严禁转包，如发生工程转包，发包人有权中止合同并保留继续索赔的权利。</w:t>
      </w:r>
    </w:p>
    <w:p w14:paraId="2EB6BA83">
      <w:pPr>
        <w:autoSpaceDE w:val="0"/>
        <w:autoSpaceDN w:val="0"/>
        <w:adjustRightInd w:val="0"/>
        <w:snapToGrid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21.7公共及协调费用（如交通、市容、环保、噪音、排污、治安等费用以及因施工原因引起的相关部门应交纳费用）由承包人自行调研作为单项费用计入措施项目费中，否则视作优惠。</w:t>
      </w:r>
    </w:p>
    <w:p w14:paraId="6035EBE4">
      <w:pPr>
        <w:autoSpaceDE w:val="0"/>
        <w:autoSpaceDN w:val="0"/>
        <w:adjustRightInd w:val="0"/>
        <w:snapToGrid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21.8大型机械施工进出场（安拆）费、施工排水等技术措施费请投标单位根据实际情况及结合自身施工组织设计，其费用计入措施费用项目。</w:t>
      </w:r>
    </w:p>
    <w:p w14:paraId="61AB6019">
      <w:pPr>
        <w:autoSpaceDE w:val="0"/>
        <w:autoSpaceDN w:val="0"/>
        <w:adjustRightInd w:val="0"/>
        <w:snapToGrid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21.9因受现场条件及工期等因素影响，施工期间不保证24 小时正常供电，因此而引起的工期及相关费用的损失由承包人自行负责，承包人应自备发电机，其费用计入措施项目费，中标后不作调整。</w:t>
      </w:r>
    </w:p>
    <w:p w14:paraId="07DF80F5">
      <w:pPr>
        <w:autoSpaceDE w:val="0"/>
        <w:autoSpaceDN w:val="0"/>
        <w:adjustRightInd w:val="0"/>
        <w:snapToGrid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21.10在工程保修期中，若发生质量问题，承包人应及时派专业人员维修，若承包人不及时维修，发包人有权自行维修，所发生的费用从承包人保修金中扣除。</w:t>
      </w:r>
    </w:p>
    <w:p w14:paraId="38F0E765">
      <w:pPr>
        <w:autoSpaceDE w:val="0"/>
        <w:autoSpaceDN w:val="0"/>
        <w:adjustRightInd w:val="0"/>
        <w:snapToGrid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21.11农民工工资的约定：承包人按工程合同价的2%交纳农民工工资支付保证金，如承包人不按规定支付农民工工资，发包人有权按杭州市建设行业农民工工资保证金管理规定执行，并按杭州市有关条例进行相应处罚。</w:t>
      </w:r>
    </w:p>
    <w:p w14:paraId="3A84813B">
      <w:pPr>
        <w:autoSpaceDE w:val="0"/>
        <w:autoSpaceDN w:val="0"/>
        <w:adjustRightInd w:val="0"/>
        <w:snapToGrid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21.12承包人未按投标承诺投入施工所需的机械装备、材料和人员，影响工程正常进度和工程施工质量的违约责任。</w:t>
      </w:r>
    </w:p>
    <w:p w14:paraId="23744EA7">
      <w:pPr>
        <w:autoSpaceDE w:val="0"/>
        <w:autoSpaceDN w:val="0"/>
        <w:adjustRightInd w:val="0"/>
        <w:snapToGrid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21.13主材的相关要求：承包人提供的施工材料必须全部符合绿色环保规定要求，不得使用任何</w:t>
      </w:r>
      <w:r>
        <w:rPr>
          <w:rFonts w:hint="eastAsia" w:cs="宋体"/>
          <w:color w:val="auto"/>
          <w:sz w:val="21"/>
          <w:szCs w:val="21"/>
          <w:highlight w:val="none"/>
          <w:lang w:eastAsia="zh-CN"/>
        </w:rPr>
        <w:t>“三无”产品</w:t>
      </w:r>
      <w:r>
        <w:rPr>
          <w:rFonts w:hint="eastAsia" w:ascii="宋体" w:hAnsi="宋体" w:eastAsia="宋体" w:cs="宋体"/>
          <w:color w:val="auto"/>
          <w:sz w:val="21"/>
          <w:szCs w:val="21"/>
          <w:highlight w:val="none"/>
        </w:rPr>
        <w:t>。施工时，必须按照响应文件中确定的材料进行，未经发包人同意不得更换。</w:t>
      </w:r>
    </w:p>
    <w:p w14:paraId="3A3F720B">
      <w:pPr>
        <w:autoSpaceDE w:val="0"/>
        <w:autoSpaceDN w:val="0"/>
        <w:adjustRightInd w:val="0"/>
        <w:snapToGrid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21.14发包人支付审计基本费用，超过5%以外的核减额、核增额产生的追加审计费用由承包</w:t>
      </w:r>
      <w:r>
        <w:rPr>
          <w:rFonts w:hint="eastAsia" w:cs="宋体"/>
          <w:color w:val="auto"/>
          <w:sz w:val="21"/>
          <w:szCs w:val="21"/>
          <w:highlight w:val="none"/>
          <w:lang w:val="en-US" w:eastAsia="zh-CN"/>
        </w:rPr>
        <w:t>人</w:t>
      </w:r>
      <w:r>
        <w:rPr>
          <w:rFonts w:hint="eastAsia" w:ascii="宋体" w:hAnsi="宋体" w:eastAsia="宋体" w:cs="宋体"/>
          <w:color w:val="auto"/>
          <w:sz w:val="21"/>
          <w:szCs w:val="21"/>
          <w:highlight w:val="none"/>
        </w:rPr>
        <w:t>支付。</w:t>
      </w:r>
    </w:p>
    <w:p w14:paraId="0A3E9842">
      <w:pPr>
        <w:autoSpaceDE w:val="0"/>
        <w:autoSpaceDN w:val="0"/>
        <w:adjustRightInd w:val="0"/>
        <w:snapToGrid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21.15承包人必须按期如实支付工人的劳动工资，发包人有权监督承包人对工人工资的发放。如若发生因承包人拖欠民工工资导致民工到发包人处闹事，造成阻挠施工进度、扰乱发包人正常的工作秩序及校园环境，每发生一次，发包人有权扣罚承包人5000元。并且由承包人承担由此造成的损失和责任，由此导致的工期拖延，发包人不顺延工期。 </w:t>
      </w:r>
    </w:p>
    <w:p w14:paraId="43980DC0">
      <w:pPr>
        <w:widowControl w:val="0"/>
        <w:adjustRightInd w:val="0"/>
        <w:snapToGrid w:val="0"/>
        <w:spacing w:before="194" w:beforeLines="50" w:after="194" w:afterLines="50" w:line="360" w:lineRule="auto"/>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附件：</w:t>
      </w:r>
    </w:p>
    <w:p w14:paraId="7FEEF829">
      <w:pPr>
        <w:ind w:firstLine="371" w:firstLineChars="17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附件1：房屋建筑工程质量保修书</w:t>
      </w:r>
    </w:p>
    <w:p w14:paraId="3E79959F">
      <w:pPr>
        <w:ind w:firstLine="371" w:firstLineChars="17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附件2：廉政协议书</w:t>
      </w:r>
    </w:p>
    <w:p w14:paraId="521BF77E">
      <w:pPr>
        <w:widowControl w:val="0"/>
        <w:spacing w:before="194" w:beforeLines="50" w:after="194" w:afterLines="50" w:line="440" w:lineRule="exact"/>
        <w:jc w:val="both"/>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kern w:val="2"/>
          <w:sz w:val="21"/>
          <w:szCs w:val="21"/>
          <w:highlight w:val="none"/>
          <w:u w:val="single"/>
          <w:lang w:val="en-US" w:eastAsia="zh-CN" w:bidi="ar-SA"/>
        </w:rPr>
        <w:br w:type="page"/>
      </w:r>
      <w:bookmarkStart w:id="598" w:name="_Toc249091536"/>
      <w:bookmarkStart w:id="599" w:name="_Toc534620509"/>
      <w:r>
        <w:rPr>
          <w:rFonts w:hint="eastAsia" w:ascii="宋体" w:hAnsi="宋体" w:eastAsia="宋体" w:cs="宋体"/>
          <w:b/>
          <w:bCs/>
          <w:color w:val="auto"/>
          <w:kern w:val="2"/>
          <w:sz w:val="21"/>
          <w:szCs w:val="21"/>
          <w:highlight w:val="none"/>
          <w:lang w:val="en-US" w:eastAsia="zh-CN" w:bidi="ar-SA"/>
        </w:rPr>
        <w:t>附件1:</w:t>
      </w:r>
    </w:p>
    <w:bookmarkEnd w:id="598"/>
    <w:bookmarkEnd w:id="599"/>
    <w:p w14:paraId="4B3F89B8">
      <w:pPr>
        <w:spacing w:before="194" w:beforeLines="50" w:after="194" w:afterLines="50" w:line="288"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工程质量保修书</w:t>
      </w:r>
    </w:p>
    <w:p w14:paraId="119FED59">
      <w:pPr>
        <w:spacing w:line="288"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rPr>
        <w:t xml:space="preserve">  </w:t>
      </w:r>
      <w:bookmarkStart w:id="600" w:name="SOA_zyht_zlbxfbr"/>
      <w:r>
        <w:rPr>
          <w:rFonts w:hint="eastAsia" w:ascii="宋体" w:hAnsi="宋体" w:eastAsia="宋体" w:cs="宋体"/>
          <w:color w:val="auto"/>
          <w:sz w:val="21"/>
          <w:szCs w:val="21"/>
          <w:highlight w:val="none"/>
          <w:u w:val="single"/>
        </w:rPr>
        <w:t xml:space="preserve">                 </w:t>
      </w:r>
      <w:bookmarkEnd w:id="600"/>
      <w:r>
        <w:rPr>
          <w:rFonts w:hint="eastAsia" w:ascii="宋体" w:hAnsi="宋体" w:eastAsia="宋体" w:cs="宋体"/>
          <w:color w:val="auto"/>
          <w:sz w:val="21"/>
          <w:szCs w:val="21"/>
          <w:highlight w:val="none"/>
          <w:u w:val="single"/>
        </w:rPr>
        <w:t xml:space="preserve">   </w:t>
      </w:r>
    </w:p>
    <w:p w14:paraId="69D469F9">
      <w:pP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承包人（全称）：</w:t>
      </w:r>
      <w:r>
        <w:rPr>
          <w:rFonts w:hint="eastAsia" w:ascii="宋体" w:hAnsi="宋体" w:eastAsia="宋体" w:cs="宋体"/>
          <w:color w:val="auto"/>
          <w:sz w:val="21"/>
          <w:szCs w:val="21"/>
          <w:highlight w:val="none"/>
          <w:u w:val="single"/>
        </w:rPr>
        <w:t xml:space="preserve">  </w:t>
      </w:r>
      <w:bookmarkStart w:id="601" w:name="SOA_zyht_zlbxcbr"/>
      <w:r>
        <w:rPr>
          <w:rFonts w:hint="eastAsia" w:ascii="宋体" w:hAnsi="宋体" w:eastAsia="宋体" w:cs="宋体"/>
          <w:color w:val="auto"/>
          <w:sz w:val="21"/>
          <w:szCs w:val="21"/>
          <w:highlight w:val="none"/>
          <w:u w:val="single"/>
        </w:rPr>
        <w:t xml:space="preserve"> </w:t>
      </w:r>
      <w:bookmarkEnd w:id="601"/>
      <w:r>
        <w:rPr>
          <w:rFonts w:hint="eastAsia" w:ascii="宋体" w:hAnsi="宋体" w:eastAsia="宋体" w:cs="宋体"/>
          <w:color w:val="auto"/>
          <w:sz w:val="21"/>
          <w:szCs w:val="21"/>
          <w:highlight w:val="none"/>
          <w:u w:val="single"/>
        </w:rPr>
        <w:t xml:space="preserve">                     </w:t>
      </w:r>
    </w:p>
    <w:p w14:paraId="64415171">
      <w:pP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发包人和承包人根据《中华人民共和国建筑法》和《建设工程质量管理条例》，经协商一致就</w:t>
      </w:r>
      <w:r>
        <w:rPr>
          <w:rFonts w:hint="eastAsia" w:ascii="宋体" w:hAnsi="宋体" w:eastAsia="宋体" w:cs="宋体"/>
          <w:color w:val="auto"/>
          <w:sz w:val="21"/>
          <w:szCs w:val="21"/>
          <w:highlight w:val="none"/>
          <w:u w:val="single"/>
        </w:rPr>
        <w:t xml:space="preserve">  </w:t>
      </w:r>
      <w:bookmarkStart w:id="602" w:name="SOA_zyht_gcqc"/>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bookmarkEnd w:id="602"/>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（工程全称）签订工程质量保修书。</w:t>
      </w:r>
    </w:p>
    <w:p w14:paraId="30900B02">
      <w:pP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一、工程质量保修范围和内容</w:t>
      </w:r>
    </w:p>
    <w:p w14:paraId="02C23E83">
      <w:pP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承包人在质量保修期内，按照有关法律规定和合同约定，承担工程质量保修责任。</w:t>
      </w:r>
    </w:p>
    <w:p w14:paraId="4F4802D4">
      <w:pP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57F6B0DA">
      <w:pP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bookmarkStart w:id="603" w:name="SOA_zyht_gczlbxfw"/>
      <w:r>
        <w:rPr>
          <w:rFonts w:hint="eastAsia" w:ascii="宋体" w:hAnsi="宋体" w:eastAsia="宋体" w:cs="宋体"/>
          <w:color w:val="auto"/>
          <w:sz w:val="21"/>
          <w:szCs w:val="21"/>
          <w:highlight w:val="none"/>
          <w:u w:val="single"/>
        </w:rPr>
        <w:t xml:space="preserve">   双方约定对施工承包范围内的所有内容实行保修   </w:t>
      </w:r>
      <w:bookmarkEnd w:id="603"/>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6DDD02E">
      <w:pP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二、质量保修期</w:t>
      </w:r>
    </w:p>
    <w:p w14:paraId="675822BD">
      <w:pPr>
        <w:spacing w:line="288"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根据《建设工程质量管理条例》及有关规定，工程的质量保修期如下：</w:t>
      </w:r>
    </w:p>
    <w:p w14:paraId="751ED19B">
      <w:pPr>
        <w:spacing w:line="288"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1．地基基础工程和主体结构工程为设计文件规定的工程合理使用年限；</w:t>
      </w:r>
    </w:p>
    <w:p w14:paraId="0A47A089">
      <w:pPr>
        <w:spacing w:line="288"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2．屋面防水工程、有防水要求的卫生间、房间和外墙面的防渗为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年；</w:t>
      </w:r>
    </w:p>
    <w:p w14:paraId="57A903BB">
      <w:pPr>
        <w:spacing w:line="288"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3．装修工程为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30DF05E1">
      <w:pPr>
        <w:spacing w:line="288"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4．其他项目保修期限约定如下：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053A592">
      <w:pP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质量保修期自工程竣工验收合格之日起计算。</w:t>
      </w:r>
    </w:p>
    <w:p w14:paraId="64EF262A">
      <w:pP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三、缺陷责任期</w:t>
      </w:r>
    </w:p>
    <w:p w14:paraId="27CA0EF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工程缺陷责任期为</w:t>
      </w:r>
      <w:bookmarkStart w:id="604" w:name="SOA_zyht_gcqxq"/>
      <w:r>
        <w:rPr>
          <w:rFonts w:hint="eastAsia" w:ascii="宋体" w:hAnsi="宋体" w:eastAsia="宋体" w:cs="宋体"/>
          <w:color w:val="auto"/>
          <w:sz w:val="21"/>
          <w:szCs w:val="21"/>
          <w:highlight w:val="none"/>
          <w:u w:val="single"/>
        </w:rPr>
        <w:t xml:space="preserve">  24  </w:t>
      </w:r>
      <w:bookmarkEnd w:id="604"/>
      <w:r>
        <w:rPr>
          <w:rFonts w:hint="eastAsia" w:ascii="宋体" w:hAnsi="宋体" w:eastAsia="宋体" w:cs="宋体"/>
          <w:color w:val="auto"/>
          <w:sz w:val="21"/>
          <w:szCs w:val="21"/>
          <w:highlight w:val="none"/>
        </w:rPr>
        <w:t>个月，缺陷责任期自工程通过竣工验收合格之日起计算。单位工程先于全部工程进行验收，单位工程缺陷责任期自单位工程验收合格之日起计算。</w:t>
      </w:r>
    </w:p>
    <w:p w14:paraId="2731F649">
      <w:pP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四、质量保修责任</w:t>
      </w:r>
    </w:p>
    <w:p w14:paraId="673DD669">
      <w:pPr>
        <w:spacing w:line="288" w:lineRule="auto"/>
        <w:ind w:left="120" w:leftChars="50" w:firstLine="430" w:firstLineChars="2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1．属于保修范围、内容的项目，承包人应当在接到保修通知之日起7天内派人保修。承包人不在约定期限内派人保修的，发包人可以委托他人修理。</w:t>
      </w:r>
    </w:p>
    <w:p w14:paraId="5FC88527">
      <w:pPr>
        <w:spacing w:line="300" w:lineRule="auto"/>
        <w:ind w:left="120" w:leftChars="50" w:firstLine="430" w:firstLineChars="2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2．发生紧急事故需抢修的，承包人在接到事故通知后，应当立即到达事故现场抢修。</w:t>
      </w:r>
    </w:p>
    <w:p w14:paraId="2469EC3A">
      <w:pPr>
        <w:spacing w:line="300" w:lineRule="auto"/>
        <w:ind w:left="120" w:leftChars="50" w:firstLine="430" w:firstLineChars="2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8498AC8">
      <w:pPr>
        <w:spacing w:line="300" w:lineRule="auto"/>
        <w:ind w:left="480" w:leftChars="200" w:firstLine="105" w:firstLine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4．质量保修完成后，由发包人组织验收。</w:t>
      </w:r>
    </w:p>
    <w:p w14:paraId="7E773B0F">
      <w:pP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五、保修费用</w:t>
      </w:r>
    </w:p>
    <w:p w14:paraId="5ECD3D12">
      <w:pPr>
        <w:spacing w:line="30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保修费用由造成质量缺陷的责任方承担。</w:t>
      </w:r>
    </w:p>
    <w:p w14:paraId="55433CF1">
      <w:pPr>
        <w:spacing w:line="360" w:lineRule="auto"/>
        <w:ind w:firstLine="6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六</w:t>
      </w:r>
      <w:r>
        <w:rPr>
          <w:rFonts w:hint="eastAsia" w:ascii="宋体" w:hAnsi="宋体" w:eastAsia="宋体" w:cs="宋体"/>
          <w:color w:val="auto"/>
          <w:sz w:val="21"/>
          <w:szCs w:val="21"/>
          <w:highlight w:val="none"/>
        </w:rPr>
        <w:t>、双方约定的其他工程质量保修事项：</w:t>
      </w:r>
      <w:r>
        <w:rPr>
          <w:rFonts w:hint="eastAsia" w:cs="宋体"/>
          <w:color w:val="auto"/>
          <w:sz w:val="21"/>
          <w:szCs w:val="21"/>
          <w:highlight w:val="none"/>
          <w:u w:val="single"/>
          <w:lang w:val="en-US" w:eastAsia="zh-CN"/>
        </w:rPr>
        <w:t>无</w:t>
      </w:r>
      <w:r>
        <w:rPr>
          <w:rFonts w:hint="eastAsia" w:ascii="宋体" w:hAnsi="宋体" w:eastAsia="宋体" w:cs="宋体"/>
          <w:color w:val="auto"/>
          <w:sz w:val="21"/>
          <w:szCs w:val="21"/>
          <w:highlight w:val="none"/>
        </w:rPr>
        <w:t>。</w:t>
      </w:r>
    </w:p>
    <w:p w14:paraId="43BACB9F">
      <w:pPr>
        <w:spacing w:line="300" w:lineRule="auto"/>
        <w:ind w:firstLine="399" w:firstLineChars="19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工程质量保修书由发包人、承包人在工程竣工验收前共同签署，作为施工合同附件，其有效期限至保修期满。</w:t>
      </w:r>
    </w:p>
    <w:p w14:paraId="0A0CF2D9">
      <w:pP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w:t>
      </w:r>
      <w:r>
        <w:rPr>
          <w:rFonts w:hint="eastAsia" w:ascii="宋体" w:hAnsi="宋体" w:eastAsia="宋体" w:cs="宋体"/>
          <w:color w:val="auto"/>
          <w:sz w:val="21"/>
          <w:szCs w:val="21"/>
          <w:highlight w:val="none"/>
          <w:u w:val="single"/>
        </w:rPr>
        <w:t xml:space="preserve"> </w:t>
      </w:r>
      <w:bookmarkStart w:id="605" w:name="SOA_zyht_fbr"/>
      <w:r>
        <w:rPr>
          <w:rFonts w:hint="eastAsia" w:ascii="宋体" w:hAnsi="宋体" w:eastAsia="宋体" w:cs="宋体"/>
          <w:color w:val="auto"/>
          <w:sz w:val="21"/>
          <w:szCs w:val="21"/>
          <w:highlight w:val="none"/>
          <w:u w:val="single"/>
        </w:rPr>
        <w:t xml:space="preserve">      </w:t>
      </w:r>
      <w:bookmarkEnd w:id="605"/>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 xml:space="preserve">              承包人(公章)：</w:t>
      </w:r>
      <w:r>
        <w:rPr>
          <w:rFonts w:hint="eastAsia" w:ascii="宋体" w:hAnsi="宋体" w:eastAsia="宋体" w:cs="宋体"/>
          <w:color w:val="auto"/>
          <w:sz w:val="21"/>
          <w:szCs w:val="21"/>
          <w:highlight w:val="none"/>
          <w:u w:val="single"/>
        </w:rPr>
        <w:t></w:t>
      </w:r>
      <w:bookmarkStart w:id="606" w:name="SOA_zyht_cbr"/>
      <w:r>
        <w:rPr>
          <w:rFonts w:hint="eastAsia" w:ascii="宋体" w:hAnsi="宋体" w:eastAsia="宋体" w:cs="宋体"/>
          <w:color w:val="auto"/>
          <w:sz w:val="21"/>
          <w:szCs w:val="21"/>
          <w:highlight w:val="none"/>
          <w:u w:val="single"/>
        </w:rPr>
        <w:t xml:space="preserve">       </w:t>
      </w:r>
      <w:bookmarkEnd w:id="606"/>
      <w:r>
        <w:rPr>
          <w:rFonts w:hint="eastAsia" w:ascii="宋体" w:hAnsi="宋体" w:eastAsia="宋体" w:cs="宋体"/>
          <w:color w:val="auto"/>
          <w:sz w:val="21"/>
          <w:szCs w:val="21"/>
          <w:highlight w:val="none"/>
          <w:u w:val="single"/>
        </w:rPr>
        <w:t xml:space="preserve">  </w:t>
      </w:r>
    </w:p>
    <w:p w14:paraId="0A4A565C">
      <w:pP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single"/>
        </w:rPr>
        <w:t xml:space="preserve"> </w:t>
      </w:r>
      <w:bookmarkStart w:id="607" w:name="SOA_zyht_fbrdz"/>
      <w:r>
        <w:rPr>
          <w:rFonts w:hint="eastAsia" w:ascii="宋体" w:hAnsi="宋体" w:eastAsia="宋体" w:cs="宋体"/>
          <w:color w:val="auto"/>
          <w:sz w:val="21"/>
          <w:szCs w:val="21"/>
          <w:highlight w:val="none"/>
          <w:u w:val="single"/>
        </w:rPr>
        <w:t xml:space="preserve">     </w:t>
      </w:r>
      <w:bookmarkEnd w:id="607"/>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 xml:space="preserve">                     地  址：</w:t>
      </w:r>
      <w:r>
        <w:rPr>
          <w:rFonts w:hint="eastAsia" w:ascii="宋体" w:hAnsi="宋体" w:eastAsia="宋体" w:cs="宋体"/>
          <w:color w:val="auto"/>
          <w:sz w:val="21"/>
          <w:szCs w:val="21"/>
          <w:highlight w:val="none"/>
          <w:u w:val="single"/>
        </w:rPr>
        <w:t></w:t>
      </w:r>
      <w:bookmarkStart w:id="608" w:name="SOA_zyht_cbrdz"/>
      <w:r>
        <w:rPr>
          <w:rFonts w:hint="eastAsia" w:ascii="宋体" w:hAnsi="宋体" w:eastAsia="宋体" w:cs="宋体"/>
          <w:color w:val="auto"/>
          <w:sz w:val="21"/>
          <w:szCs w:val="21"/>
          <w:highlight w:val="none"/>
          <w:u w:val="single"/>
        </w:rPr>
        <w:t xml:space="preserve">      </w:t>
      </w:r>
      <w:bookmarkEnd w:id="608"/>
      <w:r>
        <w:rPr>
          <w:rFonts w:hint="eastAsia" w:ascii="宋体" w:hAnsi="宋体" w:eastAsia="宋体" w:cs="宋体"/>
          <w:color w:val="auto"/>
          <w:sz w:val="21"/>
          <w:szCs w:val="21"/>
          <w:highlight w:val="none"/>
          <w:u w:val="single"/>
        </w:rPr>
        <w:t></w:t>
      </w:r>
    </w:p>
    <w:p w14:paraId="48BCDF88">
      <w:pP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w:t>
      </w:r>
      <w:bookmarkStart w:id="609" w:name="SOA_zyht_fddbr1"/>
      <w:r>
        <w:rPr>
          <w:rFonts w:hint="eastAsia" w:ascii="宋体" w:hAnsi="宋体" w:eastAsia="宋体" w:cs="宋体"/>
          <w:color w:val="auto"/>
          <w:sz w:val="21"/>
          <w:szCs w:val="21"/>
          <w:highlight w:val="none"/>
          <w:u w:val="single"/>
        </w:rPr>
        <w:t xml:space="preserve">      </w:t>
      </w:r>
      <w:bookmarkEnd w:id="609"/>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法定代表人(签字)：</w:t>
      </w:r>
      <w:bookmarkStart w:id="610" w:name="SOA_zyht_fddbr2"/>
      <w:r>
        <w:rPr>
          <w:rFonts w:hint="eastAsia" w:ascii="宋体" w:hAnsi="宋体" w:eastAsia="宋体" w:cs="宋体"/>
          <w:color w:val="auto"/>
          <w:sz w:val="21"/>
          <w:szCs w:val="21"/>
          <w:highlight w:val="none"/>
          <w:u w:val="single"/>
        </w:rPr>
        <w:t xml:space="preserve">      </w:t>
      </w:r>
      <w:bookmarkEnd w:id="610"/>
      <w:r>
        <w:rPr>
          <w:rFonts w:hint="eastAsia" w:ascii="宋体" w:hAnsi="宋体" w:eastAsia="宋体" w:cs="宋体"/>
          <w:color w:val="auto"/>
          <w:sz w:val="21"/>
          <w:szCs w:val="21"/>
          <w:highlight w:val="none"/>
          <w:u w:val="single"/>
        </w:rPr>
        <w:t xml:space="preserve">  </w:t>
      </w:r>
    </w:p>
    <w:p w14:paraId="4FBD9945">
      <w:pP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委托代理人(签字)：</w:t>
      </w:r>
      <w:bookmarkStart w:id="611" w:name="SOA_zyht_wtdlr1"/>
      <w:r>
        <w:rPr>
          <w:rFonts w:hint="eastAsia" w:ascii="宋体" w:hAnsi="宋体" w:eastAsia="宋体" w:cs="宋体"/>
          <w:color w:val="auto"/>
          <w:sz w:val="21"/>
          <w:szCs w:val="21"/>
          <w:highlight w:val="none"/>
          <w:u w:val="single"/>
        </w:rPr>
        <w:t xml:space="preserve">      </w:t>
      </w:r>
      <w:bookmarkEnd w:id="611"/>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委托代理人(签字)：</w:t>
      </w:r>
      <w:bookmarkStart w:id="612" w:name="SOA_zyht_wtdlr2"/>
      <w:r>
        <w:rPr>
          <w:rFonts w:hint="eastAsia" w:ascii="宋体" w:hAnsi="宋体" w:eastAsia="宋体" w:cs="宋体"/>
          <w:color w:val="auto"/>
          <w:sz w:val="21"/>
          <w:szCs w:val="21"/>
          <w:highlight w:val="none"/>
          <w:u w:val="single"/>
        </w:rPr>
        <w:t xml:space="preserve">      </w:t>
      </w:r>
      <w:bookmarkEnd w:id="612"/>
      <w:r>
        <w:rPr>
          <w:rFonts w:hint="eastAsia" w:ascii="宋体" w:hAnsi="宋体" w:eastAsia="宋体" w:cs="宋体"/>
          <w:color w:val="auto"/>
          <w:sz w:val="21"/>
          <w:szCs w:val="21"/>
          <w:highlight w:val="none"/>
          <w:u w:val="single"/>
        </w:rPr>
        <w:t xml:space="preserve">  </w:t>
      </w:r>
    </w:p>
    <w:p w14:paraId="02D3C966">
      <w:pP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u w:val="single"/>
        </w:rPr>
        <w:t></w:t>
      </w:r>
      <w:bookmarkStart w:id="613" w:name="SOA_zyht_fbrdh1"/>
      <w:r>
        <w:rPr>
          <w:rFonts w:hint="eastAsia" w:ascii="宋体" w:hAnsi="宋体" w:eastAsia="宋体" w:cs="宋体"/>
          <w:color w:val="auto"/>
          <w:sz w:val="21"/>
          <w:szCs w:val="21"/>
          <w:highlight w:val="none"/>
          <w:u w:val="single"/>
        </w:rPr>
        <w:t xml:space="preserve">      </w:t>
      </w:r>
      <w:bookmarkEnd w:id="613"/>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w:t>
      </w:r>
      <w:bookmarkStart w:id="614" w:name="SOA_zyht_cbrdh"/>
      <w:r>
        <w:rPr>
          <w:rFonts w:hint="eastAsia" w:ascii="宋体" w:hAnsi="宋体" w:eastAsia="宋体" w:cs="宋体"/>
          <w:color w:val="auto"/>
          <w:sz w:val="21"/>
          <w:szCs w:val="21"/>
          <w:highlight w:val="none"/>
          <w:u w:val="single"/>
        </w:rPr>
        <w:t xml:space="preserve">      </w:t>
      </w:r>
      <w:bookmarkEnd w:id="614"/>
      <w:r>
        <w:rPr>
          <w:rFonts w:hint="eastAsia" w:ascii="宋体" w:hAnsi="宋体" w:eastAsia="宋体" w:cs="宋体"/>
          <w:color w:val="auto"/>
          <w:sz w:val="21"/>
          <w:szCs w:val="21"/>
          <w:highlight w:val="none"/>
          <w:u w:val="single"/>
        </w:rPr>
        <w:t xml:space="preserve"> </w:t>
      </w:r>
    </w:p>
    <w:p w14:paraId="45900802">
      <w:pP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r>
        <w:rPr>
          <w:rFonts w:hint="eastAsia" w:ascii="宋体" w:hAnsi="宋体" w:eastAsia="宋体" w:cs="宋体"/>
          <w:color w:val="auto"/>
          <w:sz w:val="21"/>
          <w:szCs w:val="21"/>
          <w:highlight w:val="none"/>
          <w:u w:val="single"/>
        </w:rPr>
        <w:t xml:space="preserve">  </w:t>
      </w:r>
      <w:bookmarkStart w:id="615" w:name="SOA_zyht_fbrcz"/>
      <w:r>
        <w:rPr>
          <w:rFonts w:hint="eastAsia" w:ascii="宋体" w:hAnsi="宋体" w:eastAsia="宋体" w:cs="宋体"/>
          <w:color w:val="auto"/>
          <w:sz w:val="21"/>
          <w:szCs w:val="21"/>
          <w:highlight w:val="none"/>
          <w:u w:val="single"/>
        </w:rPr>
        <w:t xml:space="preserve">      </w:t>
      </w:r>
      <w:bookmarkEnd w:id="615"/>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w:t>
      </w:r>
      <w:bookmarkStart w:id="616" w:name="SOA_zyht_cbrcz"/>
      <w:r>
        <w:rPr>
          <w:rFonts w:hint="eastAsia" w:ascii="宋体" w:hAnsi="宋体" w:eastAsia="宋体" w:cs="宋体"/>
          <w:color w:val="auto"/>
          <w:sz w:val="21"/>
          <w:szCs w:val="21"/>
          <w:highlight w:val="none"/>
          <w:u w:val="single"/>
        </w:rPr>
        <w:t xml:space="preserve">      </w:t>
      </w:r>
      <w:bookmarkEnd w:id="616"/>
      <w:r>
        <w:rPr>
          <w:rFonts w:hint="eastAsia" w:ascii="宋体" w:hAnsi="宋体" w:eastAsia="宋体" w:cs="宋体"/>
          <w:color w:val="auto"/>
          <w:sz w:val="21"/>
          <w:szCs w:val="21"/>
          <w:highlight w:val="none"/>
          <w:u w:val="single"/>
        </w:rPr>
        <w:t xml:space="preserve"> </w:t>
      </w:r>
    </w:p>
    <w:p w14:paraId="78BA4C7E">
      <w:pP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bookmarkStart w:id="617" w:name="SOA_zyht_fbrkhyh"/>
      <w:r>
        <w:rPr>
          <w:rFonts w:hint="eastAsia" w:ascii="宋体" w:hAnsi="宋体" w:eastAsia="宋体" w:cs="宋体"/>
          <w:color w:val="auto"/>
          <w:sz w:val="21"/>
          <w:szCs w:val="21"/>
          <w:highlight w:val="none"/>
          <w:u w:val="single"/>
        </w:rPr>
        <w:t xml:space="preserve">      </w:t>
      </w:r>
      <w:bookmarkEnd w:id="617"/>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开户银行：</w:t>
      </w:r>
      <w:bookmarkStart w:id="618" w:name="SOA_zyht_cbrkhyh"/>
      <w:r>
        <w:rPr>
          <w:rFonts w:hint="eastAsia" w:ascii="宋体" w:hAnsi="宋体" w:eastAsia="宋体" w:cs="宋体"/>
          <w:color w:val="auto"/>
          <w:sz w:val="21"/>
          <w:szCs w:val="21"/>
          <w:highlight w:val="none"/>
          <w:u w:val="single"/>
        </w:rPr>
        <w:t xml:space="preserve">      </w:t>
      </w:r>
      <w:bookmarkEnd w:id="618"/>
      <w:r>
        <w:rPr>
          <w:rFonts w:hint="eastAsia" w:ascii="宋体" w:hAnsi="宋体" w:eastAsia="宋体" w:cs="宋体"/>
          <w:color w:val="auto"/>
          <w:sz w:val="21"/>
          <w:szCs w:val="21"/>
          <w:highlight w:val="none"/>
          <w:u w:val="single"/>
        </w:rPr>
        <w:t xml:space="preserve">  </w:t>
      </w:r>
    </w:p>
    <w:p w14:paraId="0F1B03C1">
      <w:pP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  号：</w:t>
      </w:r>
      <w:r>
        <w:rPr>
          <w:rFonts w:hint="eastAsia" w:ascii="宋体" w:hAnsi="宋体" w:eastAsia="宋体" w:cs="宋体"/>
          <w:color w:val="auto"/>
          <w:sz w:val="21"/>
          <w:szCs w:val="21"/>
          <w:highlight w:val="none"/>
          <w:u w:val="single"/>
        </w:rPr>
        <w:t></w:t>
      </w:r>
      <w:bookmarkStart w:id="619" w:name="SOA_zyht_fbrzh"/>
      <w:r>
        <w:rPr>
          <w:rFonts w:hint="eastAsia" w:ascii="宋体" w:hAnsi="宋体" w:eastAsia="宋体" w:cs="宋体"/>
          <w:color w:val="auto"/>
          <w:sz w:val="21"/>
          <w:szCs w:val="21"/>
          <w:highlight w:val="none"/>
          <w:u w:val="single"/>
        </w:rPr>
        <w:t xml:space="preserve">      </w:t>
      </w:r>
      <w:bookmarkEnd w:id="619"/>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 xml:space="preserve">                   账  号：</w:t>
      </w:r>
      <w:r>
        <w:rPr>
          <w:rFonts w:hint="eastAsia" w:ascii="宋体" w:hAnsi="宋体" w:eastAsia="宋体" w:cs="宋体"/>
          <w:color w:val="auto"/>
          <w:sz w:val="21"/>
          <w:szCs w:val="21"/>
          <w:highlight w:val="none"/>
          <w:u w:val="single"/>
        </w:rPr>
        <w:t></w:t>
      </w:r>
      <w:bookmarkStart w:id="620" w:name="SOA_zyht_cbrzh"/>
      <w:r>
        <w:rPr>
          <w:rFonts w:hint="eastAsia" w:ascii="宋体" w:hAnsi="宋体" w:eastAsia="宋体" w:cs="宋体"/>
          <w:color w:val="auto"/>
          <w:sz w:val="21"/>
          <w:szCs w:val="21"/>
          <w:highlight w:val="none"/>
          <w:u w:val="single"/>
        </w:rPr>
        <w:t xml:space="preserve">      </w:t>
      </w:r>
      <w:bookmarkEnd w:id="620"/>
      <w:r>
        <w:rPr>
          <w:rFonts w:hint="eastAsia" w:ascii="宋体" w:hAnsi="宋体" w:eastAsia="宋体" w:cs="宋体"/>
          <w:color w:val="auto"/>
          <w:sz w:val="21"/>
          <w:szCs w:val="21"/>
          <w:highlight w:val="none"/>
          <w:u w:val="single"/>
        </w:rPr>
        <w:t xml:space="preserve">  </w:t>
      </w:r>
    </w:p>
    <w:p w14:paraId="21AB687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 xml:space="preserve"> </w:t>
      </w:r>
      <w:bookmarkStart w:id="621" w:name="SOA_zyht_fbryb"/>
      <w:r>
        <w:rPr>
          <w:rFonts w:hint="eastAsia" w:ascii="宋体" w:hAnsi="宋体" w:eastAsia="宋体" w:cs="宋体"/>
          <w:color w:val="auto"/>
          <w:sz w:val="21"/>
          <w:szCs w:val="21"/>
          <w:highlight w:val="none"/>
          <w:u w:val="single"/>
        </w:rPr>
        <w:t xml:space="preserve">      </w:t>
      </w:r>
      <w:bookmarkEnd w:id="621"/>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w:t>
      </w:r>
      <w:bookmarkStart w:id="622" w:name="SOA_zyht_cbryb"/>
      <w:r>
        <w:rPr>
          <w:rFonts w:hint="eastAsia" w:ascii="宋体" w:hAnsi="宋体" w:eastAsia="宋体" w:cs="宋体"/>
          <w:color w:val="auto"/>
          <w:sz w:val="21"/>
          <w:szCs w:val="21"/>
          <w:highlight w:val="none"/>
          <w:u w:val="single"/>
        </w:rPr>
        <w:t xml:space="preserve">     </w:t>
      </w:r>
      <w:bookmarkEnd w:id="622"/>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p>
    <w:p w14:paraId="6AE2E97C">
      <w:pPr>
        <w:widowControl/>
        <w:spacing w:before="100" w:beforeAutospacing="1" w:after="100" w:afterAutospacing="1" w:line="400" w:lineRule="exact"/>
        <w:ind w:left="0" w:firstLine="0"/>
        <w:jc w:val="both"/>
        <w:outlineLvl w:val="2"/>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br w:type="page"/>
      </w:r>
      <w:r>
        <w:rPr>
          <w:rFonts w:hint="eastAsia" w:ascii="宋体" w:hAnsi="宋体" w:eastAsia="宋体" w:cs="宋体"/>
          <w:b/>
          <w:color w:val="auto"/>
          <w:kern w:val="0"/>
          <w:sz w:val="21"/>
          <w:szCs w:val="21"/>
          <w:highlight w:val="none"/>
          <w:lang w:val="en-US" w:eastAsia="zh-CN" w:bidi="ar-SA"/>
        </w:rPr>
        <w:t>附件2：廉政协议书</w:t>
      </w:r>
    </w:p>
    <w:p w14:paraId="5A77BD26">
      <w:pPr>
        <w:spacing w:line="4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廉政协议书</w:t>
      </w:r>
    </w:p>
    <w:p w14:paraId="68C86A7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 </w:t>
      </w:r>
    </w:p>
    <w:p w14:paraId="29359EBD">
      <w:pPr>
        <w:rPr>
          <w:rFonts w:hint="eastAsia" w:ascii="宋体" w:hAnsi="宋体" w:eastAsia="宋体" w:cs="宋体"/>
          <w:color w:val="auto"/>
          <w:kern w:val="0"/>
          <w:sz w:val="21"/>
          <w:szCs w:val="21"/>
          <w:highlight w:val="none"/>
          <w:u w:val="single"/>
          <w:lang w:eastAsia="zh-CN"/>
        </w:rPr>
      </w:pPr>
      <w:r>
        <w:rPr>
          <w:rFonts w:hint="eastAsia" w:ascii="宋体" w:hAnsi="宋体" w:eastAsia="宋体" w:cs="宋体"/>
          <w:color w:val="auto"/>
          <w:kern w:val="0"/>
          <w:sz w:val="21"/>
          <w:szCs w:val="21"/>
          <w:highlight w:val="none"/>
          <w:lang w:bidi="ar"/>
        </w:rPr>
        <w:t>建设单位（甲方）：</w:t>
      </w:r>
      <w:r>
        <w:rPr>
          <w:rFonts w:hint="eastAsia" w:cs="宋体"/>
          <w:color w:val="auto"/>
          <w:kern w:val="0"/>
          <w:sz w:val="21"/>
          <w:szCs w:val="21"/>
          <w:highlight w:val="none"/>
          <w:u w:val="single"/>
          <w:lang w:eastAsia="zh-CN" w:bidi="ar"/>
        </w:rPr>
        <w:t>浙江省人防指挥工程管理所</w:t>
      </w:r>
    </w:p>
    <w:p w14:paraId="6A47586B">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施工单位（乙方）：</w:t>
      </w:r>
      <w:r>
        <w:rPr>
          <w:rFonts w:hint="eastAsia" w:ascii="宋体" w:hAnsi="宋体" w:eastAsia="宋体" w:cs="宋体"/>
          <w:color w:val="auto"/>
          <w:kern w:val="0"/>
          <w:sz w:val="21"/>
          <w:szCs w:val="21"/>
          <w:highlight w:val="none"/>
          <w:u w:val="single"/>
          <w:lang w:bidi="ar"/>
        </w:rPr>
        <w:t xml:space="preserve">                                   </w:t>
      </w:r>
      <w:r>
        <w:rPr>
          <w:rFonts w:hint="eastAsia" w:ascii="宋体" w:hAnsi="宋体" w:eastAsia="宋体" w:cs="宋体"/>
          <w:color w:val="auto"/>
          <w:kern w:val="0"/>
          <w:sz w:val="21"/>
          <w:szCs w:val="21"/>
          <w:highlight w:val="none"/>
          <w:lang w:bidi="ar"/>
        </w:rPr>
        <w:t xml:space="preserve">                        </w:t>
      </w:r>
    </w:p>
    <w:p w14:paraId="14756991">
      <w:pPr>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 xml:space="preserve"> </w:t>
      </w:r>
    </w:p>
    <w:p w14:paraId="1B747A7A">
      <w:pPr>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为加强工程建设中的廉政建设，规范工程建设项目甲乙双方的各项活动，防止发生各种谋取不正当利益的违法违纪行为，保护国家、集体和当事人的合法权益，根据国家有关工程建设的法律法规和廉政建设责任制规定，特订立本廉政协议书。</w:t>
      </w:r>
    </w:p>
    <w:p w14:paraId="03E2FFD6">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 xml:space="preserve"> </w:t>
      </w:r>
    </w:p>
    <w:p w14:paraId="5DF29639">
      <w:pP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bidi="ar"/>
        </w:rPr>
        <w:t>第一条 甲乙双方的责任</w:t>
      </w:r>
    </w:p>
    <w:p w14:paraId="3CCE1720">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（一）应严格遵守国家关于市场准入、项目招标投标、工程建设、施工安装和市场活动等有关法律、法规，相关政策，以及廉政建设的各项规定。</w:t>
      </w:r>
    </w:p>
    <w:p w14:paraId="67607C9E">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（二）严格执行建设工程项目施工合同文件，自觉履行合同的约定。</w:t>
      </w:r>
    </w:p>
    <w:p w14:paraId="2AC56EFC">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（三）工程建设的业务活动必须坚持公平、公正、公开、诚信、透明的原则（除法律法规另有规定者外），不得为获取不正当的利益而损害国家、集体和对方利益；不得违反工程建设管理、施工安装的规章制度。</w:t>
      </w:r>
    </w:p>
    <w:p w14:paraId="104E3358">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（四）发现对方在工程建设业务活动中有违规、违纪、违法行为的，应及时纠正对方，情节严重的，应向其上级主管部门或纪检监察、司法等有关机关举报。</w:t>
      </w:r>
    </w:p>
    <w:p w14:paraId="6FE62AA4">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 xml:space="preserve"> </w:t>
      </w:r>
    </w:p>
    <w:p w14:paraId="1F4560A2">
      <w:pP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bidi="ar"/>
        </w:rPr>
        <w:t>第二条 甲方的责任</w:t>
      </w:r>
    </w:p>
    <w:p w14:paraId="5732E1EF">
      <w:pPr>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甲方的领导和从事该工程建设项目的管理部门及工作人员，在工程建设业务活动的事前、事中、事后应遵守以下规定：</w:t>
      </w:r>
    </w:p>
    <w:p w14:paraId="1DF99E44">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（一）不准向乙方和相关单位索要或接受回扣、礼金、有价证券、贵重物品和好处费、感谢费等。</w:t>
      </w:r>
    </w:p>
    <w:p w14:paraId="13FD82A9">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（二）不准在乙方和相关单位报销任何应由甲方或个人支付的费用。</w:t>
      </w:r>
    </w:p>
    <w:p w14:paraId="405B1B8B">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（三）不准要求、暗示和接受乙方和相关单位为个人装修住房、婚丧嫁娶、配偶子女的工作安排以及出国（境）、旅游等提供方便。</w:t>
      </w:r>
    </w:p>
    <w:p w14:paraId="3D0B8ACD">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（四）不准参加有可能影响公正执行公务的乙方和相关单位的宴请和健身、娱乐等活动。</w:t>
      </w:r>
    </w:p>
    <w:p w14:paraId="7F51AB4E">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五）不准向乙方推介或为配偶、子女、亲属参与同甲方项目工程施工合同有关的设备、材料、工程分包、劳务等经济活动。不得以任何理由向乙方和相关单位推荐分包单位和要求乙方购买项目工程施工合同规定以外的材料、设备等。</w:t>
      </w:r>
    </w:p>
    <w:p w14:paraId="18F508A0">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 xml:space="preserve"> </w:t>
      </w:r>
    </w:p>
    <w:p w14:paraId="0E1CBD11">
      <w:pP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bidi="ar"/>
        </w:rPr>
        <w:t>第三条 乙方的责任</w:t>
      </w:r>
    </w:p>
    <w:p w14:paraId="6DDC9160">
      <w:pPr>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应与甲方保持正常的业务交往，按照有关法律法规和程序开展业务工作，严格执行工程建设的有关方针、政策，尤其是有关建筑施工安装的强制性标准和规范，并遵守以下规定：</w:t>
      </w:r>
    </w:p>
    <w:p w14:paraId="74A77237">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（一）不准以任何理由向甲方、相关单位及其工作人员赠送礼金、有价证券、贵重物品和回扣、好处费、感谢费等。</w:t>
      </w:r>
    </w:p>
    <w:p w14:paraId="620633E0">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（二）不准以任何理由为甲方和相关单位报销应由对方或个人支付的费用。</w:t>
      </w:r>
    </w:p>
    <w:p w14:paraId="7266ECFE">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（三）不准接受或暗示为甲方、相关单位或个人装修住房、婚丧嫁娶、配偶子女的工作安排以及出国（境）、旅游等提供方便。</w:t>
      </w:r>
    </w:p>
    <w:p w14:paraId="50BF724E">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（四）不准以任何理由为甲方、相关单位或个人组织有可能影响公正执行公务的宴请、健身、娱乐等活动。</w:t>
      </w:r>
    </w:p>
    <w:p w14:paraId="378BC518">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 xml:space="preserve"> </w:t>
      </w:r>
    </w:p>
    <w:p w14:paraId="3BA63F2B">
      <w:pP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bidi="ar"/>
        </w:rPr>
        <w:t>第四条 违约责任</w:t>
      </w:r>
    </w:p>
    <w:p w14:paraId="6E9A4F1D">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（一）甲方及其工作人员有违反本协议书第一、二条责任行为的，按照管理权限，依据有关法律法规和规定，给予党纪、政纪处分或组织处理；涉嫌犯罪的，移交司法机关追究刑事责任。</w:t>
      </w:r>
    </w:p>
    <w:p w14:paraId="300FC8CA">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 xml:space="preserve">（二）乙方及其工作人员有违反本协议书第一、三条责任行为的，按照管理权限，依据有关法律法规和规定，给予党纪、政纪处分或组织处理；涉嫌犯罪的，移交司法机关追究刑事责任。 </w:t>
      </w:r>
    </w:p>
    <w:p w14:paraId="0F0530A0">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 xml:space="preserve"> </w:t>
      </w:r>
    </w:p>
    <w:p w14:paraId="18A7BFDA">
      <w:pP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bidi="ar"/>
        </w:rPr>
        <w:t>第五条 本协议书作为工程建设施工合同的附件，与工程建设施工合同具有同等法律效力。经双方签署后立即生效。</w:t>
      </w:r>
    </w:p>
    <w:p w14:paraId="7083C3A4">
      <w:pP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bidi="ar"/>
        </w:rPr>
        <w:t xml:space="preserve"> </w:t>
      </w:r>
    </w:p>
    <w:p w14:paraId="4BEA8943">
      <w:pP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bidi="ar"/>
        </w:rPr>
        <w:t>第六条 本协议书的有效期为双方签署之日起至该工程项目竣工验收合格时止。</w:t>
      </w:r>
    </w:p>
    <w:p w14:paraId="65F85E7E">
      <w:pP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bidi="ar"/>
        </w:rPr>
        <w:t xml:space="preserve"> </w:t>
      </w:r>
    </w:p>
    <w:p w14:paraId="2BA9C3A5">
      <w:pP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bidi="ar"/>
        </w:rPr>
        <w:t>第七条 本协议书一式四份，由甲乙双方各执一份，送交双方监督单位各一份。</w:t>
      </w:r>
    </w:p>
    <w:p w14:paraId="37C0734A">
      <w:pP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bidi="ar"/>
        </w:rPr>
        <w:t xml:space="preserve"> </w:t>
      </w:r>
    </w:p>
    <w:p w14:paraId="78146E44">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 xml:space="preserve"> </w:t>
      </w:r>
    </w:p>
    <w:p w14:paraId="4E5402B4">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 xml:space="preserve"> </w:t>
      </w:r>
    </w:p>
    <w:p w14:paraId="4489D872">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甲方单位：（盖章）                                乙方单位：（盖章）</w:t>
      </w:r>
    </w:p>
    <w:p w14:paraId="7FE6EC00">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 xml:space="preserve"> </w:t>
      </w:r>
    </w:p>
    <w:p w14:paraId="7C55A1A0">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 xml:space="preserve"> </w:t>
      </w:r>
    </w:p>
    <w:p w14:paraId="4DFCBDEF">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 xml:space="preserve"> </w:t>
      </w:r>
    </w:p>
    <w:p w14:paraId="5D8C5211">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 xml:space="preserve"> </w:t>
      </w:r>
    </w:p>
    <w:p w14:paraId="7F8A314C">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法定代表人或其委托代理人：                       法定代表人或其委托代理人：</w:t>
      </w:r>
    </w:p>
    <w:p w14:paraId="05A43700">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 xml:space="preserve"> </w:t>
      </w:r>
    </w:p>
    <w:p w14:paraId="32E5EE43">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 xml:space="preserve"> </w:t>
      </w:r>
    </w:p>
    <w:p w14:paraId="344CBB2C">
      <w:pPr>
        <w:snapToGrid w:val="0"/>
        <w:spacing w:line="288" w:lineRule="auto"/>
        <w:jc w:val="both"/>
        <w:rPr>
          <w:rFonts w:ascii="MS Reference Sans Serif" w:hAnsi="MS Reference Sans Serif" w:eastAsia="仿宋_GB2312" w:cs="Times New Roman"/>
          <w:color w:val="auto"/>
          <w:sz w:val="21"/>
          <w:szCs w:val="21"/>
          <w:highlight w:val="none"/>
        </w:rPr>
      </w:pPr>
      <w:r>
        <w:rPr>
          <w:rFonts w:hint="eastAsia" w:ascii="宋体" w:hAnsi="宋体" w:eastAsia="宋体" w:cs="宋体"/>
          <w:color w:val="auto"/>
          <w:kern w:val="0"/>
          <w:sz w:val="21"/>
          <w:szCs w:val="21"/>
          <w:highlight w:val="none"/>
          <w:lang w:bidi="ar"/>
        </w:rPr>
        <w:t xml:space="preserve">         年 月 日                               年 月 日</w:t>
      </w:r>
    </w:p>
    <w:p w14:paraId="696C105F">
      <w:pPr>
        <w:adjustRightInd w:val="0"/>
        <w:snapToGrid w:val="0"/>
        <w:spacing w:line="288" w:lineRule="auto"/>
        <w:rPr>
          <w:color w:val="auto"/>
          <w:sz w:val="21"/>
          <w:szCs w:val="21"/>
          <w:highlight w:val="none"/>
        </w:rPr>
      </w:pPr>
      <w:r>
        <w:rPr>
          <w:rFonts w:hint="eastAsia" w:ascii="Times New Roman" w:hAnsi="宋体" w:eastAsia="宋体" w:cs="宋体"/>
          <w:color w:val="auto"/>
          <w:sz w:val="21"/>
          <w:szCs w:val="21"/>
          <w:highlight w:val="none"/>
        </w:rPr>
        <w:br w:type="page"/>
      </w:r>
    </w:p>
    <w:p w14:paraId="7DD642AB">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14:paraId="5D88486B">
      <w:pPr>
        <w:adjustRightInd w:val="0"/>
        <w:snapToGrid w:val="0"/>
        <w:spacing w:line="288" w:lineRule="auto"/>
        <w:rPr>
          <w:color w:val="auto"/>
          <w:sz w:val="21"/>
          <w:szCs w:val="21"/>
          <w:highlight w:val="none"/>
        </w:rPr>
      </w:pPr>
    </w:p>
    <w:p w14:paraId="26C18B8A">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14:paraId="597FCE51">
      <w:pPr>
        <w:adjustRightInd w:val="0"/>
        <w:snapToGrid w:val="0"/>
        <w:spacing w:line="276" w:lineRule="auto"/>
        <w:rPr>
          <w:color w:val="auto"/>
          <w:sz w:val="21"/>
          <w:szCs w:val="21"/>
          <w:highlight w:val="none"/>
        </w:rPr>
      </w:pPr>
    </w:p>
    <w:p w14:paraId="6182CB2A">
      <w:pPr>
        <w:adjustRightInd w:val="0"/>
        <w:snapToGrid w:val="0"/>
        <w:spacing w:line="288" w:lineRule="auto"/>
        <w:ind w:firstLine="422" w:firstLineChars="200"/>
        <w:rPr>
          <w:b/>
          <w:bCs/>
          <w:color w:val="auto"/>
          <w:sz w:val="21"/>
          <w:szCs w:val="21"/>
          <w:highlight w:val="none"/>
        </w:rPr>
      </w:pPr>
      <w:bookmarkStart w:id="623" w:name="_Hlk71884160"/>
      <w:r>
        <w:rPr>
          <w:rFonts w:hint="eastAsia"/>
          <w:b/>
          <w:bCs/>
          <w:color w:val="auto"/>
          <w:sz w:val="21"/>
          <w:szCs w:val="21"/>
          <w:highlight w:val="none"/>
        </w:rPr>
        <w:t>▲1.资格文件（单独上传）</w:t>
      </w:r>
    </w:p>
    <w:p w14:paraId="37CF33F2">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资格审查要求的资格证明材料(均需加盖公章)：</w:t>
      </w:r>
    </w:p>
    <w:bookmarkEnd w:id="623"/>
    <w:p w14:paraId="57D92A2B">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14:paraId="3BD7577C">
      <w:pPr>
        <w:adjustRightInd w:val="0"/>
        <w:snapToGrid w:val="0"/>
        <w:spacing w:line="288" w:lineRule="auto"/>
        <w:ind w:firstLine="422" w:firstLineChars="200"/>
        <w:rPr>
          <w:b/>
          <w:bCs/>
          <w:color w:val="auto"/>
          <w:sz w:val="21"/>
          <w:szCs w:val="21"/>
          <w:highlight w:val="none"/>
        </w:rPr>
      </w:pPr>
      <w:bookmarkStart w:id="624" w:name="_Hlk71884127"/>
      <w:r>
        <w:rPr>
          <w:rFonts w:hint="eastAsia"/>
          <w:b/>
          <w:bCs/>
          <w:color w:val="auto"/>
          <w:sz w:val="21"/>
          <w:szCs w:val="21"/>
          <w:highlight w:val="none"/>
        </w:rPr>
        <w:t>（</w:t>
      </w:r>
      <w:r>
        <w:rPr>
          <w:b/>
          <w:bCs/>
          <w:color w:val="auto"/>
          <w:sz w:val="21"/>
          <w:szCs w:val="21"/>
          <w:highlight w:val="none"/>
        </w:rPr>
        <w:t>2）符合参加政府采购活动应当具备的一般条件的承诺函</w:t>
      </w:r>
    </w:p>
    <w:p w14:paraId="0251ED72">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3）落实政府采购政策需满足的资格要求</w:t>
      </w:r>
    </w:p>
    <w:p w14:paraId="3FD6D0CC">
      <w:pPr>
        <w:adjustRightInd w:val="0"/>
        <w:snapToGrid w:val="0"/>
        <w:spacing w:line="288" w:lineRule="auto"/>
        <w:ind w:left="480" w:leftChars="200" w:firstLine="422" w:firstLineChars="200"/>
        <w:rPr>
          <w:rFonts w:hint="eastAsia"/>
          <w:b/>
          <w:bCs/>
          <w:color w:val="auto"/>
          <w:sz w:val="21"/>
          <w:szCs w:val="21"/>
          <w:highlight w:val="none"/>
        </w:rPr>
      </w:pPr>
      <w:r>
        <w:rPr>
          <w:rFonts w:hint="eastAsia"/>
          <w:b/>
          <w:bCs/>
          <w:color w:val="auto"/>
          <w:sz w:val="21"/>
          <w:szCs w:val="21"/>
          <w:highlight w:val="none"/>
        </w:rPr>
        <w:t>中小企业声明函（若属于中小企业）</w:t>
      </w:r>
    </w:p>
    <w:p w14:paraId="56E26AD0">
      <w:pPr>
        <w:adjustRightInd w:val="0"/>
        <w:snapToGrid w:val="0"/>
        <w:spacing w:line="288" w:lineRule="auto"/>
        <w:ind w:left="480" w:leftChars="200" w:firstLine="422" w:firstLineChars="200"/>
        <w:rPr>
          <w:rFonts w:hint="eastAsia"/>
          <w:b/>
          <w:bCs/>
          <w:color w:val="auto"/>
          <w:sz w:val="21"/>
          <w:szCs w:val="21"/>
          <w:highlight w:val="none"/>
        </w:rPr>
      </w:pPr>
      <w:r>
        <w:rPr>
          <w:rFonts w:hint="eastAsia"/>
          <w:b/>
          <w:bCs/>
          <w:color w:val="auto"/>
          <w:sz w:val="21"/>
          <w:szCs w:val="21"/>
          <w:highlight w:val="none"/>
        </w:rPr>
        <w:t>属于监狱企业的证明文件（若属于监狱企业）</w:t>
      </w:r>
    </w:p>
    <w:p w14:paraId="7828133A">
      <w:pPr>
        <w:adjustRightInd w:val="0"/>
        <w:snapToGrid w:val="0"/>
        <w:spacing w:line="288" w:lineRule="auto"/>
        <w:ind w:left="480" w:leftChars="200" w:firstLine="422" w:firstLineChars="200"/>
        <w:rPr>
          <w:rFonts w:hint="eastAsia"/>
          <w:b/>
          <w:bCs/>
          <w:color w:val="auto"/>
          <w:sz w:val="21"/>
          <w:szCs w:val="21"/>
          <w:highlight w:val="none"/>
        </w:rPr>
      </w:pPr>
      <w:r>
        <w:rPr>
          <w:rFonts w:hint="eastAsia"/>
          <w:b/>
          <w:bCs/>
          <w:color w:val="auto"/>
          <w:sz w:val="21"/>
          <w:szCs w:val="21"/>
          <w:highlight w:val="none"/>
        </w:rPr>
        <w:t>残疾人福利性单位声明函（若属于残疾人福利性单位）</w:t>
      </w:r>
    </w:p>
    <w:p w14:paraId="0F901E3B">
      <w:pPr>
        <w:adjustRightInd w:val="0"/>
        <w:snapToGrid w:val="0"/>
        <w:spacing w:line="288" w:lineRule="auto"/>
        <w:ind w:left="480" w:leftChars="200" w:firstLine="422" w:firstLineChars="200"/>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联合协议、分包协议（如有）</w:t>
      </w:r>
    </w:p>
    <w:p w14:paraId="36CD10B2">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本项目的特定资格要求</w:t>
      </w:r>
      <w:r>
        <w:rPr>
          <w:b/>
          <w:bCs/>
          <w:color w:val="auto"/>
          <w:sz w:val="21"/>
          <w:szCs w:val="21"/>
          <w:highlight w:val="none"/>
        </w:rPr>
        <w:t>证明材料：</w:t>
      </w:r>
    </w:p>
    <w:p w14:paraId="5D49C52F">
      <w:pPr>
        <w:adjustRightInd w:val="0"/>
        <w:snapToGrid w:val="0"/>
        <w:spacing w:line="288" w:lineRule="auto"/>
        <w:ind w:left="480" w:leftChars="200" w:firstLine="422" w:firstLineChars="200"/>
        <w:rPr>
          <w:rFonts w:hint="eastAsia"/>
          <w:b/>
          <w:bCs/>
          <w:color w:val="auto"/>
          <w:sz w:val="21"/>
          <w:szCs w:val="21"/>
          <w:highlight w:val="none"/>
          <w:lang w:val="en-US" w:eastAsia="zh-CN"/>
        </w:rPr>
      </w:pPr>
      <w:r>
        <w:rPr>
          <w:rFonts w:hint="eastAsia"/>
          <w:b/>
          <w:bCs/>
          <w:color w:val="auto"/>
          <w:sz w:val="21"/>
          <w:szCs w:val="21"/>
          <w:highlight w:val="none"/>
          <w:lang w:val="en-US" w:eastAsia="zh-CN"/>
        </w:rPr>
        <w:t>1）供应商具有地质灾害治理工程施工乙级或以上资质；</w:t>
      </w:r>
    </w:p>
    <w:p w14:paraId="113833E5">
      <w:pPr>
        <w:adjustRightInd w:val="0"/>
        <w:snapToGrid w:val="0"/>
        <w:spacing w:line="288" w:lineRule="auto"/>
        <w:ind w:left="480" w:leftChars="200" w:firstLine="422" w:firstLineChars="200"/>
        <w:rPr>
          <w:rFonts w:hint="eastAsia"/>
          <w:b/>
          <w:bCs/>
          <w:color w:val="auto"/>
          <w:sz w:val="21"/>
          <w:szCs w:val="21"/>
          <w:highlight w:val="none"/>
          <w:lang w:val="en-US" w:eastAsia="zh-CN"/>
        </w:rPr>
      </w:pPr>
      <w:r>
        <w:rPr>
          <w:rFonts w:hint="eastAsia"/>
          <w:b/>
          <w:bCs/>
          <w:color w:val="auto"/>
          <w:sz w:val="21"/>
          <w:szCs w:val="21"/>
          <w:highlight w:val="none"/>
          <w:lang w:val="en-US" w:eastAsia="zh-CN"/>
        </w:rPr>
        <w:t>2）供应商具有有效期内的企业安全生产许可证；</w:t>
      </w:r>
    </w:p>
    <w:p w14:paraId="12EEBDCA">
      <w:pPr>
        <w:adjustRightInd w:val="0"/>
        <w:snapToGrid w:val="0"/>
        <w:spacing w:line="288" w:lineRule="auto"/>
        <w:ind w:firstLine="398" w:firstLineChars="200"/>
        <w:rPr>
          <w:rFonts w:hint="eastAsia"/>
          <w:b/>
          <w:bCs/>
          <w:color w:val="auto"/>
          <w:sz w:val="21"/>
          <w:szCs w:val="21"/>
          <w:highlight w:val="none"/>
          <w:lang w:val="en-US" w:eastAsia="zh-CN"/>
        </w:rPr>
      </w:pPr>
      <w:r>
        <w:rPr>
          <w:rFonts w:hint="eastAsia"/>
          <w:b/>
          <w:color w:val="auto"/>
          <w:spacing w:val="-6"/>
          <w:sz w:val="21"/>
          <w:szCs w:val="21"/>
          <w:highlight w:val="none"/>
          <w:lang w:val="en-US" w:eastAsia="zh-CN"/>
        </w:rPr>
        <w:t xml:space="preserve">     </w:t>
      </w:r>
      <w:r>
        <w:rPr>
          <w:rFonts w:hint="eastAsia"/>
          <w:b/>
          <w:bCs/>
          <w:color w:val="auto"/>
          <w:sz w:val="21"/>
          <w:szCs w:val="21"/>
          <w:highlight w:val="none"/>
          <w:lang w:val="en-US" w:eastAsia="zh-CN"/>
        </w:rPr>
        <w:t>3）供应商自2022年10月1日以来（时间以竣工验收备案时间为准）以来承担过地质灾害治理工程施工类似业绩1份（响应文件中提供合同及竣工验收记录）；</w:t>
      </w:r>
    </w:p>
    <w:p w14:paraId="7A9C48A4">
      <w:pPr>
        <w:adjustRightInd w:val="0"/>
        <w:snapToGrid w:val="0"/>
        <w:spacing w:line="288" w:lineRule="auto"/>
        <w:ind w:firstLine="398" w:firstLineChars="200"/>
        <w:rPr>
          <w:rFonts w:hint="eastAsia"/>
          <w:b/>
          <w:color w:val="auto"/>
          <w:spacing w:val="-6"/>
          <w:sz w:val="21"/>
          <w:szCs w:val="21"/>
          <w:highlight w:val="none"/>
        </w:rPr>
      </w:pPr>
    </w:p>
    <w:p w14:paraId="014E2D10">
      <w:pPr>
        <w:adjustRightInd w:val="0"/>
        <w:snapToGrid w:val="0"/>
        <w:spacing w:line="288" w:lineRule="auto"/>
        <w:ind w:firstLine="398" w:firstLineChars="200"/>
        <w:rPr>
          <w:b/>
          <w:bCs/>
          <w:color w:val="auto"/>
          <w:sz w:val="21"/>
          <w:szCs w:val="21"/>
          <w:highlight w:val="none"/>
        </w:rPr>
      </w:pPr>
      <w:r>
        <w:rPr>
          <w:rFonts w:hint="eastAsia"/>
          <w:b/>
          <w:color w:val="auto"/>
          <w:spacing w:val="-6"/>
          <w:sz w:val="21"/>
          <w:szCs w:val="21"/>
          <w:highlight w:val="none"/>
        </w:rPr>
        <w:t>▲联合体响应的，联合体各方均应提供资格文件（</w:t>
      </w:r>
      <w:r>
        <w:rPr>
          <w:b/>
          <w:color w:val="auto"/>
          <w:spacing w:val="-6"/>
          <w:sz w:val="21"/>
          <w:szCs w:val="21"/>
          <w:highlight w:val="none"/>
        </w:rPr>
        <w:t>1）、（2）</w:t>
      </w:r>
      <w:r>
        <w:rPr>
          <w:rFonts w:hint="eastAsia"/>
          <w:b/>
          <w:color w:val="auto"/>
          <w:spacing w:val="-6"/>
          <w:sz w:val="21"/>
          <w:szCs w:val="21"/>
          <w:highlight w:val="none"/>
          <w:lang w:eastAsia="zh-CN"/>
        </w:rPr>
        <w:t>、（</w:t>
      </w:r>
      <w:r>
        <w:rPr>
          <w:rFonts w:hint="eastAsia"/>
          <w:b/>
          <w:color w:val="auto"/>
          <w:spacing w:val="-6"/>
          <w:sz w:val="21"/>
          <w:szCs w:val="21"/>
          <w:highlight w:val="none"/>
          <w:lang w:val="en-US" w:eastAsia="zh-CN"/>
        </w:rPr>
        <w:t>3</w:t>
      </w:r>
      <w:r>
        <w:rPr>
          <w:rFonts w:hint="eastAsia"/>
          <w:b/>
          <w:color w:val="auto"/>
          <w:spacing w:val="-6"/>
          <w:sz w:val="21"/>
          <w:szCs w:val="21"/>
          <w:highlight w:val="none"/>
          <w:lang w:eastAsia="zh-CN"/>
        </w:rPr>
        <w:t>）、（</w:t>
      </w:r>
      <w:r>
        <w:rPr>
          <w:rFonts w:hint="eastAsia"/>
          <w:b/>
          <w:color w:val="auto"/>
          <w:spacing w:val="-6"/>
          <w:sz w:val="21"/>
          <w:szCs w:val="21"/>
          <w:highlight w:val="none"/>
          <w:lang w:val="en-US" w:eastAsia="zh-CN"/>
        </w:rPr>
        <w:t>4</w:t>
      </w:r>
      <w:r>
        <w:rPr>
          <w:rFonts w:hint="eastAsia"/>
          <w:b/>
          <w:color w:val="auto"/>
          <w:spacing w:val="-6"/>
          <w:sz w:val="21"/>
          <w:szCs w:val="21"/>
          <w:highlight w:val="none"/>
          <w:lang w:eastAsia="zh-CN"/>
        </w:rPr>
        <w:t>）</w:t>
      </w:r>
      <w:r>
        <w:rPr>
          <w:rFonts w:hint="eastAsia"/>
          <w:b/>
          <w:color w:val="auto"/>
          <w:spacing w:val="-6"/>
          <w:sz w:val="21"/>
          <w:szCs w:val="21"/>
          <w:highlight w:val="none"/>
        </w:rPr>
        <w:t>材料</w:t>
      </w:r>
      <w:r>
        <w:rPr>
          <w:b/>
          <w:color w:val="auto"/>
          <w:spacing w:val="-6"/>
          <w:sz w:val="21"/>
          <w:szCs w:val="21"/>
          <w:highlight w:val="none"/>
        </w:rPr>
        <w:t>。</w:t>
      </w:r>
    </w:p>
    <w:p w14:paraId="7077B3D5">
      <w:pPr>
        <w:adjustRightInd w:val="0"/>
        <w:snapToGrid w:val="0"/>
        <w:spacing w:line="288" w:lineRule="auto"/>
        <w:ind w:firstLine="422" w:firstLineChars="200"/>
        <w:rPr>
          <w:b/>
          <w:bCs/>
          <w:color w:val="auto"/>
          <w:sz w:val="21"/>
          <w:szCs w:val="21"/>
          <w:highlight w:val="none"/>
        </w:rPr>
      </w:pPr>
    </w:p>
    <w:bookmarkEnd w:id="624"/>
    <w:p w14:paraId="27EE073B">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2.报价文件</w:t>
      </w:r>
    </w:p>
    <w:p w14:paraId="3F0F409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14:paraId="51EB718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（2）招标工程量清单编制及工程量清单报价所采用的表格格式（供参考，实际以工程量清单为准）</w:t>
      </w:r>
    </w:p>
    <w:p w14:paraId="4FB0B38D">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14:paraId="74DE906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14:paraId="6E08F0C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2）授权委托书/法定代表人（单位负责人、自然人本人）身份证明</w:t>
      </w:r>
    </w:p>
    <w:p w14:paraId="0A1FE98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w:t>
      </w:r>
      <w:r>
        <w:rPr>
          <w:rFonts w:hint="eastAsia"/>
          <w:color w:val="auto"/>
          <w:sz w:val="21"/>
          <w:szCs w:val="21"/>
          <w:highlight w:val="none"/>
          <w:lang w:eastAsia="zh-CN"/>
        </w:rPr>
        <w:t>202</w:t>
      </w:r>
      <w:r>
        <w:rPr>
          <w:rFonts w:hint="eastAsia"/>
          <w:color w:val="auto"/>
          <w:sz w:val="21"/>
          <w:szCs w:val="21"/>
          <w:highlight w:val="none"/>
          <w:lang w:val="en-US" w:eastAsia="zh-CN"/>
        </w:rPr>
        <w:t>5</w:t>
      </w:r>
      <w:r>
        <w:rPr>
          <w:rFonts w:hint="eastAsia"/>
          <w:color w:val="auto"/>
          <w:sz w:val="21"/>
          <w:szCs w:val="21"/>
          <w:highlight w:val="none"/>
          <w:lang w:eastAsia="zh-CN"/>
        </w:rPr>
        <w:t>年</w:t>
      </w:r>
      <w:r>
        <w:rPr>
          <w:rFonts w:hint="eastAsia"/>
          <w:color w:val="auto"/>
          <w:sz w:val="21"/>
          <w:szCs w:val="21"/>
          <w:highlight w:val="none"/>
          <w:lang w:val="en-US" w:eastAsia="zh-CN"/>
        </w:rPr>
        <w:t>1</w:t>
      </w:r>
      <w:r>
        <w:rPr>
          <w:rFonts w:hint="eastAsia"/>
          <w:color w:val="auto"/>
          <w:sz w:val="21"/>
          <w:szCs w:val="21"/>
          <w:highlight w:val="none"/>
          <w:lang w:eastAsia="zh-CN"/>
        </w:rPr>
        <w:t>月</w:t>
      </w:r>
      <w:r>
        <w:rPr>
          <w:color w:val="auto"/>
          <w:sz w:val="21"/>
          <w:szCs w:val="21"/>
          <w:highlight w:val="none"/>
        </w:rPr>
        <w:t>（含）以后任意一月）</w:t>
      </w:r>
    </w:p>
    <w:p w14:paraId="2E6D5F1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）项目经理无在建工程声明函</w:t>
      </w:r>
    </w:p>
    <w:p w14:paraId="6ABD967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）分包意向协议（如有）</w:t>
      </w:r>
    </w:p>
    <w:p w14:paraId="136CCF9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w:t>
      </w:r>
      <w:r>
        <w:rPr>
          <w:rFonts w:hint="eastAsia"/>
          <w:color w:val="auto"/>
          <w:sz w:val="21"/>
          <w:szCs w:val="21"/>
          <w:highlight w:val="none"/>
        </w:rPr>
        <w:t>）供应商同类合同一览表</w:t>
      </w:r>
    </w:p>
    <w:p w14:paraId="400859F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）商务分相关证明材料（如有）</w:t>
      </w:r>
    </w:p>
    <w:p w14:paraId="79B0F9D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7）采购需求偏离表</w:t>
      </w:r>
    </w:p>
    <w:p w14:paraId="0F71F6C9">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w:t>
      </w:r>
      <w:r>
        <w:rPr>
          <w:color w:val="auto"/>
          <w:sz w:val="21"/>
          <w:szCs w:val="21"/>
          <w:highlight w:val="none"/>
        </w:rPr>
        <w:t>8）</w:t>
      </w:r>
      <w:bookmarkStart w:id="625" w:name="_Hlk71884196"/>
      <w:r>
        <w:rPr>
          <w:rFonts w:hint="eastAsia"/>
          <w:color w:val="auto"/>
          <w:sz w:val="21"/>
          <w:szCs w:val="21"/>
          <w:highlight w:val="none"/>
        </w:rPr>
        <w:t>项目实施方案【可根据评分细则结合自身情况提供】</w:t>
      </w:r>
    </w:p>
    <w:p w14:paraId="4185E2CC">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9</w:t>
      </w:r>
      <w:r>
        <w:rPr>
          <w:rFonts w:hint="eastAsia"/>
          <w:color w:val="auto"/>
          <w:sz w:val="21"/>
          <w:szCs w:val="21"/>
          <w:highlight w:val="none"/>
          <w:lang w:eastAsia="zh-CN"/>
        </w:rPr>
        <w:t>）</w:t>
      </w:r>
      <w:r>
        <w:rPr>
          <w:rFonts w:hint="eastAsia"/>
          <w:color w:val="auto"/>
          <w:sz w:val="21"/>
          <w:szCs w:val="21"/>
          <w:highlight w:val="none"/>
        </w:rPr>
        <w:t>保障措施【可根据评分细则结合自身情况提供】</w:t>
      </w:r>
    </w:p>
    <w:p w14:paraId="1B7B0861">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10</w:t>
      </w:r>
      <w:r>
        <w:rPr>
          <w:rFonts w:hint="eastAsia"/>
          <w:color w:val="auto"/>
          <w:sz w:val="21"/>
          <w:szCs w:val="21"/>
          <w:highlight w:val="none"/>
          <w:lang w:eastAsia="zh-CN"/>
        </w:rPr>
        <w:t>）</w:t>
      </w:r>
      <w:r>
        <w:rPr>
          <w:rFonts w:hint="eastAsia"/>
          <w:color w:val="auto"/>
          <w:sz w:val="21"/>
          <w:szCs w:val="21"/>
          <w:highlight w:val="none"/>
        </w:rPr>
        <w:t>项目班组【可根据评分细则结合自身情况提供】</w:t>
      </w:r>
    </w:p>
    <w:p w14:paraId="7D39FA9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w:t>
      </w:r>
      <w:r>
        <w:rPr>
          <w:color w:val="auto"/>
          <w:sz w:val="21"/>
          <w:szCs w:val="21"/>
          <w:highlight w:val="none"/>
        </w:rPr>
        <w:t>1</w:t>
      </w:r>
      <w:r>
        <w:rPr>
          <w:rFonts w:hint="eastAsia"/>
          <w:color w:val="auto"/>
          <w:sz w:val="21"/>
          <w:szCs w:val="21"/>
          <w:highlight w:val="none"/>
        </w:rPr>
        <w:t>）</w:t>
      </w:r>
      <w:r>
        <w:rPr>
          <w:color w:val="auto"/>
          <w:sz w:val="21"/>
          <w:szCs w:val="21"/>
          <w:highlight w:val="none"/>
        </w:rPr>
        <w:t>节能环保产品证明材料</w:t>
      </w:r>
    </w:p>
    <w:p w14:paraId="119E996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12）</w:t>
      </w:r>
      <w:r>
        <w:rPr>
          <w:rFonts w:hint="eastAsia"/>
          <w:color w:val="auto"/>
          <w:sz w:val="21"/>
          <w:szCs w:val="21"/>
          <w:highlight w:val="none"/>
        </w:rPr>
        <w:t>供应商</w:t>
      </w:r>
      <w:r>
        <w:rPr>
          <w:color w:val="auto"/>
          <w:sz w:val="21"/>
          <w:szCs w:val="21"/>
          <w:highlight w:val="none"/>
        </w:rPr>
        <w:t>需要说明的其他文件和材料</w:t>
      </w:r>
      <w:bookmarkEnd w:id="625"/>
    </w:p>
    <w:p w14:paraId="1E7DF6AE">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7F5A117C">
      <w:pPr>
        <w:adjustRightInd w:val="0"/>
        <w:snapToGrid w:val="0"/>
        <w:spacing w:line="288" w:lineRule="auto"/>
        <w:rPr>
          <w:color w:val="auto"/>
          <w:highlight w:val="none"/>
        </w:rPr>
      </w:pPr>
    </w:p>
    <w:p w14:paraId="55E746C9">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14:paraId="6AC2D9C2">
      <w:pPr>
        <w:adjustRightInd w:val="0"/>
        <w:snapToGrid w:val="0"/>
        <w:spacing w:line="288" w:lineRule="auto"/>
        <w:jc w:val="center"/>
        <w:rPr>
          <w:b/>
          <w:bCs/>
          <w:color w:val="auto"/>
          <w:sz w:val="21"/>
          <w:szCs w:val="21"/>
          <w:highlight w:val="none"/>
        </w:rPr>
      </w:pPr>
    </w:p>
    <w:p w14:paraId="657A0972">
      <w:pPr>
        <w:adjustRightInd w:val="0"/>
        <w:snapToGrid w:val="0"/>
        <w:spacing w:line="288" w:lineRule="auto"/>
        <w:jc w:val="center"/>
        <w:rPr>
          <w:b/>
          <w:bCs/>
          <w:color w:val="auto"/>
          <w:sz w:val="21"/>
          <w:szCs w:val="21"/>
          <w:highlight w:val="none"/>
        </w:rPr>
      </w:pPr>
    </w:p>
    <w:p w14:paraId="6784AA78">
      <w:pPr>
        <w:adjustRightInd w:val="0"/>
        <w:snapToGrid w:val="0"/>
        <w:spacing w:line="288" w:lineRule="auto"/>
        <w:jc w:val="center"/>
        <w:rPr>
          <w:b/>
          <w:bCs/>
          <w:color w:val="auto"/>
          <w:sz w:val="21"/>
          <w:szCs w:val="21"/>
          <w:highlight w:val="none"/>
        </w:rPr>
      </w:pPr>
      <w:bookmarkStart w:id="626" w:name="_Hlk94097338"/>
      <w:r>
        <w:rPr>
          <w:rFonts w:hint="eastAsia"/>
          <w:b/>
          <w:bCs/>
          <w:color w:val="auto"/>
          <w:sz w:val="21"/>
          <w:szCs w:val="21"/>
          <w:highlight w:val="none"/>
        </w:rPr>
        <w:t>资格审查要求的资格证明材料(均需加盖公章)</w:t>
      </w:r>
    </w:p>
    <w:bookmarkEnd w:id="626"/>
    <w:p w14:paraId="75D30541">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1CD0609">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（1）有效的法人或者其他组织的营业执照等证明文件，自然人的身份证明（扫描件）</w:t>
      </w:r>
    </w:p>
    <w:p w14:paraId="3FF2F594">
      <w:pPr>
        <w:adjustRightInd w:val="0"/>
        <w:snapToGrid w:val="0"/>
        <w:spacing w:line="288" w:lineRule="auto"/>
        <w:rPr>
          <w:color w:val="auto"/>
          <w:sz w:val="21"/>
          <w:szCs w:val="21"/>
          <w:highlight w:val="none"/>
        </w:rPr>
      </w:pPr>
    </w:p>
    <w:p w14:paraId="1D04F46A">
      <w:pPr>
        <w:adjustRightInd w:val="0"/>
        <w:snapToGrid w:val="0"/>
        <w:spacing w:line="288" w:lineRule="auto"/>
        <w:rPr>
          <w:color w:val="auto"/>
          <w:sz w:val="21"/>
          <w:szCs w:val="21"/>
          <w:highlight w:val="none"/>
        </w:rPr>
      </w:pPr>
      <w:r>
        <w:rPr>
          <w:rFonts w:hint="eastAsia"/>
          <w:color w:val="auto"/>
          <w:sz w:val="21"/>
          <w:szCs w:val="21"/>
          <w:highlight w:val="none"/>
        </w:rPr>
        <w:t>说明：</w:t>
      </w:r>
    </w:p>
    <w:p w14:paraId="24FC7230">
      <w:pPr>
        <w:adjustRightInd w:val="0"/>
        <w:snapToGrid w:val="0"/>
        <w:spacing w:line="288" w:lineRule="auto"/>
        <w:rPr>
          <w:color w:val="auto"/>
          <w:sz w:val="21"/>
          <w:szCs w:val="21"/>
          <w:highlight w:val="none"/>
        </w:rPr>
      </w:pPr>
      <w:r>
        <w:rPr>
          <w:rFonts w:hint="eastAsia"/>
          <w:color w:val="auto"/>
          <w:sz w:val="21"/>
          <w:szCs w:val="21"/>
          <w:highlight w:val="none"/>
        </w:rPr>
        <w:t>1.如供应商是企业（包括合伙企业），提供在工商部门注册的有效“企业法人营业执照”或“营业执照”；</w:t>
      </w:r>
    </w:p>
    <w:p w14:paraId="765F1DCC">
      <w:pPr>
        <w:adjustRightInd w:val="0"/>
        <w:snapToGrid w:val="0"/>
        <w:spacing w:line="288" w:lineRule="auto"/>
        <w:rPr>
          <w:color w:val="auto"/>
          <w:sz w:val="21"/>
          <w:szCs w:val="21"/>
          <w:highlight w:val="none"/>
        </w:rPr>
      </w:pPr>
      <w:r>
        <w:rPr>
          <w:rFonts w:hint="eastAsia"/>
          <w:color w:val="auto"/>
          <w:sz w:val="21"/>
          <w:szCs w:val="21"/>
          <w:highlight w:val="none"/>
        </w:rPr>
        <w:t>2.如供应商是事业单位，提供有效的“事业单位法人证书”；</w:t>
      </w:r>
    </w:p>
    <w:p w14:paraId="724BED63">
      <w:pPr>
        <w:adjustRightInd w:val="0"/>
        <w:snapToGrid w:val="0"/>
        <w:spacing w:line="288" w:lineRule="auto"/>
        <w:rPr>
          <w:color w:val="auto"/>
          <w:sz w:val="21"/>
          <w:szCs w:val="21"/>
          <w:highlight w:val="none"/>
        </w:rPr>
      </w:pPr>
      <w:r>
        <w:rPr>
          <w:rFonts w:hint="eastAsia"/>
          <w:color w:val="auto"/>
          <w:sz w:val="21"/>
          <w:szCs w:val="21"/>
          <w:highlight w:val="none"/>
        </w:rPr>
        <w:t>3.如供应商是非企业专业服务机构的，提供执业许可证等证明文件；</w:t>
      </w:r>
    </w:p>
    <w:p w14:paraId="0F2A118C">
      <w:pPr>
        <w:adjustRightInd w:val="0"/>
        <w:snapToGrid w:val="0"/>
        <w:spacing w:line="288" w:lineRule="auto"/>
        <w:rPr>
          <w:color w:val="auto"/>
          <w:sz w:val="21"/>
          <w:szCs w:val="21"/>
          <w:highlight w:val="none"/>
        </w:rPr>
      </w:pPr>
      <w:r>
        <w:rPr>
          <w:rFonts w:hint="eastAsia"/>
          <w:color w:val="auto"/>
          <w:sz w:val="21"/>
          <w:szCs w:val="21"/>
          <w:highlight w:val="none"/>
        </w:rPr>
        <w:t>4.如供应商是个体工商户，提供有效的“个体工商户营业执照”；</w:t>
      </w:r>
    </w:p>
    <w:p w14:paraId="1DB6DC4C">
      <w:pPr>
        <w:adjustRightInd w:val="0"/>
        <w:snapToGrid w:val="0"/>
        <w:spacing w:line="288" w:lineRule="auto"/>
        <w:rPr>
          <w:color w:val="auto"/>
          <w:sz w:val="21"/>
          <w:szCs w:val="21"/>
          <w:highlight w:val="none"/>
        </w:rPr>
      </w:pPr>
      <w:r>
        <w:rPr>
          <w:rFonts w:hint="eastAsia"/>
          <w:color w:val="auto"/>
          <w:sz w:val="21"/>
          <w:szCs w:val="21"/>
          <w:highlight w:val="none"/>
        </w:rPr>
        <w:t>5.如供应商是自然人，提供有效的自然人身份证明。</w:t>
      </w:r>
    </w:p>
    <w:p w14:paraId="470691DF">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26E15194">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14:paraId="1C2B8B72">
      <w:pPr>
        <w:adjustRightInd w:val="0"/>
        <w:snapToGrid w:val="0"/>
        <w:spacing w:line="288" w:lineRule="auto"/>
        <w:rPr>
          <w:rFonts w:cs="Times New Roman"/>
          <w:color w:val="auto"/>
          <w:sz w:val="21"/>
          <w:szCs w:val="21"/>
          <w:highlight w:val="none"/>
          <w:shd w:val="clear" w:color="auto" w:fill="FFFFFF"/>
        </w:rPr>
      </w:pPr>
    </w:p>
    <w:p w14:paraId="100AF765">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浙江省人防指挥工程管理所</w:t>
      </w:r>
      <w:r>
        <w:rPr>
          <w:rFonts w:hint="eastAsia" w:cs="Times New Roman"/>
          <w:b/>
          <w:bCs/>
          <w:color w:val="auto"/>
          <w:spacing w:val="-6"/>
          <w:sz w:val="21"/>
          <w:szCs w:val="21"/>
          <w:highlight w:val="none"/>
        </w:rPr>
        <w:t>、浙江求是招标代理有限公司</w:t>
      </w:r>
    </w:p>
    <w:p w14:paraId="61F721B1">
      <w:pPr>
        <w:adjustRightInd w:val="0"/>
        <w:snapToGrid w:val="0"/>
        <w:spacing w:line="288" w:lineRule="auto"/>
        <w:rPr>
          <w:rFonts w:cs="Times New Roman"/>
          <w:color w:val="auto"/>
          <w:spacing w:val="-6"/>
          <w:sz w:val="21"/>
          <w:szCs w:val="21"/>
          <w:highlight w:val="none"/>
        </w:rPr>
      </w:pPr>
    </w:p>
    <w:p w14:paraId="3F5D8698">
      <w:pPr>
        <w:adjustRightInd w:val="0"/>
        <w:snapToGrid w:val="0"/>
        <w:spacing w:line="288" w:lineRule="auto"/>
        <w:ind w:firstLine="396" w:firstLineChars="200"/>
        <w:rPr>
          <w:rFonts w:cs="Times New Roman"/>
          <w:color w:val="auto"/>
          <w:spacing w:val="-6"/>
          <w:sz w:val="21"/>
          <w:szCs w:val="21"/>
          <w:highlight w:val="none"/>
        </w:rPr>
      </w:pPr>
      <w:bookmarkStart w:id="627" w:name="_Hlk97040025"/>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14:paraId="3402987F">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14:paraId="658CD53D">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14:paraId="5A4C5ED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14:paraId="35465F26">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14:paraId="08EC0AD2">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14:paraId="3B1F2C9E">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14:paraId="2B9D1BE9">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14:paraId="356CE199">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14:paraId="56964BBD">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14:paraId="1BF906E6">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14:paraId="25B32C0E">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14:paraId="72768D4F">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14:paraId="2B761F9F">
      <w:pPr>
        <w:adjustRightInd w:val="0"/>
        <w:snapToGrid w:val="0"/>
        <w:spacing w:line="288" w:lineRule="auto"/>
        <w:rPr>
          <w:rFonts w:cs="Times New Roman"/>
          <w:color w:val="auto"/>
          <w:sz w:val="21"/>
          <w:szCs w:val="21"/>
          <w:highlight w:val="none"/>
        </w:rPr>
      </w:pPr>
    </w:p>
    <w:p w14:paraId="753C6BFB">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118265BB">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27"/>
    <w:p w14:paraId="00BA3DEF">
      <w:pPr>
        <w:widowControl/>
        <w:adjustRightInd w:val="0"/>
        <w:snapToGrid w:val="0"/>
        <w:spacing w:line="288" w:lineRule="auto"/>
        <w:jc w:val="left"/>
        <w:rPr>
          <w:color w:val="auto"/>
          <w:sz w:val="21"/>
          <w:szCs w:val="21"/>
          <w:highlight w:val="none"/>
        </w:rPr>
      </w:pPr>
      <w:r>
        <w:rPr>
          <w:color w:val="auto"/>
          <w:sz w:val="21"/>
          <w:szCs w:val="21"/>
          <w:highlight w:val="none"/>
        </w:rPr>
        <w:br w:type="page"/>
      </w:r>
    </w:p>
    <w:p w14:paraId="5CE54E28">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w:t>
      </w:r>
    </w:p>
    <w:p w14:paraId="24DD7F4A">
      <w:pPr>
        <w:adjustRightInd w:val="0"/>
        <w:snapToGrid w:val="0"/>
        <w:spacing w:line="288" w:lineRule="auto"/>
        <w:ind w:firstLine="498" w:firstLineChars="236"/>
        <w:jc w:val="center"/>
        <w:outlineLvl w:val="2"/>
        <w:rPr>
          <w:b/>
          <w:bCs/>
          <w:color w:val="auto"/>
          <w:sz w:val="21"/>
          <w:szCs w:val="21"/>
          <w:highlight w:val="none"/>
        </w:rPr>
      </w:pPr>
      <w:r>
        <w:rPr>
          <w:rFonts w:hint="eastAsia"/>
          <w:b/>
          <w:bCs/>
          <w:color w:val="auto"/>
          <w:sz w:val="21"/>
          <w:szCs w:val="21"/>
          <w:highlight w:val="none"/>
        </w:rPr>
        <w:t>1）</w:t>
      </w:r>
      <w:r>
        <w:rPr>
          <w:b/>
          <w:bCs/>
          <w:color w:val="auto"/>
          <w:sz w:val="21"/>
          <w:szCs w:val="21"/>
          <w:highlight w:val="none"/>
        </w:rPr>
        <w:t>中小企业声明函（工程）</w:t>
      </w:r>
      <w:r>
        <w:rPr>
          <w:rFonts w:hint="eastAsia"/>
          <w:b/>
          <w:bCs/>
          <w:color w:val="auto"/>
          <w:sz w:val="21"/>
          <w:szCs w:val="21"/>
          <w:highlight w:val="none"/>
        </w:rPr>
        <w:t>（若属于中小企业）</w:t>
      </w:r>
    </w:p>
    <w:p w14:paraId="0D466552">
      <w:pPr>
        <w:adjustRightInd w:val="0"/>
        <w:snapToGrid w:val="0"/>
        <w:spacing w:line="288" w:lineRule="auto"/>
        <w:ind w:firstLine="498" w:firstLineChars="236"/>
        <w:rPr>
          <w:b/>
          <w:color w:val="auto"/>
          <w:sz w:val="21"/>
          <w:szCs w:val="21"/>
          <w:highlight w:val="none"/>
        </w:rPr>
      </w:pPr>
    </w:p>
    <w:p w14:paraId="07F0B08E">
      <w:pPr>
        <w:adjustRightInd w:val="0"/>
        <w:snapToGrid w:val="0"/>
        <w:spacing w:line="288" w:lineRule="auto"/>
        <w:ind w:firstLine="495" w:firstLineChars="236"/>
        <w:rPr>
          <w:color w:val="auto"/>
          <w:sz w:val="21"/>
          <w:szCs w:val="21"/>
          <w:highlight w:val="none"/>
        </w:rPr>
      </w:pPr>
      <w:r>
        <w:rPr>
          <w:color w:val="auto"/>
          <w:sz w:val="21"/>
          <w:szCs w:val="21"/>
          <w:highlight w:val="none"/>
        </w:rPr>
        <w:t>本公司（联合体）郑重声明，根据《政府采购促进中小企业发展管理办法》（财库</w:t>
      </w:r>
      <w:r>
        <w:rPr>
          <w:rFonts w:hint="eastAsia"/>
          <w:color w:val="auto"/>
          <w:sz w:val="21"/>
          <w:szCs w:val="21"/>
          <w:highlight w:val="none"/>
        </w:rPr>
        <w:t>﹝</w:t>
      </w:r>
      <w:r>
        <w:rPr>
          <w:color w:val="auto"/>
          <w:sz w:val="21"/>
          <w:szCs w:val="21"/>
          <w:highlight w:val="none"/>
        </w:rPr>
        <w:t>2020</w:t>
      </w:r>
      <w:r>
        <w:rPr>
          <w:rFonts w:hint="eastAsia"/>
          <w:color w:val="auto"/>
          <w:sz w:val="21"/>
          <w:szCs w:val="21"/>
          <w:highlight w:val="none"/>
        </w:rPr>
        <w:t>﹞</w:t>
      </w:r>
      <w:r>
        <w:rPr>
          <w:color w:val="auto"/>
          <w:sz w:val="21"/>
          <w:szCs w:val="21"/>
          <w:highlight w:val="none"/>
        </w:rPr>
        <w:t>46 号）的规定，本公司（联合体）参加</w:t>
      </w:r>
      <w:r>
        <w:rPr>
          <w:rFonts w:hint="eastAsia"/>
          <w:color w:val="auto"/>
          <w:sz w:val="21"/>
          <w:szCs w:val="21"/>
          <w:highlight w:val="none"/>
          <w:u w:val="single"/>
        </w:rPr>
        <w:t xml:space="preserve"> </w:t>
      </w:r>
      <w:r>
        <w:rPr>
          <w:rFonts w:hint="eastAsia"/>
          <w:color w:val="auto"/>
          <w:sz w:val="21"/>
          <w:szCs w:val="21"/>
          <w:highlight w:val="none"/>
          <w:u w:val="single"/>
          <w:lang w:eastAsia="zh-CN"/>
        </w:rPr>
        <w:t>浙江省人防指挥工程管理所</w:t>
      </w:r>
      <w:r>
        <w:rPr>
          <w:color w:val="auto"/>
          <w:sz w:val="21"/>
          <w:szCs w:val="21"/>
          <w:highlight w:val="none"/>
          <w:u w:val="single"/>
        </w:rPr>
        <w:t xml:space="preserve"> </w:t>
      </w:r>
      <w:r>
        <w:rPr>
          <w:i/>
          <w:color w:val="auto"/>
          <w:sz w:val="21"/>
          <w:szCs w:val="21"/>
          <w:highlight w:val="none"/>
          <w:u w:val="single"/>
        </w:rPr>
        <w:t>（单位名称）</w:t>
      </w:r>
      <w:r>
        <w:rPr>
          <w:color w:val="auto"/>
          <w:sz w:val="21"/>
          <w:szCs w:val="21"/>
          <w:highlight w:val="none"/>
        </w:rPr>
        <w:t>的</w:t>
      </w:r>
      <w:r>
        <w:rPr>
          <w:rFonts w:hint="eastAsia"/>
          <w:color w:val="auto"/>
          <w:sz w:val="21"/>
          <w:szCs w:val="21"/>
          <w:highlight w:val="none"/>
          <w:u w:val="single"/>
        </w:rPr>
        <w:t xml:space="preserve"> </w:t>
      </w:r>
      <w:r>
        <w:rPr>
          <w:rFonts w:hint="eastAsia"/>
          <w:color w:val="auto"/>
          <w:sz w:val="21"/>
          <w:szCs w:val="21"/>
          <w:highlight w:val="none"/>
          <w:u w:val="single"/>
          <w:lang w:eastAsia="zh-CN"/>
        </w:rPr>
        <w:t>前山山坡坡道边坡加固治理工程项目</w:t>
      </w:r>
      <w:r>
        <w:rPr>
          <w:color w:val="auto"/>
          <w:sz w:val="21"/>
          <w:szCs w:val="21"/>
          <w:highlight w:val="none"/>
          <w:u w:val="single"/>
        </w:rPr>
        <w:t xml:space="preserve"> </w:t>
      </w:r>
      <w:r>
        <w:rPr>
          <w:i/>
          <w:color w:val="auto"/>
          <w:sz w:val="21"/>
          <w:szCs w:val="21"/>
          <w:highlight w:val="none"/>
          <w:u w:val="single"/>
        </w:rPr>
        <w:t>（项目名称）</w:t>
      </w:r>
      <w:r>
        <w:rPr>
          <w:color w:val="auto"/>
          <w:sz w:val="21"/>
          <w:szCs w:val="21"/>
          <w:highlight w:val="none"/>
        </w:rPr>
        <w:t>采购活动，工程的施工单位全部为符合政策要求的中小企业。相关企业（含联合体中的中小企业、签订分包意向协议的中小企业）的具体情况如下：</w:t>
      </w:r>
    </w:p>
    <w:p w14:paraId="460520DF">
      <w:pPr>
        <w:adjustRightInd w:val="0"/>
        <w:snapToGrid w:val="0"/>
        <w:spacing w:line="288" w:lineRule="auto"/>
        <w:ind w:firstLine="495" w:firstLineChars="236"/>
        <w:rPr>
          <w:i/>
          <w:color w:val="auto"/>
          <w:sz w:val="21"/>
          <w:szCs w:val="21"/>
          <w:highlight w:val="none"/>
          <w:u w:val="single"/>
        </w:rPr>
      </w:pPr>
      <w:r>
        <w:rPr>
          <w:rFonts w:hint="eastAsia"/>
          <w:i/>
          <w:color w:val="auto"/>
          <w:sz w:val="21"/>
          <w:szCs w:val="21"/>
          <w:highlight w:val="none"/>
          <w:u w:val="single"/>
        </w:rPr>
        <w:t>1</w:t>
      </w:r>
      <w:r>
        <w:rPr>
          <w:i/>
          <w:color w:val="auto"/>
          <w:sz w:val="21"/>
          <w:szCs w:val="21"/>
          <w:highlight w:val="none"/>
          <w:u w:val="single"/>
        </w:rPr>
        <w:t>.</w:t>
      </w:r>
      <w:r>
        <w:rPr>
          <w:rFonts w:hint="eastAsia"/>
          <w:color w:val="auto"/>
          <w:sz w:val="21"/>
          <w:szCs w:val="21"/>
          <w:highlight w:val="none"/>
          <w:u w:val="single"/>
        </w:rPr>
        <w:t xml:space="preserve"> </w:t>
      </w:r>
      <w:r>
        <w:rPr>
          <w:rFonts w:hint="eastAsia"/>
          <w:color w:val="auto"/>
          <w:sz w:val="21"/>
          <w:szCs w:val="21"/>
          <w:highlight w:val="none"/>
          <w:u w:val="single"/>
          <w:lang w:eastAsia="zh-CN"/>
        </w:rPr>
        <w:t>前山山坡坡道边坡加固治理工程项目</w:t>
      </w:r>
      <w:r>
        <w:rPr>
          <w:color w:val="auto"/>
          <w:sz w:val="21"/>
          <w:szCs w:val="21"/>
          <w:highlight w:val="none"/>
          <w:u w:val="single"/>
        </w:rPr>
        <w:t xml:space="preserve"> </w:t>
      </w:r>
      <w:r>
        <w:rPr>
          <w:i/>
          <w:color w:val="auto"/>
          <w:sz w:val="21"/>
          <w:szCs w:val="21"/>
          <w:highlight w:val="none"/>
          <w:u w:val="single"/>
        </w:rPr>
        <w:t>（标的名称），</w:t>
      </w:r>
      <w:r>
        <w:rPr>
          <w:i w:val="0"/>
          <w:iCs/>
          <w:color w:val="auto"/>
          <w:sz w:val="21"/>
          <w:szCs w:val="21"/>
          <w:highlight w:val="none"/>
          <w:u w:val="none"/>
        </w:rPr>
        <w:t>属于</w:t>
      </w:r>
      <w:r>
        <w:rPr>
          <w:rFonts w:hint="eastAsia"/>
          <w:color w:val="auto"/>
          <w:sz w:val="21"/>
          <w:szCs w:val="21"/>
          <w:highlight w:val="none"/>
          <w:u w:val="single"/>
        </w:rPr>
        <w:t xml:space="preserve"> 建筑业</w:t>
      </w:r>
      <w:r>
        <w:rPr>
          <w:color w:val="auto"/>
          <w:sz w:val="21"/>
          <w:szCs w:val="21"/>
          <w:highlight w:val="none"/>
          <w:u w:val="single"/>
        </w:rPr>
        <w:t xml:space="preserve"> </w:t>
      </w:r>
      <w:r>
        <w:rPr>
          <w:i/>
          <w:color w:val="auto"/>
          <w:sz w:val="21"/>
          <w:szCs w:val="21"/>
          <w:highlight w:val="none"/>
          <w:u w:val="single"/>
        </w:rPr>
        <w:t>（采购文件中明确的所属行业）；</w:t>
      </w:r>
      <w:r>
        <w:rPr>
          <w:color w:val="auto"/>
          <w:sz w:val="21"/>
          <w:szCs w:val="21"/>
          <w:highlight w:val="none"/>
        </w:rPr>
        <w:t>承建企业为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color w:val="auto"/>
          <w:sz w:val="21"/>
          <w:szCs w:val="21"/>
          <w:highlight w:val="none"/>
        </w:rPr>
        <w:t>；</w:t>
      </w:r>
    </w:p>
    <w:p w14:paraId="4D0560C9">
      <w:pPr>
        <w:adjustRightInd w:val="0"/>
        <w:snapToGrid w:val="0"/>
        <w:spacing w:line="288" w:lineRule="auto"/>
        <w:ind w:firstLine="495" w:firstLineChars="236"/>
        <w:rPr>
          <w:color w:val="auto"/>
          <w:sz w:val="21"/>
          <w:szCs w:val="21"/>
          <w:highlight w:val="none"/>
        </w:rPr>
      </w:pPr>
    </w:p>
    <w:p w14:paraId="75FBEEFA">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14:paraId="522FA631">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14:paraId="52646981">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14:paraId="4808DA4B">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14:paraId="1B289704">
      <w:pPr>
        <w:adjustRightInd w:val="0"/>
        <w:snapToGrid w:val="0"/>
        <w:spacing w:line="288" w:lineRule="auto"/>
        <w:ind w:firstLine="495" w:firstLineChars="236"/>
        <w:rPr>
          <w:color w:val="auto"/>
          <w:sz w:val="21"/>
          <w:szCs w:val="21"/>
          <w:highlight w:val="none"/>
        </w:rPr>
      </w:pPr>
    </w:p>
    <w:p w14:paraId="7587E94D">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14:paraId="14D1A0F8">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1.标的名称，按照【磋商文件】中明确的标的填写；</w:t>
      </w:r>
    </w:p>
    <w:p w14:paraId="737732A5">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2.所属行业，按照【磋商文件】中明确的标的“所属行业”填写；</w:t>
      </w:r>
    </w:p>
    <w:p w14:paraId="6D0080A3">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承建（承接）企业</w:t>
      </w:r>
      <w:r>
        <w:rPr>
          <w:rFonts w:hint="eastAsia" w:ascii="宋体" w:hAnsi="宋体" w:eastAsia="宋体" w:cs="宋体"/>
          <w:i w:val="0"/>
          <w:iCs w:val="0"/>
          <w:color w:val="auto"/>
          <w:sz w:val="21"/>
          <w:szCs w:val="21"/>
          <w:highlight w:val="none"/>
          <w:lang w:eastAsia="zh-CN"/>
        </w:rPr>
        <w:t>，工程由中小企业承建，即工程施工单位为中小企业</w:t>
      </w:r>
      <w:r>
        <w:rPr>
          <w:rFonts w:hint="eastAsia" w:ascii="宋体" w:hAnsi="宋体" w:eastAsia="宋体" w:cs="宋体"/>
          <w:i w:val="0"/>
          <w:iCs w:val="0"/>
          <w:color w:val="auto"/>
          <w:sz w:val="21"/>
          <w:szCs w:val="21"/>
          <w:highlight w:val="none"/>
          <w:lang w:val="en-US" w:eastAsia="zh-CN"/>
        </w:rPr>
        <w:t>；</w:t>
      </w:r>
    </w:p>
    <w:p w14:paraId="5F21CA5D">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rPr>
        <w:t>.从业人员、营业收入、资产总额填报上一年度数据，无上一年度数据的新成立企业可不填报。</w:t>
      </w:r>
    </w:p>
    <w:p w14:paraId="58E19161">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5.企业类型（包括新成立企业），按照《中小企业划型标准规定》（工信部联企业〔2011〕300号）规定和【磋商文件】中明确的标的“所属行业”，选择</w:t>
      </w:r>
      <w:r>
        <w:rPr>
          <w:rFonts w:hint="eastAsia" w:ascii="宋体" w:hAnsi="宋体" w:eastAsia="宋体" w:cs="宋体"/>
          <w:b/>
          <w:bCs/>
          <w:i w:val="0"/>
          <w:iCs w:val="0"/>
          <w:color w:val="auto"/>
          <w:sz w:val="21"/>
          <w:szCs w:val="21"/>
          <w:highlight w:val="none"/>
          <w:u w:val="single"/>
          <w:lang w:val="en-US" w:eastAsia="zh-CN"/>
        </w:rPr>
        <w:t>“中型企业、小型企业、微型企业”</w:t>
      </w:r>
      <w:r>
        <w:rPr>
          <w:rFonts w:hint="eastAsia" w:ascii="宋体" w:hAnsi="宋体" w:eastAsia="宋体" w:cs="宋体"/>
          <w:i w:val="0"/>
          <w:iCs w:val="0"/>
          <w:color w:val="auto"/>
          <w:sz w:val="21"/>
          <w:szCs w:val="21"/>
          <w:highlight w:val="none"/>
          <w:lang w:val="en-US" w:eastAsia="zh-CN"/>
        </w:rPr>
        <w:t>其中之一；</w:t>
      </w:r>
    </w:p>
    <w:p w14:paraId="47528995">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6.</w:t>
      </w:r>
      <w:r>
        <w:rPr>
          <w:rFonts w:hint="eastAsia" w:ascii="宋体" w:hAnsi="宋体" w:eastAsia="宋体" w:cs="宋体"/>
          <w:i w:val="0"/>
          <w:iCs w:val="0"/>
          <w:color w:val="auto"/>
          <w:sz w:val="21"/>
          <w:szCs w:val="21"/>
          <w:highlight w:val="none"/>
          <w:lang w:eastAsia="zh-CN"/>
        </w:rPr>
        <w:t>磋商文件</w:t>
      </w:r>
      <w:r>
        <w:rPr>
          <w:rFonts w:hint="eastAsia" w:ascii="宋体" w:hAnsi="宋体" w:eastAsia="宋体" w:cs="宋体"/>
          <w:i w:val="0"/>
          <w:iCs w:val="0"/>
          <w:color w:val="auto"/>
          <w:sz w:val="21"/>
          <w:szCs w:val="21"/>
          <w:highlight w:val="none"/>
        </w:rPr>
        <w:t>中明确的标的是能够独立发挥功能的产品，配件、辅料不作为标的，不需要在《中小企业声明函》里填列。</w:t>
      </w:r>
    </w:p>
    <w:p w14:paraId="4EDC99B2">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br w:type="page"/>
      </w:r>
    </w:p>
    <w:p w14:paraId="2B37E6F1">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2）属于监狱企业的证明文件（若属于监狱企业）</w:t>
      </w:r>
    </w:p>
    <w:p w14:paraId="6A06D0A3">
      <w:pPr>
        <w:adjustRightInd w:val="0"/>
        <w:snapToGrid w:val="0"/>
        <w:spacing w:line="288" w:lineRule="auto"/>
        <w:rPr>
          <w:color w:val="auto"/>
          <w:kern w:val="0"/>
          <w:sz w:val="21"/>
          <w:szCs w:val="21"/>
          <w:highlight w:val="none"/>
        </w:rPr>
      </w:pPr>
    </w:p>
    <w:p w14:paraId="68B02DEC">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14:paraId="1DF048B0">
      <w:pPr>
        <w:adjustRightInd w:val="0"/>
        <w:snapToGrid w:val="0"/>
        <w:spacing w:line="288" w:lineRule="auto"/>
        <w:rPr>
          <w:color w:val="auto"/>
          <w:sz w:val="21"/>
          <w:szCs w:val="21"/>
          <w:highlight w:val="none"/>
        </w:rPr>
      </w:pPr>
    </w:p>
    <w:p w14:paraId="6C23A4B4">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006ACCCB">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1A07DAD6">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14:paraId="0176CB23">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14:paraId="67D783C1">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3）残疾人福利性单位声明函（若属于残疾人福利性单位）</w:t>
      </w:r>
    </w:p>
    <w:p w14:paraId="06BBAE5C">
      <w:pPr>
        <w:adjustRightInd w:val="0"/>
        <w:snapToGrid w:val="0"/>
        <w:spacing w:line="288" w:lineRule="auto"/>
        <w:rPr>
          <w:rFonts w:cs="Times New Roman"/>
          <w:b/>
          <w:color w:val="auto"/>
          <w:spacing w:val="6"/>
          <w:sz w:val="21"/>
          <w:szCs w:val="21"/>
          <w:highlight w:val="none"/>
        </w:rPr>
      </w:pPr>
    </w:p>
    <w:p w14:paraId="432FC7ED">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，且本单位参加______（采购人）单位的______（项目名称）项目采购活动由本单位承担工程。</w:t>
      </w:r>
    </w:p>
    <w:p w14:paraId="26A68F81">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14:paraId="0A6527AD">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14:paraId="103A8068">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14:paraId="5A724619">
      <w:pPr>
        <w:adjustRightInd w:val="0"/>
        <w:snapToGrid w:val="0"/>
        <w:spacing w:line="288" w:lineRule="auto"/>
        <w:rPr>
          <w:color w:val="auto"/>
          <w:sz w:val="21"/>
          <w:szCs w:val="21"/>
          <w:highlight w:val="none"/>
        </w:rPr>
      </w:pPr>
    </w:p>
    <w:p w14:paraId="1CA42497">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269CFF5F">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一、享受政府采购支持政策的残疾人福利性单位应当同时满足以下条件：</w:t>
      </w:r>
    </w:p>
    <w:p w14:paraId="0D1F3A09">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（一）安置的残疾人占本单位在职职工人数的比例不低于25%（含25%），并且安置的残疾人人数不少于10人（含10人）；</w:t>
      </w:r>
    </w:p>
    <w:p w14:paraId="70BA2D19">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（二）依法与安置的每位残疾人签订了一年以上（含一年）的劳动合同或服务协议；</w:t>
      </w:r>
    </w:p>
    <w:p w14:paraId="71FD00FD">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（三）为安置的每位残疾人按月足额缴纳了基本养老保险、基本医疗保险、失业保险、工伤保险和生育保险等社会保险费；</w:t>
      </w:r>
    </w:p>
    <w:p w14:paraId="5B612C98">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（四）通过银行等金融机构向安置的每位残疾人，按月支付了不低于单位所在区县适用的经省级人民政府批准的月最低工资标准的工资；</w:t>
      </w:r>
    </w:p>
    <w:p w14:paraId="0BF98139">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（五）提供本单位制造的货物、承担的工程或者服务（以下简称产品），或者提供其他残疾人福利性单位制造的货物（不包括使用非残疾人福利性单位注册商标的货物）。</w:t>
      </w:r>
    </w:p>
    <w:p w14:paraId="27DD04FE">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5B53545">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二、符合条件的残疾人福利性单位在参加政府采购活动时，应当提供财库</w:t>
      </w:r>
      <w:r>
        <w:rPr>
          <w:color w:val="auto"/>
          <w:kern w:val="0"/>
          <w:sz w:val="21"/>
          <w:szCs w:val="21"/>
          <w:highlight w:val="none"/>
        </w:rPr>
        <w:t>[2017]141号</w:t>
      </w:r>
      <w:r>
        <w:rPr>
          <w:rFonts w:hint="eastAsia"/>
          <w:color w:val="auto"/>
          <w:kern w:val="0"/>
          <w:sz w:val="21"/>
          <w:szCs w:val="21"/>
          <w:highlight w:val="none"/>
        </w:rPr>
        <w:t>文件规定的《残疾人福利性单位声明函》，并对声明的真实性负责。</w:t>
      </w:r>
    </w:p>
    <w:p w14:paraId="61D8CAA2">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三、在政府采购活动中，残疾人福利性单位视同小型、微型企业，享受预留份额、评审中价格扣除等促进中小企业发展的政府采购政策。</w:t>
      </w:r>
    </w:p>
    <w:p w14:paraId="69D40AAD">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残疾人福利性单位属于小型、微型企业的，不重复享受政策。</w:t>
      </w:r>
    </w:p>
    <w:p w14:paraId="1F338DD5">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14:paraId="66E22BC3">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w:t>
      </w:r>
    </w:p>
    <w:p w14:paraId="72C2EE63">
      <w:pPr>
        <w:widowControl/>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r>
        <w:rPr>
          <w:rFonts w:hint="eastAsia" w:cs="宋体"/>
          <w:b/>
          <w:bCs/>
          <w:color w:val="auto"/>
          <w:sz w:val="21"/>
          <w:szCs w:val="21"/>
          <w:highlight w:val="none"/>
          <w:lang w:val="en-US" w:eastAsia="zh-CN"/>
        </w:rPr>
        <w:t>供应商具有地质灾害治理工程施工乙级或以上资质</w:t>
      </w:r>
      <w:r>
        <w:rPr>
          <w:rFonts w:hint="eastAsia" w:ascii="宋体" w:hAnsi="宋体" w:eastAsia="宋体" w:cs="宋体"/>
          <w:b/>
          <w:bCs/>
          <w:color w:val="auto"/>
          <w:sz w:val="21"/>
          <w:szCs w:val="21"/>
          <w:highlight w:val="none"/>
          <w:lang w:val="en-US" w:eastAsia="zh-CN"/>
        </w:rPr>
        <w:t>；</w:t>
      </w:r>
    </w:p>
    <w:p w14:paraId="7AA8C7DF">
      <w:pPr>
        <w:widowControl/>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2）供应商具有有效期内的企业安全生产许可证；</w:t>
      </w:r>
    </w:p>
    <w:p w14:paraId="05116B4B">
      <w:pPr>
        <w:widowControl/>
        <w:jc w:val="left"/>
        <w:rPr>
          <w:rFonts w:hint="eastAsia"/>
          <w:b/>
          <w:bCs/>
          <w:color w:val="auto"/>
          <w:sz w:val="21"/>
          <w:szCs w:val="21"/>
          <w:highlight w:val="none"/>
          <w:lang w:eastAsia="zh-CN"/>
        </w:rPr>
      </w:pPr>
      <w:r>
        <w:rPr>
          <w:rFonts w:hint="eastAsia"/>
          <w:b/>
          <w:bCs/>
          <w:color w:val="auto"/>
          <w:sz w:val="21"/>
          <w:szCs w:val="21"/>
          <w:highlight w:val="none"/>
          <w:lang w:val="en-US" w:eastAsia="zh-CN"/>
        </w:rPr>
        <w:t>3）供应商自2022年10月1日以来（时间以竣工验收备案时间为准）以来承担过地质灾害治理工程施工类似业绩1份（响应文件中提供合同及竣工验收记录）；</w:t>
      </w:r>
    </w:p>
    <w:p w14:paraId="65BBFA19">
      <w:pPr>
        <w:widowControl/>
        <w:jc w:val="left"/>
        <w:rPr>
          <w:color w:val="auto"/>
          <w:sz w:val="21"/>
          <w:szCs w:val="21"/>
          <w:highlight w:val="none"/>
        </w:rPr>
      </w:pPr>
      <w:r>
        <w:rPr>
          <w:color w:val="auto"/>
          <w:sz w:val="21"/>
          <w:szCs w:val="21"/>
          <w:highlight w:val="none"/>
        </w:rPr>
        <w:br w:type="page"/>
      </w:r>
    </w:p>
    <w:p w14:paraId="440FAF62">
      <w:pPr>
        <w:adjustRightInd w:val="0"/>
        <w:snapToGrid w:val="0"/>
        <w:spacing w:line="288" w:lineRule="auto"/>
        <w:rPr>
          <w:color w:val="auto"/>
          <w:highlight w:val="none"/>
        </w:rPr>
      </w:pPr>
    </w:p>
    <w:p w14:paraId="5E0952F9">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14:paraId="4395A719">
      <w:pPr>
        <w:adjustRightInd w:val="0"/>
        <w:snapToGrid w:val="0"/>
        <w:spacing w:line="288" w:lineRule="auto"/>
        <w:rPr>
          <w:color w:val="auto"/>
          <w:highlight w:val="none"/>
        </w:rPr>
      </w:pPr>
      <w:r>
        <w:rPr>
          <w:rFonts w:hint="eastAsia"/>
          <w:color w:val="auto"/>
          <w:highlight w:val="none"/>
        </w:rPr>
        <w:br w:type="page"/>
      </w:r>
    </w:p>
    <w:p w14:paraId="3A201E2D">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14:paraId="0EAE40E3">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浙江省人防指挥工程管理所</w:t>
      </w:r>
    </w:p>
    <w:p w14:paraId="36023F92">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前山山坡坡道边坡加固治理工程项目</w:t>
      </w:r>
    </w:p>
    <w:p w14:paraId="248AD4F8">
      <w:pPr>
        <w:adjustRightInd w:val="0"/>
        <w:snapToGrid w:val="0"/>
        <w:spacing w:line="288" w:lineRule="auto"/>
        <w:rPr>
          <w:color w:val="auto"/>
          <w:sz w:val="21"/>
          <w:szCs w:val="21"/>
          <w:highlight w:val="none"/>
        </w:rPr>
      </w:pPr>
      <w:r>
        <w:rPr>
          <w:rFonts w:hint="eastAsia"/>
          <w:color w:val="auto"/>
          <w:sz w:val="21"/>
          <w:szCs w:val="21"/>
          <w:highlight w:val="none"/>
        </w:rPr>
        <w:t>项目编号：</w:t>
      </w:r>
      <w:r>
        <w:rPr>
          <w:rFonts w:hint="eastAsia"/>
          <w:color w:val="auto"/>
          <w:sz w:val="21"/>
          <w:szCs w:val="21"/>
          <w:highlight w:val="none"/>
          <w:lang w:eastAsia="zh-CN"/>
        </w:rPr>
        <w:t>QSZBC250288ZGCSL</w:t>
      </w:r>
    </w:p>
    <w:tbl>
      <w:tblPr>
        <w:tblStyle w:val="29"/>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918"/>
      </w:tblGrid>
      <w:tr w14:paraId="3ED8DF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18" w:type="dxa"/>
            <w:tcBorders>
              <w:top w:val="single" w:color="auto" w:sz="4" w:space="0"/>
              <w:left w:val="single" w:color="auto" w:sz="4" w:space="0"/>
              <w:bottom w:val="single" w:color="auto" w:sz="4" w:space="0"/>
              <w:right w:val="single" w:color="auto" w:sz="4" w:space="0"/>
            </w:tcBorders>
            <w:vAlign w:val="center"/>
          </w:tcPr>
          <w:p w14:paraId="24FDE713">
            <w:pPr>
              <w:adjustRightInd w:val="0"/>
              <w:snapToGrid w:val="0"/>
              <w:spacing w:line="288" w:lineRule="auto"/>
              <w:jc w:val="center"/>
              <w:rPr>
                <w:rFonts w:cs="Times New Roman"/>
                <w:b/>
                <w:color w:val="auto"/>
                <w:spacing w:val="-6"/>
                <w:sz w:val="21"/>
                <w:szCs w:val="21"/>
                <w:highlight w:val="none"/>
              </w:rPr>
            </w:pPr>
            <w:bookmarkStart w:id="628" w:name="_Hlk97040054"/>
          </w:p>
          <w:p w14:paraId="49B9F60D">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总价（人民币元）</w:t>
            </w:r>
          </w:p>
          <w:p w14:paraId="6895D6DD">
            <w:pPr>
              <w:adjustRightInd w:val="0"/>
              <w:snapToGrid w:val="0"/>
              <w:spacing w:line="288" w:lineRule="auto"/>
              <w:rPr>
                <w:b/>
                <w:bCs/>
                <w:color w:val="auto"/>
                <w:sz w:val="21"/>
                <w:szCs w:val="21"/>
                <w:highlight w:val="none"/>
              </w:rPr>
            </w:pPr>
          </w:p>
          <w:p w14:paraId="31D53814">
            <w:pPr>
              <w:adjustRightInd w:val="0"/>
              <w:snapToGrid w:val="0"/>
              <w:spacing w:line="288" w:lineRule="auto"/>
              <w:rPr>
                <w:b/>
                <w:bCs/>
                <w:color w:val="auto"/>
                <w:sz w:val="21"/>
                <w:szCs w:val="21"/>
                <w:highlight w:val="none"/>
              </w:rPr>
            </w:pPr>
            <w:r>
              <w:rPr>
                <w:rFonts w:hint="eastAsia"/>
                <w:b/>
                <w:bCs/>
                <w:color w:val="auto"/>
                <w:sz w:val="21"/>
                <w:szCs w:val="21"/>
                <w:highlight w:val="none"/>
              </w:rPr>
              <w:t>小写：_________________________</w:t>
            </w:r>
          </w:p>
          <w:p w14:paraId="6E4DCAD4">
            <w:pPr>
              <w:adjustRightInd w:val="0"/>
              <w:snapToGrid w:val="0"/>
              <w:spacing w:line="288" w:lineRule="auto"/>
              <w:rPr>
                <w:b/>
                <w:bCs/>
                <w:color w:val="auto"/>
                <w:sz w:val="21"/>
                <w:szCs w:val="21"/>
                <w:highlight w:val="none"/>
              </w:rPr>
            </w:pPr>
          </w:p>
          <w:p w14:paraId="6AB60EDE">
            <w:pPr>
              <w:adjustRightInd w:val="0"/>
              <w:snapToGrid w:val="0"/>
              <w:spacing w:line="288" w:lineRule="auto"/>
              <w:rPr>
                <w:b/>
                <w:bCs/>
                <w:color w:val="auto"/>
                <w:sz w:val="21"/>
                <w:szCs w:val="21"/>
                <w:highlight w:val="none"/>
              </w:rPr>
            </w:pPr>
            <w:r>
              <w:rPr>
                <w:rFonts w:hint="eastAsia"/>
                <w:b/>
                <w:bCs/>
                <w:color w:val="auto"/>
                <w:sz w:val="21"/>
                <w:szCs w:val="21"/>
                <w:highlight w:val="none"/>
              </w:rPr>
              <w:t>大写：_________________________</w:t>
            </w:r>
          </w:p>
          <w:p w14:paraId="71AE3BF3">
            <w:pPr>
              <w:adjustRightInd w:val="0"/>
              <w:snapToGrid w:val="0"/>
              <w:spacing w:line="288" w:lineRule="auto"/>
              <w:rPr>
                <w:b/>
                <w:bCs/>
                <w:color w:val="auto"/>
                <w:sz w:val="21"/>
                <w:szCs w:val="21"/>
                <w:highlight w:val="none"/>
              </w:rPr>
            </w:pPr>
          </w:p>
        </w:tc>
      </w:tr>
      <w:bookmarkEnd w:id="628"/>
    </w:tbl>
    <w:p w14:paraId="6C22E8DD">
      <w:pPr>
        <w:adjustRightInd w:val="0"/>
        <w:snapToGrid w:val="0"/>
        <w:spacing w:line="288" w:lineRule="auto"/>
        <w:rPr>
          <w:rFonts w:cs="Times New Roman"/>
          <w:color w:val="auto"/>
          <w:spacing w:val="-6"/>
          <w:sz w:val="21"/>
          <w:szCs w:val="21"/>
          <w:highlight w:val="none"/>
        </w:rPr>
      </w:pPr>
    </w:p>
    <w:p w14:paraId="2FFEBCD6">
      <w:pPr>
        <w:adjustRightInd w:val="0"/>
        <w:snapToGrid w:val="0"/>
        <w:spacing w:line="288" w:lineRule="auto"/>
        <w:rPr>
          <w:rFonts w:cs="Times New Roman"/>
          <w:b/>
          <w:bCs/>
          <w:color w:val="auto"/>
          <w:spacing w:val="-6"/>
          <w:sz w:val="21"/>
          <w:szCs w:val="21"/>
          <w:highlight w:val="none"/>
        </w:rPr>
      </w:pPr>
      <w:bookmarkStart w:id="629" w:name="_Hlk97040072"/>
      <w:r>
        <w:rPr>
          <w:rFonts w:hint="eastAsia" w:cs="Times New Roman"/>
          <w:b/>
          <w:bCs/>
          <w:color w:val="auto"/>
          <w:spacing w:val="-6"/>
          <w:sz w:val="21"/>
          <w:szCs w:val="21"/>
          <w:highlight w:val="none"/>
        </w:rPr>
        <w:t>说明：</w:t>
      </w:r>
    </w:p>
    <w:p w14:paraId="65287FE8">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14:paraId="6B3005A6">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14:paraId="6CC6616B">
      <w:pPr>
        <w:adjustRightInd w:val="0"/>
        <w:snapToGrid w:val="0"/>
        <w:spacing w:line="288" w:lineRule="auto"/>
        <w:rPr>
          <w:rFonts w:cs="Times New Roman"/>
          <w:bCs/>
          <w:color w:val="auto"/>
          <w:spacing w:val="-6"/>
          <w:sz w:val="21"/>
          <w:szCs w:val="21"/>
          <w:highlight w:val="none"/>
        </w:rPr>
      </w:pPr>
      <w:r>
        <w:rPr>
          <w:rFonts w:hint="eastAsia" w:cs="Times New Roman"/>
          <w:bCs/>
          <w:color w:val="auto"/>
          <w:spacing w:val="-6"/>
          <w:sz w:val="21"/>
          <w:szCs w:val="21"/>
          <w:highlight w:val="none"/>
        </w:rPr>
        <w:t>▲</w:t>
      </w:r>
      <w:r>
        <w:rPr>
          <w:rFonts w:cs="Times New Roman"/>
          <w:bCs/>
          <w:color w:val="auto"/>
          <w:spacing w:val="-6"/>
          <w:sz w:val="21"/>
          <w:szCs w:val="21"/>
          <w:highlight w:val="none"/>
        </w:rPr>
        <w:t>3.</w:t>
      </w:r>
      <w:r>
        <w:rPr>
          <w:rFonts w:hint="eastAsia" w:cs="Times New Roman"/>
          <w:bCs/>
          <w:color w:val="auto"/>
          <w:spacing w:val="-6"/>
          <w:sz w:val="21"/>
          <w:szCs w:val="21"/>
          <w:highlight w:val="none"/>
        </w:rPr>
        <w:t>响应报价应由供应商或受其委托具有相应资质的从事工程造价活动的专业人员编制，编制人员应在本人形成的工程造价成果文件上签字并加盖执业印章，并承担相应的法律责任。</w:t>
      </w:r>
    </w:p>
    <w:p w14:paraId="4E2F7158">
      <w:pPr>
        <w:adjustRightInd w:val="0"/>
        <w:snapToGrid w:val="0"/>
        <w:spacing w:line="288" w:lineRule="auto"/>
        <w:jc w:val="left"/>
        <w:rPr>
          <w:rFonts w:cs="Times New Roman"/>
          <w:b/>
          <w:color w:val="auto"/>
          <w:spacing w:val="-6"/>
          <w:sz w:val="21"/>
          <w:szCs w:val="21"/>
          <w:highlight w:val="none"/>
        </w:rPr>
      </w:pPr>
    </w:p>
    <w:p w14:paraId="6D302D77">
      <w:pPr>
        <w:adjustRightInd w:val="0"/>
        <w:snapToGrid w:val="0"/>
        <w:spacing w:line="288" w:lineRule="auto"/>
        <w:rPr>
          <w:color w:val="auto"/>
          <w:sz w:val="21"/>
          <w:szCs w:val="21"/>
          <w:highlight w:val="none"/>
        </w:rPr>
      </w:pPr>
    </w:p>
    <w:p w14:paraId="31F2D9EB">
      <w:pPr>
        <w:adjustRightInd w:val="0"/>
        <w:snapToGrid w:val="0"/>
        <w:spacing w:line="288" w:lineRule="auto"/>
        <w:rPr>
          <w:color w:val="auto"/>
          <w:sz w:val="21"/>
          <w:szCs w:val="21"/>
          <w:highlight w:val="none"/>
        </w:rPr>
      </w:pPr>
    </w:p>
    <w:p w14:paraId="29D658DC">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12B91B64">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193E56BD">
      <w:pPr>
        <w:widowControl/>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14:paraId="65D76EA3">
      <w:pPr>
        <w:widowControl/>
        <w:tabs>
          <w:tab w:val="center" w:pos="4755"/>
          <w:tab w:val="right" w:pos="9070"/>
        </w:tabs>
        <w:spacing w:before="100" w:beforeAutospacing="1" w:after="100" w:afterAutospacing="1" w:line="288" w:lineRule="auto"/>
        <w:ind w:firstLine="241" w:firstLineChars="100"/>
        <w:jc w:val="center"/>
        <w:rPr>
          <w:b/>
          <w:color w:val="auto"/>
          <w:kern w:val="0"/>
          <w:highlight w:val="none"/>
        </w:rPr>
      </w:pPr>
      <w:r>
        <w:rPr>
          <w:rFonts w:hint="eastAsia"/>
          <w:b/>
          <w:color w:val="auto"/>
          <w:kern w:val="0"/>
          <w:highlight w:val="none"/>
        </w:rPr>
        <w:t>磋商响应报价（初次报价）</w:t>
      </w:r>
    </w:p>
    <w:p w14:paraId="385AF81F">
      <w:pPr>
        <w:widowControl/>
        <w:tabs>
          <w:tab w:val="center" w:pos="4755"/>
          <w:tab w:val="right" w:pos="9070"/>
        </w:tabs>
        <w:spacing w:before="100" w:beforeAutospacing="1" w:after="100" w:afterAutospacing="1" w:line="288" w:lineRule="auto"/>
        <w:ind w:firstLine="240" w:firstLineChars="100"/>
        <w:jc w:val="center"/>
        <w:rPr>
          <w:color w:val="auto"/>
          <w:kern w:val="0"/>
          <w:highlight w:val="none"/>
        </w:rPr>
      </w:pPr>
    </w:p>
    <w:p w14:paraId="356A9224">
      <w:pPr>
        <w:widowControl/>
        <w:tabs>
          <w:tab w:val="center" w:pos="4755"/>
          <w:tab w:val="right" w:pos="9070"/>
        </w:tabs>
        <w:spacing w:before="100" w:beforeAutospacing="1" w:after="100" w:afterAutospacing="1" w:line="288" w:lineRule="auto"/>
        <w:ind w:firstLine="240" w:firstLineChars="100"/>
        <w:rPr>
          <w:color w:val="auto"/>
          <w:kern w:val="0"/>
          <w:highlight w:val="none"/>
          <w:u w:val="single"/>
        </w:rPr>
      </w:pPr>
      <w:r>
        <w:rPr>
          <w:rFonts w:hint="eastAsia"/>
          <w:color w:val="auto"/>
          <w:kern w:val="0"/>
          <w:highlight w:val="none"/>
        </w:rPr>
        <w:t>建设单位：</w:t>
      </w:r>
      <w:r>
        <w:rPr>
          <w:rFonts w:hint="eastAsia"/>
          <w:color w:val="auto"/>
          <w:kern w:val="0"/>
          <w:highlight w:val="none"/>
          <w:u w:val="single"/>
        </w:rPr>
        <w:t xml:space="preserve">                                 </w:t>
      </w:r>
      <w:r>
        <w:rPr>
          <w:rFonts w:hint="eastAsia"/>
          <w:color w:val="auto"/>
          <w:kern w:val="0"/>
          <w:highlight w:val="none"/>
        </w:rPr>
        <w:t xml:space="preserve">                                                                                                                                                                              </w:t>
      </w:r>
    </w:p>
    <w:p w14:paraId="6C35268E">
      <w:pPr>
        <w:widowControl/>
        <w:tabs>
          <w:tab w:val="center" w:pos="4755"/>
          <w:tab w:val="right" w:pos="9070"/>
        </w:tabs>
        <w:spacing w:before="100" w:beforeAutospacing="1" w:after="100" w:afterAutospacing="1" w:line="288" w:lineRule="auto"/>
        <w:ind w:firstLine="240" w:firstLineChars="100"/>
        <w:rPr>
          <w:color w:val="auto"/>
          <w:kern w:val="0"/>
          <w:highlight w:val="none"/>
        </w:rPr>
      </w:pPr>
      <w:r>
        <w:rPr>
          <w:rFonts w:hint="eastAsia"/>
          <w:color w:val="auto"/>
          <w:kern w:val="0"/>
          <w:highlight w:val="none"/>
        </w:rPr>
        <w:t>项目名称：</w:t>
      </w:r>
      <w:r>
        <w:rPr>
          <w:rFonts w:hint="eastAsia"/>
          <w:color w:val="auto"/>
          <w:kern w:val="0"/>
          <w:highlight w:val="none"/>
          <w:u w:val="single"/>
        </w:rPr>
        <w:t xml:space="preserve">                                 </w:t>
      </w:r>
      <w:r>
        <w:rPr>
          <w:rFonts w:hint="eastAsia"/>
          <w:color w:val="auto"/>
          <w:kern w:val="0"/>
          <w:highlight w:val="none"/>
        </w:rPr>
        <w:t xml:space="preserve">            </w:t>
      </w:r>
    </w:p>
    <w:p w14:paraId="271A12D5">
      <w:pPr>
        <w:widowControl/>
        <w:tabs>
          <w:tab w:val="center" w:pos="4755"/>
          <w:tab w:val="right" w:pos="9070"/>
        </w:tabs>
        <w:spacing w:before="100" w:beforeAutospacing="1" w:after="100" w:afterAutospacing="1" w:line="288" w:lineRule="auto"/>
        <w:ind w:firstLine="240" w:firstLineChars="100"/>
        <w:rPr>
          <w:color w:val="auto"/>
          <w:kern w:val="0"/>
          <w:highlight w:val="none"/>
          <w:u w:val="single"/>
        </w:rPr>
      </w:pPr>
      <w:r>
        <w:rPr>
          <w:rFonts w:hint="eastAsia"/>
          <w:color w:val="auto"/>
          <w:kern w:val="0"/>
          <w:highlight w:val="none"/>
        </w:rPr>
        <w:t>响应总价（小写）：</w:t>
      </w:r>
      <w:r>
        <w:rPr>
          <w:rFonts w:hint="eastAsia"/>
          <w:color w:val="auto"/>
          <w:kern w:val="0"/>
          <w:highlight w:val="none"/>
          <w:u w:val="single"/>
        </w:rPr>
        <w:t xml:space="preserve">                         </w:t>
      </w:r>
    </w:p>
    <w:p w14:paraId="7ADB6392">
      <w:pPr>
        <w:widowControl/>
        <w:tabs>
          <w:tab w:val="center" w:pos="4755"/>
          <w:tab w:val="right" w:pos="9070"/>
        </w:tabs>
        <w:spacing w:before="100" w:beforeAutospacing="1" w:after="100" w:afterAutospacing="1" w:line="288" w:lineRule="auto"/>
        <w:ind w:firstLine="240" w:firstLineChars="100"/>
        <w:rPr>
          <w:color w:val="auto"/>
          <w:kern w:val="0"/>
          <w:highlight w:val="none"/>
          <w:u w:val="single"/>
        </w:rPr>
      </w:pPr>
      <w:r>
        <w:rPr>
          <w:rFonts w:hint="eastAsia"/>
          <w:color w:val="auto"/>
          <w:kern w:val="0"/>
          <w:highlight w:val="none"/>
        </w:rPr>
        <w:t xml:space="preserve">        （大写）：</w:t>
      </w:r>
      <w:r>
        <w:rPr>
          <w:rFonts w:hint="eastAsia"/>
          <w:color w:val="auto"/>
          <w:kern w:val="0"/>
          <w:highlight w:val="none"/>
          <w:u w:val="single"/>
        </w:rPr>
        <w:t xml:space="preserve">                         </w:t>
      </w:r>
      <w:r>
        <w:rPr>
          <w:rFonts w:hint="eastAsia"/>
          <w:color w:val="auto"/>
          <w:kern w:val="0"/>
          <w:highlight w:val="none"/>
        </w:rPr>
        <w:t xml:space="preserve">             </w:t>
      </w:r>
    </w:p>
    <w:p w14:paraId="5D59A400">
      <w:pPr>
        <w:widowControl/>
        <w:tabs>
          <w:tab w:val="center" w:pos="4755"/>
          <w:tab w:val="right" w:pos="9070"/>
        </w:tabs>
        <w:spacing w:before="100" w:beforeAutospacing="1" w:after="100" w:afterAutospacing="1" w:line="288" w:lineRule="auto"/>
        <w:rPr>
          <w:b/>
          <w:color w:val="auto"/>
          <w:kern w:val="0"/>
          <w:highlight w:val="none"/>
        </w:rPr>
      </w:pPr>
    </w:p>
    <w:p w14:paraId="6D9881F3">
      <w:pPr>
        <w:widowControl/>
        <w:tabs>
          <w:tab w:val="center" w:pos="4755"/>
          <w:tab w:val="right" w:pos="9070"/>
        </w:tabs>
        <w:spacing w:before="100" w:beforeAutospacing="1" w:after="100" w:afterAutospacing="1" w:line="288" w:lineRule="auto"/>
        <w:ind w:right="1280" w:firstLine="240" w:firstLineChars="100"/>
        <w:jc w:val="center"/>
        <w:rPr>
          <w:color w:val="auto"/>
          <w:kern w:val="0"/>
          <w:highlight w:val="none"/>
        </w:rPr>
      </w:pPr>
    </w:p>
    <w:p w14:paraId="31C1BF01">
      <w:pPr>
        <w:widowControl/>
        <w:tabs>
          <w:tab w:val="center" w:pos="4755"/>
          <w:tab w:val="right" w:pos="9070"/>
        </w:tabs>
        <w:spacing w:before="100" w:beforeAutospacing="1" w:after="100" w:afterAutospacing="1" w:line="288" w:lineRule="auto"/>
        <w:ind w:firstLine="240" w:firstLineChars="100"/>
        <w:rPr>
          <w:color w:val="auto"/>
          <w:kern w:val="0"/>
          <w:highlight w:val="none"/>
        </w:rPr>
      </w:pPr>
      <w:r>
        <w:rPr>
          <w:rFonts w:hint="eastAsia"/>
          <w:color w:val="auto"/>
          <w:kern w:val="0"/>
          <w:highlight w:val="none"/>
        </w:rPr>
        <w:t xml:space="preserve">响   应   方： </w:t>
      </w:r>
      <w:r>
        <w:rPr>
          <w:rFonts w:hint="eastAsia"/>
          <w:color w:val="auto"/>
          <w:kern w:val="0"/>
          <w:highlight w:val="none"/>
          <w:u w:val="single"/>
        </w:rPr>
        <w:t xml:space="preserve">                    </w:t>
      </w:r>
      <w:r>
        <w:rPr>
          <w:rFonts w:hint="eastAsia"/>
          <w:color w:val="auto"/>
          <w:kern w:val="0"/>
          <w:highlight w:val="none"/>
        </w:rPr>
        <w:t>（单位盖章）</w:t>
      </w:r>
    </w:p>
    <w:p w14:paraId="32B3109D">
      <w:pPr>
        <w:pStyle w:val="24"/>
        <w:spacing w:line="288" w:lineRule="auto"/>
        <w:ind w:firstLine="240" w:firstLineChars="100"/>
        <w:jc w:val="both"/>
        <w:rPr>
          <w:rFonts w:ascii="ˎ̥" w:hAnsi="ˎ̥"/>
          <w:color w:val="auto"/>
          <w:highlight w:val="none"/>
        </w:rPr>
      </w:pPr>
      <w:r>
        <w:rPr>
          <w:rFonts w:ascii="ˎ̥" w:hAnsi="ˎ̥"/>
          <w:color w:val="auto"/>
          <w:highlight w:val="none"/>
        </w:rPr>
        <w:t>法</w:t>
      </w:r>
      <w:r>
        <w:rPr>
          <w:rFonts w:hint="eastAsia" w:ascii="ˎ̥" w:hAnsi="ˎ̥"/>
          <w:color w:val="auto"/>
          <w:highlight w:val="none"/>
        </w:rPr>
        <w:t xml:space="preserve"> </w:t>
      </w:r>
      <w:r>
        <w:rPr>
          <w:rFonts w:ascii="ˎ̥" w:hAnsi="ˎ̥"/>
          <w:color w:val="auto"/>
          <w:highlight w:val="none"/>
        </w:rPr>
        <w:t>定</w:t>
      </w:r>
      <w:r>
        <w:rPr>
          <w:rFonts w:hint="eastAsia" w:ascii="ˎ̥" w:hAnsi="ˎ̥"/>
          <w:color w:val="auto"/>
          <w:highlight w:val="none"/>
        </w:rPr>
        <w:t xml:space="preserve"> </w:t>
      </w:r>
      <w:r>
        <w:rPr>
          <w:rFonts w:ascii="ˎ̥" w:hAnsi="ˎ̥"/>
          <w:color w:val="auto"/>
          <w:highlight w:val="none"/>
        </w:rPr>
        <w:t>代</w:t>
      </w:r>
      <w:r>
        <w:rPr>
          <w:rFonts w:hint="eastAsia" w:ascii="ˎ̥" w:hAnsi="ˎ̥"/>
          <w:color w:val="auto"/>
          <w:highlight w:val="none"/>
        </w:rPr>
        <w:t xml:space="preserve"> </w:t>
      </w:r>
      <w:r>
        <w:rPr>
          <w:rFonts w:ascii="ˎ̥" w:hAnsi="ˎ̥"/>
          <w:color w:val="auto"/>
          <w:highlight w:val="none"/>
        </w:rPr>
        <w:t>表</w:t>
      </w:r>
      <w:r>
        <w:rPr>
          <w:rFonts w:hint="eastAsia" w:ascii="ˎ̥" w:hAnsi="ˎ̥"/>
          <w:color w:val="auto"/>
          <w:highlight w:val="none"/>
        </w:rPr>
        <w:t xml:space="preserve"> </w:t>
      </w:r>
      <w:r>
        <w:rPr>
          <w:rFonts w:ascii="ˎ̥" w:hAnsi="ˎ̥"/>
          <w:color w:val="auto"/>
          <w:highlight w:val="none"/>
        </w:rPr>
        <w:t>人：</w:t>
      </w:r>
      <w:r>
        <w:rPr>
          <w:rFonts w:hint="eastAsia"/>
          <w:color w:val="auto"/>
          <w:highlight w:val="none"/>
        </w:rPr>
        <w:t xml:space="preserve"> </w:t>
      </w:r>
      <w:r>
        <w:rPr>
          <w:rFonts w:hint="eastAsia"/>
          <w:color w:val="auto"/>
          <w:highlight w:val="none"/>
          <w:u w:val="single"/>
        </w:rPr>
        <w:t xml:space="preserve">                 </w:t>
      </w:r>
      <w:r>
        <w:rPr>
          <w:rFonts w:ascii="ˎ̥" w:hAnsi="ˎ̥"/>
          <w:color w:val="auto"/>
          <w:highlight w:val="none"/>
        </w:rPr>
        <w:t>（签字或盖章）</w:t>
      </w:r>
    </w:p>
    <w:p w14:paraId="72E2E045">
      <w:pPr>
        <w:widowControl/>
        <w:tabs>
          <w:tab w:val="center" w:pos="4755"/>
          <w:tab w:val="right" w:pos="9070"/>
        </w:tabs>
        <w:spacing w:before="100" w:beforeAutospacing="1" w:after="100" w:afterAutospacing="1" w:line="288" w:lineRule="auto"/>
        <w:ind w:firstLine="240" w:firstLineChars="100"/>
        <w:rPr>
          <w:color w:val="auto"/>
          <w:kern w:val="0"/>
          <w:highlight w:val="none"/>
        </w:rPr>
      </w:pPr>
      <w:r>
        <w:rPr>
          <w:rFonts w:hint="eastAsia"/>
          <w:color w:val="auto"/>
          <w:kern w:val="0"/>
          <w:highlight w:val="none"/>
        </w:rPr>
        <w:t xml:space="preserve">编  制 </w:t>
      </w:r>
      <w:r>
        <w:rPr>
          <w:color w:val="auto"/>
          <w:kern w:val="0"/>
          <w:highlight w:val="none"/>
        </w:rPr>
        <w:t xml:space="preserve"> </w:t>
      </w:r>
      <w:r>
        <w:rPr>
          <w:rFonts w:hint="eastAsia"/>
          <w:color w:val="auto"/>
          <w:kern w:val="0"/>
          <w:highlight w:val="none"/>
        </w:rPr>
        <w:t xml:space="preserve">人 </w:t>
      </w:r>
      <w:r>
        <w:rPr>
          <w:color w:val="auto"/>
          <w:kern w:val="0"/>
          <w:highlight w:val="none"/>
        </w:rPr>
        <w:t xml:space="preserve"> </w:t>
      </w:r>
      <w:r>
        <w:rPr>
          <w:rFonts w:hint="eastAsia"/>
          <w:color w:val="auto"/>
          <w:kern w:val="0"/>
          <w:highlight w:val="none"/>
        </w:rPr>
        <w:t>员：</w:t>
      </w:r>
      <w:r>
        <w:rPr>
          <w:rFonts w:hint="eastAsia"/>
          <w:color w:val="auto"/>
          <w:kern w:val="0"/>
          <w:highlight w:val="none"/>
          <w:u w:val="single"/>
        </w:rPr>
        <w:t xml:space="preserve">                 </w:t>
      </w:r>
      <w:r>
        <w:rPr>
          <w:rFonts w:hint="eastAsia"/>
          <w:color w:val="auto"/>
          <w:kern w:val="0"/>
          <w:highlight w:val="none"/>
        </w:rPr>
        <w:t>（签字及盖执业专用章）</w:t>
      </w:r>
    </w:p>
    <w:p w14:paraId="6AEC7062">
      <w:pPr>
        <w:widowControl/>
        <w:tabs>
          <w:tab w:val="center" w:pos="4755"/>
          <w:tab w:val="right" w:pos="9720"/>
        </w:tabs>
        <w:spacing w:before="100" w:beforeAutospacing="1" w:after="100" w:afterAutospacing="1" w:line="288" w:lineRule="auto"/>
        <w:ind w:firstLine="240" w:firstLineChars="100"/>
        <w:rPr>
          <w:color w:val="auto"/>
          <w:kern w:val="0"/>
          <w:highlight w:val="none"/>
        </w:rPr>
      </w:pPr>
      <w:r>
        <w:rPr>
          <w:rFonts w:hint="eastAsia"/>
          <w:color w:val="auto"/>
          <w:kern w:val="0"/>
          <w:highlight w:val="none"/>
        </w:rPr>
        <w:t xml:space="preserve">编  制  时  间：                </w:t>
      </w:r>
    </w:p>
    <w:bookmarkEnd w:id="629"/>
    <w:p w14:paraId="1C77E9C9">
      <w:pPr>
        <w:widowControl/>
        <w:tabs>
          <w:tab w:val="center" w:pos="4755"/>
          <w:tab w:val="right" w:pos="9720"/>
        </w:tabs>
        <w:spacing w:before="100" w:beforeAutospacing="1" w:after="100" w:afterAutospacing="1" w:line="288" w:lineRule="auto"/>
        <w:rPr>
          <w:color w:val="auto"/>
          <w:highlight w:val="none"/>
        </w:rPr>
      </w:pPr>
      <w:r>
        <w:rPr>
          <w:color w:val="auto"/>
          <w:highlight w:val="none"/>
        </w:rPr>
        <w:br w:type="page"/>
      </w:r>
    </w:p>
    <w:p w14:paraId="7737DC32">
      <w:pPr>
        <w:pStyle w:val="28"/>
        <w:rPr>
          <w:color w:val="auto"/>
          <w:highlight w:val="none"/>
        </w:rPr>
      </w:pPr>
    </w:p>
    <w:p w14:paraId="22CCA022">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14:paraId="73DCD7A8">
      <w:pPr>
        <w:adjustRightInd w:val="0"/>
        <w:snapToGrid w:val="0"/>
        <w:spacing w:line="288" w:lineRule="auto"/>
        <w:rPr>
          <w:color w:val="auto"/>
          <w:highlight w:val="none"/>
        </w:rPr>
      </w:pPr>
      <w:r>
        <w:rPr>
          <w:rFonts w:hint="eastAsia"/>
          <w:color w:val="auto"/>
          <w:highlight w:val="none"/>
        </w:rPr>
        <w:br w:type="page"/>
      </w:r>
    </w:p>
    <w:p w14:paraId="16EDDE05">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14:paraId="06A393DA">
      <w:pPr>
        <w:adjustRightInd w:val="0"/>
        <w:snapToGrid w:val="0"/>
        <w:spacing w:line="288" w:lineRule="auto"/>
        <w:rPr>
          <w:color w:val="auto"/>
          <w:sz w:val="21"/>
          <w:szCs w:val="21"/>
          <w:highlight w:val="none"/>
        </w:rPr>
      </w:pPr>
    </w:p>
    <w:p w14:paraId="2D8CF547">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浙江省人防指挥工程管理所</w:t>
      </w:r>
      <w:r>
        <w:rPr>
          <w:rFonts w:hint="eastAsia"/>
          <w:b/>
          <w:bCs/>
          <w:color w:val="auto"/>
          <w:sz w:val="21"/>
          <w:szCs w:val="21"/>
          <w:highlight w:val="none"/>
        </w:rPr>
        <w:t>、浙江求是招标代理有限公司</w:t>
      </w:r>
    </w:p>
    <w:p w14:paraId="2FAAE9F5">
      <w:pPr>
        <w:adjustRightInd w:val="0"/>
        <w:snapToGrid w:val="0"/>
        <w:spacing w:line="288" w:lineRule="auto"/>
        <w:rPr>
          <w:rFonts w:cs="Times New Roman"/>
          <w:color w:val="auto"/>
          <w:spacing w:val="-6"/>
          <w:sz w:val="21"/>
          <w:szCs w:val="21"/>
          <w:highlight w:val="none"/>
        </w:rPr>
      </w:pPr>
    </w:p>
    <w:p w14:paraId="6A75B4F5">
      <w:pPr>
        <w:adjustRightInd w:val="0"/>
        <w:snapToGrid w:val="0"/>
        <w:spacing w:line="288" w:lineRule="auto"/>
        <w:ind w:firstLine="396" w:firstLineChars="200"/>
        <w:rPr>
          <w:color w:val="auto"/>
          <w:sz w:val="21"/>
          <w:szCs w:val="21"/>
          <w:highlight w:val="none"/>
        </w:rPr>
      </w:pPr>
      <w:bookmarkStart w:id="630" w:name="_Hlk97040115"/>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浙江省人防指挥工程管理所前山山坡坡道边坡加固治理工程项目</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QSZBC250288ZGCSL</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bookmarkEnd w:id="630"/>
    <w:p w14:paraId="5DCA7D0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14:paraId="5C2243F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14:paraId="3926DE8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14:paraId="0F0FD2D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14:paraId="25F9F1D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14:paraId="4AEACF8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30"/>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2"/>
        <w:gridCol w:w="6808"/>
      </w:tblGrid>
      <w:tr w14:paraId="6B4D1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875E5E3">
            <w:pPr>
              <w:adjustRightInd w:val="0"/>
              <w:snapToGrid w:val="0"/>
              <w:spacing w:line="288" w:lineRule="auto"/>
              <w:rPr>
                <w:rFonts w:cs="Times New Roman"/>
                <w:color w:val="auto"/>
                <w:spacing w:val="-6"/>
                <w:kern w:val="0"/>
                <w:sz w:val="21"/>
                <w:szCs w:val="21"/>
                <w:highlight w:val="none"/>
              </w:rPr>
            </w:pPr>
            <w:bookmarkStart w:id="631" w:name="_Hlk97040154"/>
            <w:r>
              <w:rPr>
                <w:rFonts w:hint="eastAsia" w:cs="Times New Roman"/>
                <w:color w:val="auto"/>
                <w:spacing w:val="-6"/>
                <w:kern w:val="0"/>
                <w:sz w:val="21"/>
                <w:szCs w:val="21"/>
                <w:highlight w:val="none"/>
              </w:rPr>
              <w:t>联系人：</w:t>
            </w:r>
          </w:p>
        </w:tc>
        <w:tc>
          <w:tcPr>
            <w:tcW w:w="6808" w:type="dxa"/>
          </w:tcPr>
          <w:p w14:paraId="0A6D901B">
            <w:pPr>
              <w:adjustRightInd w:val="0"/>
              <w:snapToGrid w:val="0"/>
              <w:spacing w:line="288" w:lineRule="auto"/>
              <w:rPr>
                <w:rFonts w:cs="Times New Roman"/>
                <w:color w:val="auto"/>
                <w:spacing w:val="-6"/>
                <w:kern w:val="0"/>
                <w:sz w:val="21"/>
                <w:szCs w:val="21"/>
                <w:highlight w:val="none"/>
              </w:rPr>
            </w:pPr>
          </w:p>
        </w:tc>
      </w:tr>
      <w:tr w14:paraId="73979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877BCDF">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职务：</w:t>
            </w:r>
          </w:p>
        </w:tc>
        <w:tc>
          <w:tcPr>
            <w:tcW w:w="6808" w:type="dxa"/>
          </w:tcPr>
          <w:p w14:paraId="5F491462">
            <w:pPr>
              <w:adjustRightInd w:val="0"/>
              <w:snapToGrid w:val="0"/>
              <w:spacing w:line="288" w:lineRule="auto"/>
              <w:rPr>
                <w:rFonts w:cs="Times New Roman"/>
                <w:color w:val="auto"/>
                <w:spacing w:val="-6"/>
                <w:kern w:val="0"/>
                <w:sz w:val="21"/>
                <w:szCs w:val="21"/>
                <w:highlight w:val="none"/>
              </w:rPr>
            </w:pPr>
          </w:p>
        </w:tc>
      </w:tr>
      <w:tr w14:paraId="43385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CDE6B8E">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手机：</w:t>
            </w:r>
          </w:p>
        </w:tc>
        <w:tc>
          <w:tcPr>
            <w:tcW w:w="6808" w:type="dxa"/>
          </w:tcPr>
          <w:p w14:paraId="6EC4B29B">
            <w:pPr>
              <w:adjustRightInd w:val="0"/>
              <w:snapToGrid w:val="0"/>
              <w:spacing w:line="288" w:lineRule="auto"/>
              <w:rPr>
                <w:rFonts w:cs="Times New Roman"/>
                <w:color w:val="auto"/>
                <w:spacing w:val="-6"/>
                <w:kern w:val="0"/>
                <w:sz w:val="21"/>
                <w:szCs w:val="21"/>
                <w:highlight w:val="none"/>
              </w:rPr>
            </w:pPr>
          </w:p>
        </w:tc>
      </w:tr>
      <w:tr w14:paraId="4F57D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3C8DDEB">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电子邮箱：</w:t>
            </w:r>
          </w:p>
        </w:tc>
        <w:tc>
          <w:tcPr>
            <w:tcW w:w="6808" w:type="dxa"/>
          </w:tcPr>
          <w:p w14:paraId="48A94ADF">
            <w:pPr>
              <w:adjustRightInd w:val="0"/>
              <w:snapToGrid w:val="0"/>
              <w:spacing w:line="288" w:lineRule="auto"/>
              <w:rPr>
                <w:rFonts w:cs="Times New Roman"/>
                <w:color w:val="auto"/>
                <w:spacing w:val="-6"/>
                <w:kern w:val="0"/>
                <w:sz w:val="21"/>
                <w:szCs w:val="21"/>
                <w:highlight w:val="none"/>
              </w:rPr>
            </w:pPr>
          </w:p>
        </w:tc>
      </w:tr>
      <w:tr w14:paraId="121EF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099ECA3">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地址：</w:t>
            </w:r>
          </w:p>
        </w:tc>
        <w:tc>
          <w:tcPr>
            <w:tcW w:w="6808" w:type="dxa"/>
          </w:tcPr>
          <w:p w14:paraId="356A9616">
            <w:pPr>
              <w:adjustRightInd w:val="0"/>
              <w:snapToGrid w:val="0"/>
              <w:spacing w:line="288" w:lineRule="auto"/>
              <w:rPr>
                <w:rFonts w:cs="Times New Roman"/>
                <w:color w:val="auto"/>
                <w:spacing w:val="-6"/>
                <w:kern w:val="0"/>
                <w:sz w:val="21"/>
                <w:szCs w:val="21"/>
                <w:highlight w:val="none"/>
              </w:rPr>
            </w:pPr>
          </w:p>
        </w:tc>
      </w:tr>
      <w:tr w14:paraId="6E637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1A3AA5B">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开户银行：</w:t>
            </w:r>
          </w:p>
        </w:tc>
        <w:tc>
          <w:tcPr>
            <w:tcW w:w="6808" w:type="dxa"/>
          </w:tcPr>
          <w:p w14:paraId="27ED9169">
            <w:pPr>
              <w:adjustRightInd w:val="0"/>
              <w:snapToGrid w:val="0"/>
              <w:spacing w:line="288" w:lineRule="auto"/>
              <w:rPr>
                <w:rFonts w:cs="Times New Roman"/>
                <w:color w:val="auto"/>
                <w:spacing w:val="-6"/>
                <w:kern w:val="0"/>
                <w:sz w:val="21"/>
                <w:szCs w:val="21"/>
                <w:highlight w:val="none"/>
              </w:rPr>
            </w:pPr>
          </w:p>
        </w:tc>
      </w:tr>
      <w:tr w14:paraId="6F911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32C7685">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银行账号：</w:t>
            </w:r>
          </w:p>
        </w:tc>
        <w:tc>
          <w:tcPr>
            <w:tcW w:w="6808" w:type="dxa"/>
          </w:tcPr>
          <w:p w14:paraId="797245E8">
            <w:pPr>
              <w:adjustRightInd w:val="0"/>
              <w:snapToGrid w:val="0"/>
              <w:spacing w:line="288" w:lineRule="auto"/>
              <w:rPr>
                <w:rFonts w:cs="Times New Roman"/>
                <w:color w:val="auto"/>
                <w:spacing w:val="-6"/>
                <w:kern w:val="0"/>
                <w:sz w:val="21"/>
                <w:szCs w:val="21"/>
                <w:highlight w:val="none"/>
              </w:rPr>
            </w:pPr>
          </w:p>
        </w:tc>
      </w:tr>
      <w:bookmarkEnd w:id="631"/>
    </w:tbl>
    <w:p w14:paraId="2785417F">
      <w:pPr>
        <w:adjustRightInd w:val="0"/>
        <w:snapToGrid w:val="0"/>
        <w:spacing w:line="288" w:lineRule="auto"/>
        <w:rPr>
          <w:color w:val="auto"/>
          <w:sz w:val="21"/>
          <w:szCs w:val="21"/>
          <w:highlight w:val="none"/>
        </w:rPr>
      </w:pPr>
    </w:p>
    <w:p w14:paraId="3F99DF4F">
      <w:pPr>
        <w:adjustRightInd w:val="0"/>
        <w:snapToGrid w:val="0"/>
        <w:spacing w:line="288" w:lineRule="auto"/>
        <w:rPr>
          <w:color w:val="auto"/>
          <w:sz w:val="21"/>
          <w:szCs w:val="21"/>
          <w:highlight w:val="none"/>
        </w:rPr>
      </w:pPr>
    </w:p>
    <w:p w14:paraId="1C3ED0ED">
      <w:pPr>
        <w:adjustRightInd w:val="0"/>
        <w:snapToGrid w:val="0"/>
        <w:spacing w:line="288" w:lineRule="auto"/>
        <w:rPr>
          <w:rFonts w:cs="Times New Roman"/>
          <w:b/>
          <w:bCs/>
          <w:color w:val="auto"/>
          <w:spacing w:val="-6"/>
          <w:sz w:val="21"/>
          <w:szCs w:val="21"/>
          <w:highlight w:val="none"/>
        </w:rPr>
      </w:pPr>
      <w:bookmarkStart w:id="632" w:name="_Hlk97040160"/>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74EC0D3F">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32"/>
    <w:p w14:paraId="181CD467">
      <w:pPr>
        <w:widowControl/>
        <w:adjustRightInd w:val="0"/>
        <w:snapToGrid w:val="0"/>
        <w:spacing w:line="288" w:lineRule="auto"/>
        <w:jc w:val="left"/>
        <w:rPr>
          <w:color w:val="auto"/>
          <w:sz w:val="21"/>
          <w:szCs w:val="21"/>
          <w:highlight w:val="none"/>
        </w:rPr>
      </w:pPr>
      <w:r>
        <w:rPr>
          <w:color w:val="auto"/>
          <w:sz w:val="21"/>
          <w:szCs w:val="21"/>
          <w:highlight w:val="none"/>
        </w:rPr>
        <w:br w:type="page"/>
      </w:r>
    </w:p>
    <w:p w14:paraId="1D369D49">
      <w:pPr>
        <w:adjustRightInd w:val="0"/>
        <w:snapToGrid w:val="0"/>
        <w:spacing w:line="288" w:lineRule="auto"/>
        <w:ind w:firstLine="498" w:firstLineChars="236"/>
        <w:jc w:val="center"/>
        <w:outlineLvl w:val="2"/>
        <w:rPr>
          <w:rFonts w:cs="Times New Roman"/>
          <w:b/>
          <w:bCs/>
          <w:color w:val="auto"/>
          <w:sz w:val="21"/>
          <w:szCs w:val="21"/>
          <w:highlight w:val="none"/>
        </w:rPr>
      </w:pPr>
      <w:bookmarkStart w:id="633" w:name="_Hlk97040253"/>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14:paraId="07696204">
      <w:pPr>
        <w:adjustRightInd w:val="0"/>
        <w:snapToGrid w:val="0"/>
        <w:spacing w:line="288" w:lineRule="auto"/>
        <w:rPr>
          <w:color w:val="auto"/>
          <w:sz w:val="21"/>
          <w:szCs w:val="21"/>
          <w:highlight w:val="none"/>
        </w:rPr>
      </w:pPr>
      <w:r>
        <w:rPr>
          <w:rFonts w:hint="eastAsia"/>
          <w:color w:val="auto"/>
          <w:sz w:val="21"/>
          <w:szCs w:val="21"/>
          <w:highlight w:val="none"/>
        </w:rPr>
        <w:t>致：</w:t>
      </w:r>
      <w:r>
        <w:rPr>
          <w:rFonts w:hint="eastAsia"/>
          <w:color w:val="auto"/>
          <w:sz w:val="21"/>
          <w:szCs w:val="21"/>
          <w:highlight w:val="none"/>
          <w:lang w:eastAsia="zh-CN"/>
        </w:rPr>
        <w:t>浙江省人防指挥工程管理所</w:t>
      </w:r>
      <w:r>
        <w:rPr>
          <w:rFonts w:hint="eastAsia"/>
          <w:color w:val="auto"/>
          <w:sz w:val="21"/>
          <w:szCs w:val="21"/>
          <w:highlight w:val="none"/>
        </w:rPr>
        <w:t>、浙江求是招标代理有限公司</w:t>
      </w:r>
    </w:p>
    <w:p w14:paraId="71E9BAE8">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浙江省人防指挥工程管理所前山山坡坡道边坡加固治理工程项目</w:t>
      </w:r>
      <w:r>
        <w:rPr>
          <w:rFonts w:hint="eastAsia" w:cs="Times New Roman"/>
          <w:bCs/>
          <w:color w:val="auto"/>
          <w:spacing w:val="-6"/>
          <w:sz w:val="21"/>
          <w:szCs w:val="21"/>
          <w:highlight w:val="none"/>
        </w:rPr>
        <w:t>标项</w:t>
      </w:r>
      <w:r>
        <w:rPr>
          <w:rFonts w:hint="eastAsia" w:cs="Times New Roman"/>
          <w:bCs/>
          <w:color w:val="auto"/>
          <w:spacing w:val="-6"/>
          <w:sz w:val="21"/>
          <w:szCs w:val="21"/>
          <w:highlight w:val="none"/>
          <w:u w:val="single"/>
        </w:rPr>
        <w:t xml:space="preserve">  </w:t>
      </w:r>
      <w:r>
        <w:rPr>
          <w:rFonts w:cs="Times New Roman"/>
          <w:bCs/>
          <w:color w:val="auto"/>
          <w:spacing w:val="-6"/>
          <w:sz w:val="21"/>
          <w:szCs w:val="21"/>
          <w:highlight w:val="none"/>
          <w:u w:val="single"/>
        </w:rPr>
        <w:t xml:space="preserve"> </w:t>
      </w:r>
      <w:r>
        <w:rPr>
          <w:rFonts w:hint="eastAsia" w:cs="Times New Roman"/>
          <w:bCs/>
          <w:color w:val="auto"/>
          <w:spacing w:val="-6"/>
          <w:sz w:val="21"/>
          <w:szCs w:val="21"/>
          <w:highlight w:val="none"/>
          <w:u w:val="single"/>
        </w:rPr>
        <w:t xml:space="preserve"> </w:t>
      </w:r>
      <w:r>
        <w:rPr>
          <w:rFonts w:hint="eastAsia" w:cs="Times New Roman"/>
          <w:color w:val="auto"/>
          <w:spacing w:val="-6"/>
          <w:sz w:val="21"/>
          <w:szCs w:val="21"/>
          <w:highlight w:val="none"/>
        </w:rPr>
        <w:t>的</w:t>
      </w:r>
      <w:bookmarkEnd w:id="633"/>
      <w:r>
        <w:rPr>
          <w:rFonts w:hint="eastAsia" w:cs="Times New Roman"/>
          <w:color w:val="auto"/>
          <w:spacing w:val="-6"/>
          <w:sz w:val="21"/>
          <w:szCs w:val="21"/>
          <w:highlight w:val="none"/>
        </w:rPr>
        <w:t>的采购活动，并代表我方全权办理针对上述项目的响应、评审、签约等具体事务和签署相关文件。</w:t>
      </w:r>
    </w:p>
    <w:p w14:paraId="50658296">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14:paraId="100A2A0A">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14:paraId="10147405">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14:paraId="36C9A31D">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w:t>
      </w:r>
      <w:r>
        <w:rPr>
          <w:rFonts w:hint="eastAsia" w:cs="Times New Roman"/>
          <w:color w:val="auto"/>
          <w:spacing w:val="-6"/>
          <w:sz w:val="21"/>
          <w:szCs w:val="21"/>
          <w:highlight w:val="none"/>
          <w:u w:val="single"/>
          <w:lang w:eastAsia="zh-CN"/>
        </w:rPr>
        <w:t>202</w:t>
      </w:r>
      <w:r>
        <w:rPr>
          <w:rFonts w:hint="eastAsia" w:cs="Times New Roman"/>
          <w:color w:val="auto"/>
          <w:spacing w:val="-6"/>
          <w:sz w:val="21"/>
          <w:szCs w:val="21"/>
          <w:highlight w:val="none"/>
          <w:u w:val="single"/>
          <w:lang w:val="en-US" w:eastAsia="zh-CN"/>
        </w:rPr>
        <w:t>5</w:t>
      </w:r>
      <w:r>
        <w:rPr>
          <w:rFonts w:hint="eastAsia" w:cs="Times New Roman"/>
          <w:color w:val="auto"/>
          <w:spacing w:val="-6"/>
          <w:sz w:val="21"/>
          <w:szCs w:val="21"/>
          <w:highlight w:val="none"/>
          <w:u w:val="single"/>
          <w:lang w:eastAsia="zh-CN"/>
        </w:rPr>
        <w:t>年</w:t>
      </w:r>
      <w:r>
        <w:rPr>
          <w:rFonts w:hint="eastAsia" w:cs="Times New Roman"/>
          <w:color w:val="auto"/>
          <w:spacing w:val="-6"/>
          <w:sz w:val="21"/>
          <w:szCs w:val="21"/>
          <w:highlight w:val="none"/>
          <w:u w:val="single"/>
          <w:lang w:val="en-US" w:eastAsia="zh-CN"/>
        </w:rPr>
        <w:t>1</w:t>
      </w:r>
      <w:r>
        <w:rPr>
          <w:rFonts w:hint="eastAsia" w:cs="Times New Roman"/>
          <w:color w:val="auto"/>
          <w:spacing w:val="-6"/>
          <w:sz w:val="21"/>
          <w:szCs w:val="21"/>
          <w:highlight w:val="none"/>
          <w:u w:val="single"/>
          <w:lang w:eastAsia="zh-CN"/>
        </w:rPr>
        <w:t>月</w:t>
      </w:r>
      <w:r>
        <w:rPr>
          <w:rFonts w:hint="eastAsia" w:cs="Times New Roman"/>
          <w:color w:val="auto"/>
          <w:spacing w:val="-6"/>
          <w:sz w:val="21"/>
          <w:szCs w:val="21"/>
          <w:highlight w:val="none"/>
          <w:u w:val="single"/>
        </w:rPr>
        <w:t>（含）以后任意一月）。</w:t>
      </w:r>
    </w:p>
    <w:p w14:paraId="00F9AF10">
      <w:pPr>
        <w:adjustRightInd w:val="0"/>
        <w:snapToGrid w:val="0"/>
        <w:spacing w:line="288" w:lineRule="auto"/>
        <w:rPr>
          <w:rFonts w:cs="Times New Roman"/>
          <w:color w:val="auto"/>
          <w:spacing w:val="-6"/>
          <w:sz w:val="21"/>
          <w:szCs w:val="21"/>
          <w:highlight w:val="none"/>
        </w:rPr>
      </w:pPr>
    </w:p>
    <w:p w14:paraId="36C41D8F">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311996D5">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086AFD00">
      <w:pPr>
        <w:adjustRightInd w:val="0"/>
        <w:snapToGrid w:val="0"/>
        <w:spacing w:line="288" w:lineRule="auto"/>
        <w:rPr>
          <w:rFonts w:cs="Times New Roman"/>
          <w:color w:val="auto"/>
          <w:sz w:val="21"/>
          <w:szCs w:val="21"/>
          <w:highlight w:val="none"/>
        </w:rPr>
      </w:pPr>
    </w:p>
    <w:p w14:paraId="37C9B8B9">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14:paraId="20ABE708">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14:paraId="0C172701">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14:paraId="0724348A">
      <w:pPr>
        <w:adjustRightInd w:val="0"/>
        <w:snapToGrid w:val="0"/>
        <w:spacing w:line="288" w:lineRule="auto"/>
        <w:rPr>
          <w:rFonts w:cs="Times New Roman"/>
          <w:color w:val="auto"/>
          <w:sz w:val="21"/>
          <w:szCs w:val="21"/>
          <w:highlight w:val="none"/>
        </w:rPr>
      </w:pPr>
    </w:p>
    <w:p w14:paraId="6470CC1F">
      <w:pPr>
        <w:adjustRightInd w:val="0"/>
        <w:snapToGrid w:val="0"/>
        <w:spacing w:line="288" w:lineRule="auto"/>
        <w:rPr>
          <w:rFonts w:cs="Times New Roman"/>
          <w:color w:val="auto"/>
          <w:sz w:val="21"/>
          <w:szCs w:val="21"/>
          <w:highlight w:val="none"/>
        </w:rPr>
      </w:pPr>
    </w:p>
    <w:p w14:paraId="3DEF4407">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14:paraId="117BE891">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14:paraId="47194778">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1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4"/>
        <w:gridCol w:w="4814"/>
      </w:tblGrid>
      <w:tr w14:paraId="5570E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39" w:hRule="atLeast"/>
        </w:trPr>
        <w:tc>
          <w:tcPr>
            <w:tcW w:w="4951" w:type="dxa"/>
          </w:tcPr>
          <w:p w14:paraId="2A59ED7E">
            <w:pPr>
              <w:adjustRightInd w:val="0"/>
              <w:snapToGrid w:val="0"/>
              <w:spacing w:line="288" w:lineRule="auto"/>
              <w:rPr>
                <w:bCs/>
                <w:color w:val="auto"/>
                <w:sz w:val="21"/>
                <w:szCs w:val="21"/>
                <w:highlight w:val="none"/>
              </w:rPr>
            </w:pPr>
            <w:r>
              <w:rPr>
                <w:rFonts w:hint="eastAsia"/>
                <w:bCs/>
                <w:color w:val="auto"/>
                <w:sz w:val="21"/>
                <w:szCs w:val="21"/>
                <w:highlight w:val="none"/>
              </w:rPr>
              <w:t>正面：</w:t>
            </w:r>
          </w:p>
        </w:tc>
        <w:tc>
          <w:tcPr>
            <w:tcW w:w="4951" w:type="dxa"/>
          </w:tcPr>
          <w:p w14:paraId="21704BFE">
            <w:pPr>
              <w:adjustRightInd w:val="0"/>
              <w:snapToGrid w:val="0"/>
              <w:spacing w:line="288" w:lineRule="auto"/>
              <w:rPr>
                <w:bCs/>
                <w:color w:val="auto"/>
                <w:sz w:val="21"/>
                <w:szCs w:val="21"/>
                <w:highlight w:val="none"/>
              </w:rPr>
            </w:pPr>
            <w:r>
              <w:rPr>
                <w:rFonts w:hint="eastAsia"/>
                <w:bCs/>
                <w:color w:val="auto"/>
                <w:sz w:val="21"/>
                <w:szCs w:val="21"/>
                <w:highlight w:val="none"/>
              </w:rPr>
              <w:t>反面：</w:t>
            </w:r>
          </w:p>
        </w:tc>
      </w:tr>
    </w:tbl>
    <w:p w14:paraId="74B38EF4">
      <w:pPr>
        <w:adjustRightInd w:val="0"/>
        <w:snapToGrid w:val="0"/>
        <w:spacing w:line="288" w:lineRule="auto"/>
        <w:rPr>
          <w:rFonts w:cs="Times New Roman"/>
          <w:color w:val="auto"/>
          <w:sz w:val="21"/>
          <w:szCs w:val="21"/>
          <w:highlight w:val="none"/>
        </w:rPr>
      </w:pPr>
    </w:p>
    <w:p w14:paraId="5BBC12F0">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14:paraId="6EAFAB47">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w:t>
      </w:r>
      <w:r>
        <w:rPr>
          <w:rFonts w:hint="eastAsia" w:cs="Times New Roman"/>
          <w:b/>
          <w:bCs/>
          <w:color w:val="auto"/>
          <w:sz w:val="21"/>
          <w:szCs w:val="21"/>
          <w:highlight w:val="none"/>
          <w:lang w:eastAsia="zh-CN"/>
        </w:rPr>
        <w:t>202</w:t>
      </w:r>
      <w:r>
        <w:rPr>
          <w:rFonts w:hint="eastAsia" w:cs="Times New Roman"/>
          <w:b/>
          <w:bCs/>
          <w:color w:val="auto"/>
          <w:sz w:val="21"/>
          <w:szCs w:val="21"/>
          <w:highlight w:val="none"/>
          <w:lang w:val="en-US" w:eastAsia="zh-CN"/>
        </w:rPr>
        <w:t>5</w:t>
      </w:r>
      <w:r>
        <w:rPr>
          <w:rFonts w:hint="eastAsia" w:cs="Times New Roman"/>
          <w:b/>
          <w:bCs/>
          <w:color w:val="auto"/>
          <w:sz w:val="21"/>
          <w:szCs w:val="21"/>
          <w:highlight w:val="none"/>
          <w:lang w:eastAsia="zh-CN"/>
        </w:rPr>
        <w:t>年</w:t>
      </w:r>
      <w:r>
        <w:rPr>
          <w:rFonts w:hint="eastAsia" w:cs="Times New Roman"/>
          <w:b/>
          <w:bCs/>
          <w:color w:val="auto"/>
          <w:sz w:val="21"/>
          <w:szCs w:val="21"/>
          <w:highlight w:val="none"/>
          <w:lang w:val="en-US" w:eastAsia="zh-CN"/>
        </w:rPr>
        <w:t>1</w:t>
      </w:r>
      <w:r>
        <w:rPr>
          <w:rFonts w:hint="eastAsia" w:cs="Times New Roman"/>
          <w:b/>
          <w:bCs/>
          <w:color w:val="auto"/>
          <w:sz w:val="21"/>
          <w:szCs w:val="21"/>
          <w:highlight w:val="none"/>
          <w:lang w:eastAsia="zh-CN"/>
        </w:rPr>
        <w:t>月</w:t>
      </w:r>
      <w:r>
        <w:rPr>
          <w:rFonts w:hint="eastAsia" w:cs="Times New Roman"/>
          <w:b/>
          <w:bCs/>
          <w:color w:val="auto"/>
          <w:sz w:val="21"/>
          <w:szCs w:val="21"/>
          <w:highlight w:val="none"/>
        </w:rPr>
        <w:t>（含）以后任意一月）</w:t>
      </w:r>
    </w:p>
    <w:p w14:paraId="661ABC91">
      <w:pPr>
        <w:widowControl/>
        <w:jc w:val="left"/>
        <w:rPr>
          <w:color w:val="auto"/>
          <w:sz w:val="21"/>
          <w:szCs w:val="21"/>
          <w:highlight w:val="none"/>
        </w:rPr>
      </w:pPr>
      <w:r>
        <w:rPr>
          <w:color w:val="auto"/>
          <w:sz w:val="21"/>
          <w:szCs w:val="21"/>
          <w:highlight w:val="none"/>
        </w:rPr>
        <w:br w:type="page"/>
      </w:r>
    </w:p>
    <w:p w14:paraId="71DBF013">
      <w:pPr>
        <w:widowControl/>
        <w:jc w:val="left"/>
        <w:rPr>
          <w:color w:val="auto"/>
          <w:sz w:val="21"/>
          <w:szCs w:val="21"/>
          <w:highlight w:val="none"/>
        </w:rPr>
      </w:pPr>
    </w:p>
    <w:p w14:paraId="2F252842">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）项目经理无在建工程声明函</w:t>
      </w:r>
    </w:p>
    <w:p w14:paraId="496B68FC">
      <w:pPr>
        <w:pStyle w:val="15"/>
        <w:adjustRightInd w:val="0"/>
        <w:snapToGrid w:val="0"/>
        <w:spacing w:before="120" w:after="12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浙江省人防指挥工程管理所</w:t>
      </w:r>
      <w:r>
        <w:rPr>
          <w:rFonts w:hint="eastAsia" w:ascii="宋体" w:hAnsi="宋体" w:eastAsia="宋体" w:cs="宋体"/>
          <w:color w:val="auto"/>
          <w:sz w:val="21"/>
          <w:szCs w:val="21"/>
          <w:highlight w:val="none"/>
        </w:rPr>
        <w:t>、浙江求是招标代理有限公司：</w:t>
      </w:r>
    </w:p>
    <w:p w14:paraId="7A8A66CD">
      <w:pPr>
        <w:snapToGrid w:val="0"/>
        <w:spacing w:line="360" w:lineRule="auto"/>
        <w:ind w:firstLine="420" w:firstLineChars="200"/>
        <w:rPr>
          <w:color w:val="auto"/>
          <w:sz w:val="21"/>
          <w:szCs w:val="21"/>
          <w:highlight w:val="none"/>
          <w:u w:val="single"/>
        </w:rPr>
      </w:pPr>
      <w:r>
        <w:rPr>
          <w:rFonts w:hint="eastAsia"/>
          <w:color w:val="auto"/>
          <w:sz w:val="21"/>
          <w:szCs w:val="21"/>
          <w:highlight w:val="none"/>
        </w:rPr>
        <w:t>我方参加</w:t>
      </w:r>
      <w:r>
        <w:rPr>
          <w:rFonts w:hint="eastAsia"/>
          <w:color w:val="auto"/>
          <w:sz w:val="21"/>
          <w:szCs w:val="21"/>
          <w:highlight w:val="none"/>
          <w:u w:val="single"/>
        </w:rPr>
        <w:t xml:space="preserve"> </w:t>
      </w:r>
      <w:r>
        <w:rPr>
          <w:rFonts w:hint="eastAsia"/>
          <w:color w:val="auto"/>
          <w:sz w:val="21"/>
          <w:szCs w:val="21"/>
          <w:highlight w:val="none"/>
          <w:u w:val="single"/>
          <w:lang w:eastAsia="zh-CN"/>
        </w:rPr>
        <w:t>浙江省人防指挥工程管理所</w:t>
      </w:r>
      <w:r>
        <w:rPr>
          <w:rFonts w:hint="eastAsia"/>
          <w:color w:val="auto"/>
          <w:sz w:val="21"/>
          <w:szCs w:val="21"/>
          <w:highlight w:val="none"/>
        </w:rPr>
        <w:t>（采购人）</w:t>
      </w:r>
      <w:r>
        <w:rPr>
          <w:rFonts w:hint="eastAsia"/>
          <w:color w:val="auto"/>
          <w:sz w:val="21"/>
          <w:szCs w:val="21"/>
          <w:highlight w:val="none"/>
          <w:u w:val="single"/>
        </w:rPr>
        <w:t xml:space="preserve"> </w:t>
      </w:r>
      <w:r>
        <w:rPr>
          <w:rFonts w:hint="eastAsia"/>
          <w:color w:val="auto"/>
          <w:sz w:val="21"/>
          <w:szCs w:val="21"/>
          <w:highlight w:val="none"/>
          <w:u w:val="single"/>
          <w:lang w:eastAsia="zh-CN"/>
        </w:rPr>
        <w:t>前山山坡坡道边坡加固治理工程项目</w:t>
      </w:r>
      <w:r>
        <w:rPr>
          <w:rFonts w:hint="eastAsia"/>
          <w:color w:val="auto"/>
          <w:sz w:val="21"/>
          <w:szCs w:val="21"/>
          <w:highlight w:val="none"/>
        </w:rPr>
        <w:t>（项目名称）</w:t>
      </w:r>
      <w:r>
        <w:rPr>
          <w:rFonts w:hint="eastAsia"/>
          <w:color w:val="auto"/>
          <w:sz w:val="21"/>
          <w:szCs w:val="21"/>
          <w:highlight w:val="none"/>
          <w:u w:val="single"/>
        </w:rPr>
        <w:t xml:space="preserve"> </w:t>
      </w:r>
      <w:r>
        <w:rPr>
          <w:rFonts w:hint="eastAsia"/>
          <w:color w:val="auto"/>
          <w:sz w:val="21"/>
          <w:szCs w:val="21"/>
          <w:highlight w:val="none"/>
          <w:u w:val="single"/>
          <w:lang w:eastAsia="zh-CN"/>
        </w:rPr>
        <w:t>QSZBC250288ZGCSL</w:t>
      </w:r>
      <w:r>
        <w:rPr>
          <w:rFonts w:hint="eastAsia"/>
          <w:color w:val="auto"/>
          <w:sz w:val="21"/>
          <w:szCs w:val="21"/>
          <w:highlight w:val="none"/>
        </w:rPr>
        <w:t>（项目编号）采购活动，拟派项目经理_</w:t>
      </w:r>
      <w:r>
        <w:rPr>
          <w:color w:val="auto"/>
          <w:sz w:val="21"/>
          <w:szCs w:val="21"/>
          <w:highlight w:val="none"/>
        </w:rPr>
        <w:t>_________________________</w:t>
      </w:r>
      <w:r>
        <w:rPr>
          <w:rFonts w:hint="eastAsia"/>
          <w:color w:val="auto"/>
          <w:sz w:val="21"/>
          <w:szCs w:val="21"/>
          <w:highlight w:val="none"/>
        </w:rPr>
        <w:t>（</w:t>
      </w:r>
      <w:r>
        <w:rPr>
          <w:rFonts w:hint="eastAsia"/>
          <w:color w:val="auto"/>
          <w:sz w:val="21"/>
          <w:szCs w:val="21"/>
          <w:highlight w:val="none"/>
          <w:u w:val="single"/>
        </w:rPr>
        <w:t>姓名及身份证号码</w:t>
      </w:r>
      <w:r>
        <w:rPr>
          <w:rFonts w:hint="eastAsia"/>
          <w:color w:val="auto"/>
          <w:sz w:val="21"/>
          <w:szCs w:val="21"/>
          <w:highlight w:val="none"/>
        </w:rPr>
        <w:t>）无在建工程。</w:t>
      </w:r>
    </w:p>
    <w:p w14:paraId="76B6316E">
      <w:pPr>
        <w:snapToGrid w:val="0"/>
        <w:spacing w:line="360" w:lineRule="auto"/>
        <w:ind w:firstLine="420" w:firstLineChars="200"/>
        <w:rPr>
          <w:color w:val="auto"/>
          <w:kern w:val="0"/>
          <w:sz w:val="21"/>
          <w:szCs w:val="21"/>
          <w:highlight w:val="none"/>
        </w:rPr>
      </w:pPr>
      <w:r>
        <w:rPr>
          <w:rFonts w:hint="eastAsia"/>
          <w:color w:val="auto"/>
          <w:kern w:val="0"/>
          <w:sz w:val="21"/>
          <w:szCs w:val="21"/>
          <w:highlight w:val="none"/>
        </w:rPr>
        <w:t>本公司对上述声明的真实性负责。如有虚假，愿意承担相应法律责任，对此无任何异议。</w:t>
      </w:r>
    </w:p>
    <w:p w14:paraId="5FDD76A8">
      <w:pPr>
        <w:snapToGrid w:val="0"/>
        <w:spacing w:line="360" w:lineRule="auto"/>
        <w:ind w:firstLine="420" w:firstLineChars="200"/>
        <w:rPr>
          <w:color w:val="auto"/>
          <w:sz w:val="21"/>
          <w:szCs w:val="21"/>
          <w:highlight w:val="none"/>
        </w:rPr>
      </w:pPr>
      <w:r>
        <w:rPr>
          <w:rFonts w:hint="eastAsia"/>
          <w:color w:val="auto"/>
          <w:sz w:val="21"/>
          <w:szCs w:val="21"/>
          <w:highlight w:val="none"/>
        </w:rPr>
        <w:t>特此声明！</w:t>
      </w:r>
    </w:p>
    <w:p w14:paraId="6B4180A9">
      <w:pPr>
        <w:adjustRightInd w:val="0"/>
        <w:snapToGrid w:val="0"/>
        <w:spacing w:line="360" w:lineRule="auto"/>
        <w:ind w:firstLine="420" w:firstLineChars="200"/>
        <w:rPr>
          <w:color w:val="auto"/>
          <w:sz w:val="21"/>
          <w:szCs w:val="21"/>
          <w:highlight w:val="none"/>
        </w:rPr>
      </w:pPr>
    </w:p>
    <w:p w14:paraId="2925ACD4">
      <w:pPr>
        <w:adjustRightInd w:val="0"/>
        <w:snapToGrid w:val="0"/>
        <w:spacing w:line="360" w:lineRule="auto"/>
        <w:ind w:firstLine="422" w:firstLineChars="200"/>
        <w:rPr>
          <w:b/>
          <w:bCs/>
          <w:color w:val="auto"/>
          <w:sz w:val="21"/>
          <w:szCs w:val="21"/>
          <w:highlight w:val="none"/>
        </w:rPr>
      </w:pPr>
      <w:r>
        <w:rPr>
          <w:rFonts w:hint="eastAsia"/>
          <w:b/>
          <w:bCs/>
          <w:color w:val="auto"/>
          <w:sz w:val="21"/>
          <w:szCs w:val="21"/>
          <w:highlight w:val="none"/>
        </w:rPr>
        <w:t>供应商全称：（加盖单位公章）</w:t>
      </w:r>
    </w:p>
    <w:p w14:paraId="458B934C">
      <w:pPr>
        <w:pStyle w:val="67"/>
        <w:ind w:firstLine="420"/>
        <w:rPr>
          <w:rFonts w:ascii="宋体"/>
          <w:color w:val="auto"/>
          <w:sz w:val="21"/>
          <w:szCs w:val="21"/>
          <w:highlight w:val="none"/>
        </w:rPr>
      </w:pPr>
    </w:p>
    <w:p w14:paraId="196C85D2">
      <w:pPr>
        <w:pStyle w:val="67"/>
        <w:ind w:firstLine="420"/>
        <w:rPr>
          <w:rFonts w:ascii="宋体"/>
          <w:color w:val="auto"/>
          <w:sz w:val="21"/>
          <w:szCs w:val="21"/>
          <w:highlight w:val="none"/>
        </w:rPr>
      </w:pPr>
    </w:p>
    <w:p w14:paraId="2841179C">
      <w:pPr>
        <w:pStyle w:val="67"/>
        <w:ind w:firstLine="422"/>
        <w:rPr>
          <w:rFonts w:ascii="宋体"/>
          <w:b/>
          <w:bCs/>
          <w:color w:val="auto"/>
          <w:sz w:val="21"/>
          <w:szCs w:val="21"/>
          <w:highlight w:val="none"/>
        </w:rPr>
      </w:pPr>
      <w:r>
        <w:rPr>
          <w:rFonts w:hint="eastAsia" w:ascii="宋体"/>
          <w:b/>
          <w:bCs/>
          <w:color w:val="auto"/>
          <w:sz w:val="21"/>
          <w:szCs w:val="21"/>
          <w:highlight w:val="none"/>
        </w:rPr>
        <w:t>项目经理：（加盖项目经理执业章）</w:t>
      </w:r>
    </w:p>
    <w:p w14:paraId="6E82F2A0">
      <w:pPr>
        <w:pStyle w:val="12"/>
        <w:spacing w:line="360" w:lineRule="auto"/>
        <w:ind w:firstLine="404" w:firstLineChars="200"/>
        <w:jc w:val="right"/>
        <w:rPr>
          <w:rFonts w:hAnsi="宋体" w:cs="宋体"/>
          <w:color w:val="auto"/>
          <w:sz w:val="21"/>
          <w:szCs w:val="21"/>
          <w:highlight w:val="none"/>
        </w:rPr>
      </w:pPr>
    </w:p>
    <w:p w14:paraId="2FB629A4">
      <w:pPr>
        <w:pStyle w:val="12"/>
        <w:spacing w:line="360" w:lineRule="auto"/>
        <w:ind w:firstLine="404" w:firstLineChars="200"/>
        <w:jc w:val="right"/>
        <w:rPr>
          <w:rFonts w:hAnsi="宋体" w:cs="宋体"/>
          <w:color w:val="auto"/>
          <w:sz w:val="21"/>
          <w:szCs w:val="21"/>
          <w:highlight w:val="none"/>
        </w:rPr>
      </w:pPr>
    </w:p>
    <w:p w14:paraId="388D7B21">
      <w:pPr>
        <w:pStyle w:val="12"/>
        <w:spacing w:line="360" w:lineRule="auto"/>
        <w:ind w:firstLine="404" w:firstLineChars="200"/>
        <w:jc w:val="right"/>
        <w:rPr>
          <w:rFonts w:hAnsi="宋体" w:cs="宋体"/>
          <w:color w:val="auto"/>
          <w:sz w:val="21"/>
          <w:szCs w:val="21"/>
          <w:highlight w:val="none"/>
        </w:rPr>
      </w:pPr>
    </w:p>
    <w:p w14:paraId="0C3FF6CB">
      <w:pPr>
        <w:adjustRightInd w:val="0"/>
        <w:snapToGrid w:val="0"/>
        <w:spacing w:line="360" w:lineRule="auto"/>
        <w:rPr>
          <w:color w:val="auto"/>
          <w:sz w:val="21"/>
          <w:szCs w:val="21"/>
          <w:highlight w:val="none"/>
        </w:rPr>
      </w:pPr>
      <w:r>
        <w:rPr>
          <w:rFonts w:hint="eastAsia"/>
          <w:color w:val="auto"/>
          <w:sz w:val="21"/>
          <w:szCs w:val="21"/>
          <w:highlight w:val="none"/>
        </w:rPr>
        <w:t>日期：</w:t>
      </w:r>
      <w:r>
        <w:rPr>
          <w:rFonts w:hint="eastAsia"/>
          <w:color w:val="auto"/>
          <w:sz w:val="21"/>
          <w:szCs w:val="21"/>
          <w:highlight w:val="none"/>
          <w:lang w:val="en-US" w:eastAsia="zh-CN"/>
        </w:rPr>
        <w:t xml:space="preserve">  </w:t>
      </w:r>
      <w:r>
        <w:rPr>
          <w:rFonts w:hint="eastAsia"/>
          <w:color w:val="auto"/>
          <w:sz w:val="21"/>
          <w:szCs w:val="21"/>
          <w:highlight w:val="none"/>
        </w:rPr>
        <w:t>年  月  日</w:t>
      </w:r>
    </w:p>
    <w:p w14:paraId="023B6B7C">
      <w:pPr>
        <w:widowControl/>
        <w:jc w:val="left"/>
        <w:rPr>
          <w:color w:val="auto"/>
          <w:sz w:val="21"/>
          <w:szCs w:val="21"/>
          <w:highlight w:val="none"/>
        </w:rPr>
      </w:pPr>
      <w:r>
        <w:rPr>
          <w:color w:val="auto"/>
          <w:sz w:val="21"/>
          <w:szCs w:val="21"/>
          <w:highlight w:val="none"/>
        </w:rPr>
        <w:br w:type="page"/>
      </w:r>
    </w:p>
    <w:p w14:paraId="1D635EB2">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）分包意向协议（如有）</w:t>
      </w:r>
    </w:p>
    <w:p w14:paraId="22A538CE">
      <w:pPr>
        <w:adjustRightInd w:val="0"/>
        <w:snapToGrid w:val="0"/>
        <w:spacing w:line="288" w:lineRule="auto"/>
        <w:rPr>
          <w:color w:val="auto"/>
          <w:sz w:val="21"/>
          <w:szCs w:val="21"/>
          <w:highlight w:val="none"/>
        </w:rPr>
      </w:pPr>
    </w:p>
    <w:p w14:paraId="5C7B148C">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40FD7C97">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）供应商同类合同一览表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8"/>
        <w:gridCol w:w="1268"/>
        <w:gridCol w:w="1282"/>
        <w:gridCol w:w="1432"/>
        <w:gridCol w:w="1256"/>
        <w:gridCol w:w="899"/>
        <w:gridCol w:w="995"/>
        <w:gridCol w:w="1718"/>
      </w:tblGrid>
      <w:tr w14:paraId="7F5F1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8" w:type="dxa"/>
            <w:vAlign w:val="center"/>
          </w:tcPr>
          <w:p w14:paraId="4476F65D">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序号</w:t>
            </w:r>
          </w:p>
        </w:tc>
        <w:tc>
          <w:tcPr>
            <w:tcW w:w="1268" w:type="dxa"/>
            <w:vAlign w:val="center"/>
          </w:tcPr>
          <w:p w14:paraId="41CC1E2B">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采购人</w:t>
            </w:r>
          </w:p>
        </w:tc>
        <w:tc>
          <w:tcPr>
            <w:tcW w:w="1282" w:type="dxa"/>
            <w:vAlign w:val="center"/>
          </w:tcPr>
          <w:p w14:paraId="1CD10261">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项目名称</w:t>
            </w:r>
          </w:p>
        </w:tc>
        <w:tc>
          <w:tcPr>
            <w:tcW w:w="1432" w:type="dxa"/>
            <w:vAlign w:val="center"/>
          </w:tcPr>
          <w:p w14:paraId="54727BA0">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数量</w:t>
            </w:r>
          </w:p>
        </w:tc>
        <w:tc>
          <w:tcPr>
            <w:tcW w:w="1256" w:type="dxa"/>
            <w:vAlign w:val="center"/>
          </w:tcPr>
          <w:p w14:paraId="00B66FA4">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合同金额</w:t>
            </w:r>
          </w:p>
          <w:p w14:paraId="7531B3D2">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（万元）</w:t>
            </w:r>
          </w:p>
        </w:tc>
        <w:tc>
          <w:tcPr>
            <w:tcW w:w="899" w:type="dxa"/>
            <w:vAlign w:val="center"/>
          </w:tcPr>
          <w:p w14:paraId="7F6A4A20">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附件页码</w:t>
            </w:r>
          </w:p>
        </w:tc>
        <w:tc>
          <w:tcPr>
            <w:tcW w:w="995" w:type="dxa"/>
            <w:vAlign w:val="center"/>
          </w:tcPr>
          <w:p w14:paraId="1FDD36EE">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合同签订时间</w:t>
            </w:r>
          </w:p>
        </w:tc>
        <w:tc>
          <w:tcPr>
            <w:tcW w:w="1718" w:type="dxa"/>
            <w:vAlign w:val="center"/>
          </w:tcPr>
          <w:p w14:paraId="33B5479F">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采购人联系人</w:t>
            </w:r>
          </w:p>
          <w:p w14:paraId="4B27C9AB">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联系方式</w:t>
            </w:r>
          </w:p>
        </w:tc>
      </w:tr>
      <w:tr w14:paraId="5137D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8" w:type="dxa"/>
            <w:vAlign w:val="center"/>
          </w:tcPr>
          <w:p w14:paraId="11E36E03">
            <w:pPr>
              <w:adjustRightInd w:val="0"/>
              <w:snapToGrid w:val="0"/>
              <w:spacing w:line="288" w:lineRule="auto"/>
              <w:jc w:val="center"/>
              <w:rPr>
                <w:color w:val="auto"/>
                <w:kern w:val="0"/>
                <w:sz w:val="21"/>
                <w:szCs w:val="21"/>
                <w:highlight w:val="none"/>
              </w:rPr>
            </w:pPr>
          </w:p>
        </w:tc>
        <w:tc>
          <w:tcPr>
            <w:tcW w:w="1268" w:type="dxa"/>
            <w:vAlign w:val="center"/>
          </w:tcPr>
          <w:p w14:paraId="1DFA380B">
            <w:pPr>
              <w:adjustRightInd w:val="0"/>
              <w:snapToGrid w:val="0"/>
              <w:spacing w:line="288" w:lineRule="auto"/>
              <w:jc w:val="center"/>
              <w:rPr>
                <w:color w:val="auto"/>
                <w:kern w:val="0"/>
                <w:sz w:val="21"/>
                <w:szCs w:val="21"/>
                <w:highlight w:val="none"/>
              </w:rPr>
            </w:pPr>
          </w:p>
        </w:tc>
        <w:tc>
          <w:tcPr>
            <w:tcW w:w="1282" w:type="dxa"/>
            <w:vAlign w:val="center"/>
          </w:tcPr>
          <w:p w14:paraId="775F17D4">
            <w:pPr>
              <w:adjustRightInd w:val="0"/>
              <w:snapToGrid w:val="0"/>
              <w:spacing w:line="288" w:lineRule="auto"/>
              <w:jc w:val="center"/>
              <w:rPr>
                <w:color w:val="auto"/>
                <w:kern w:val="0"/>
                <w:sz w:val="21"/>
                <w:szCs w:val="21"/>
                <w:highlight w:val="none"/>
              </w:rPr>
            </w:pPr>
          </w:p>
        </w:tc>
        <w:tc>
          <w:tcPr>
            <w:tcW w:w="1432" w:type="dxa"/>
            <w:vAlign w:val="center"/>
          </w:tcPr>
          <w:p w14:paraId="310DFEA5">
            <w:pPr>
              <w:adjustRightInd w:val="0"/>
              <w:snapToGrid w:val="0"/>
              <w:spacing w:line="288" w:lineRule="auto"/>
              <w:jc w:val="center"/>
              <w:rPr>
                <w:color w:val="auto"/>
                <w:kern w:val="0"/>
                <w:sz w:val="21"/>
                <w:szCs w:val="21"/>
                <w:highlight w:val="none"/>
              </w:rPr>
            </w:pPr>
          </w:p>
        </w:tc>
        <w:tc>
          <w:tcPr>
            <w:tcW w:w="1256" w:type="dxa"/>
            <w:vAlign w:val="center"/>
          </w:tcPr>
          <w:p w14:paraId="2F9BCA31">
            <w:pPr>
              <w:adjustRightInd w:val="0"/>
              <w:snapToGrid w:val="0"/>
              <w:spacing w:line="288" w:lineRule="auto"/>
              <w:jc w:val="center"/>
              <w:rPr>
                <w:color w:val="auto"/>
                <w:kern w:val="0"/>
                <w:sz w:val="21"/>
                <w:szCs w:val="21"/>
                <w:highlight w:val="none"/>
              </w:rPr>
            </w:pPr>
          </w:p>
        </w:tc>
        <w:tc>
          <w:tcPr>
            <w:tcW w:w="899" w:type="dxa"/>
            <w:vAlign w:val="center"/>
          </w:tcPr>
          <w:p w14:paraId="6480783F">
            <w:pPr>
              <w:adjustRightInd w:val="0"/>
              <w:snapToGrid w:val="0"/>
              <w:spacing w:line="288" w:lineRule="auto"/>
              <w:jc w:val="center"/>
              <w:rPr>
                <w:color w:val="auto"/>
                <w:kern w:val="0"/>
                <w:sz w:val="21"/>
                <w:szCs w:val="21"/>
                <w:highlight w:val="none"/>
              </w:rPr>
            </w:pPr>
          </w:p>
        </w:tc>
        <w:tc>
          <w:tcPr>
            <w:tcW w:w="995" w:type="dxa"/>
            <w:vAlign w:val="center"/>
          </w:tcPr>
          <w:p w14:paraId="609D7C7F">
            <w:pPr>
              <w:adjustRightInd w:val="0"/>
              <w:snapToGrid w:val="0"/>
              <w:spacing w:line="288" w:lineRule="auto"/>
              <w:jc w:val="center"/>
              <w:rPr>
                <w:color w:val="auto"/>
                <w:kern w:val="0"/>
                <w:sz w:val="21"/>
                <w:szCs w:val="21"/>
                <w:highlight w:val="none"/>
              </w:rPr>
            </w:pPr>
          </w:p>
        </w:tc>
        <w:tc>
          <w:tcPr>
            <w:tcW w:w="1718" w:type="dxa"/>
            <w:vAlign w:val="center"/>
          </w:tcPr>
          <w:p w14:paraId="32B60E63">
            <w:pPr>
              <w:adjustRightInd w:val="0"/>
              <w:snapToGrid w:val="0"/>
              <w:spacing w:line="288" w:lineRule="auto"/>
              <w:jc w:val="center"/>
              <w:rPr>
                <w:color w:val="auto"/>
                <w:kern w:val="0"/>
                <w:sz w:val="21"/>
                <w:szCs w:val="21"/>
                <w:highlight w:val="none"/>
              </w:rPr>
            </w:pPr>
          </w:p>
        </w:tc>
      </w:tr>
      <w:tr w14:paraId="45CB7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8" w:type="dxa"/>
            <w:vAlign w:val="center"/>
          </w:tcPr>
          <w:p w14:paraId="7C4B7307">
            <w:pPr>
              <w:adjustRightInd w:val="0"/>
              <w:snapToGrid w:val="0"/>
              <w:spacing w:line="288" w:lineRule="auto"/>
              <w:jc w:val="center"/>
              <w:rPr>
                <w:color w:val="auto"/>
                <w:kern w:val="0"/>
                <w:sz w:val="21"/>
                <w:szCs w:val="21"/>
                <w:highlight w:val="none"/>
              </w:rPr>
            </w:pPr>
          </w:p>
        </w:tc>
        <w:tc>
          <w:tcPr>
            <w:tcW w:w="1268" w:type="dxa"/>
            <w:vAlign w:val="center"/>
          </w:tcPr>
          <w:p w14:paraId="22223238">
            <w:pPr>
              <w:adjustRightInd w:val="0"/>
              <w:snapToGrid w:val="0"/>
              <w:spacing w:line="288" w:lineRule="auto"/>
              <w:jc w:val="center"/>
              <w:rPr>
                <w:color w:val="auto"/>
                <w:kern w:val="0"/>
                <w:sz w:val="21"/>
                <w:szCs w:val="21"/>
                <w:highlight w:val="none"/>
              </w:rPr>
            </w:pPr>
          </w:p>
        </w:tc>
        <w:tc>
          <w:tcPr>
            <w:tcW w:w="1282" w:type="dxa"/>
            <w:vAlign w:val="center"/>
          </w:tcPr>
          <w:p w14:paraId="3C13BD99">
            <w:pPr>
              <w:adjustRightInd w:val="0"/>
              <w:snapToGrid w:val="0"/>
              <w:spacing w:line="288" w:lineRule="auto"/>
              <w:jc w:val="center"/>
              <w:rPr>
                <w:color w:val="auto"/>
                <w:kern w:val="0"/>
                <w:sz w:val="21"/>
                <w:szCs w:val="21"/>
                <w:highlight w:val="none"/>
              </w:rPr>
            </w:pPr>
          </w:p>
        </w:tc>
        <w:tc>
          <w:tcPr>
            <w:tcW w:w="1432" w:type="dxa"/>
            <w:vAlign w:val="center"/>
          </w:tcPr>
          <w:p w14:paraId="495FA471">
            <w:pPr>
              <w:adjustRightInd w:val="0"/>
              <w:snapToGrid w:val="0"/>
              <w:spacing w:line="288" w:lineRule="auto"/>
              <w:jc w:val="center"/>
              <w:rPr>
                <w:color w:val="auto"/>
                <w:kern w:val="0"/>
                <w:sz w:val="21"/>
                <w:szCs w:val="21"/>
                <w:highlight w:val="none"/>
              </w:rPr>
            </w:pPr>
          </w:p>
        </w:tc>
        <w:tc>
          <w:tcPr>
            <w:tcW w:w="1256" w:type="dxa"/>
            <w:vAlign w:val="center"/>
          </w:tcPr>
          <w:p w14:paraId="459D8B8D">
            <w:pPr>
              <w:adjustRightInd w:val="0"/>
              <w:snapToGrid w:val="0"/>
              <w:spacing w:line="288" w:lineRule="auto"/>
              <w:jc w:val="center"/>
              <w:rPr>
                <w:color w:val="auto"/>
                <w:kern w:val="0"/>
                <w:sz w:val="21"/>
                <w:szCs w:val="21"/>
                <w:highlight w:val="none"/>
              </w:rPr>
            </w:pPr>
          </w:p>
        </w:tc>
        <w:tc>
          <w:tcPr>
            <w:tcW w:w="899" w:type="dxa"/>
            <w:vAlign w:val="center"/>
          </w:tcPr>
          <w:p w14:paraId="5D03E6AA">
            <w:pPr>
              <w:adjustRightInd w:val="0"/>
              <w:snapToGrid w:val="0"/>
              <w:spacing w:line="288" w:lineRule="auto"/>
              <w:jc w:val="center"/>
              <w:rPr>
                <w:color w:val="auto"/>
                <w:kern w:val="0"/>
                <w:sz w:val="21"/>
                <w:szCs w:val="21"/>
                <w:highlight w:val="none"/>
              </w:rPr>
            </w:pPr>
          </w:p>
        </w:tc>
        <w:tc>
          <w:tcPr>
            <w:tcW w:w="995" w:type="dxa"/>
            <w:vAlign w:val="center"/>
          </w:tcPr>
          <w:p w14:paraId="7848B71B">
            <w:pPr>
              <w:adjustRightInd w:val="0"/>
              <w:snapToGrid w:val="0"/>
              <w:spacing w:line="288" w:lineRule="auto"/>
              <w:jc w:val="center"/>
              <w:rPr>
                <w:color w:val="auto"/>
                <w:kern w:val="0"/>
                <w:sz w:val="21"/>
                <w:szCs w:val="21"/>
                <w:highlight w:val="none"/>
              </w:rPr>
            </w:pPr>
          </w:p>
        </w:tc>
        <w:tc>
          <w:tcPr>
            <w:tcW w:w="1718" w:type="dxa"/>
            <w:vAlign w:val="center"/>
          </w:tcPr>
          <w:p w14:paraId="78CAF712">
            <w:pPr>
              <w:adjustRightInd w:val="0"/>
              <w:snapToGrid w:val="0"/>
              <w:spacing w:line="288" w:lineRule="auto"/>
              <w:jc w:val="center"/>
              <w:rPr>
                <w:color w:val="auto"/>
                <w:kern w:val="0"/>
                <w:sz w:val="21"/>
                <w:szCs w:val="21"/>
                <w:highlight w:val="none"/>
              </w:rPr>
            </w:pPr>
          </w:p>
        </w:tc>
      </w:tr>
      <w:tr w14:paraId="626DB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8" w:type="dxa"/>
            <w:vAlign w:val="center"/>
          </w:tcPr>
          <w:p w14:paraId="6DB0DB2F">
            <w:pPr>
              <w:adjustRightInd w:val="0"/>
              <w:snapToGrid w:val="0"/>
              <w:spacing w:line="288" w:lineRule="auto"/>
              <w:jc w:val="center"/>
              <w:rPr>
                <w:color w:val="auto"/>
                <w:kern w:val="0"/>
                <w:sz w:val="21"/>
                <w:szCs w:val="21"/>
                <w:highlight w:val="none"/>
              </w:rPr>
            </w:pPr>
          </w:p>
        </w:tc>
        <w:tc>
          <w:tcPr>
            <w:tcW w:w="1268" w:type="dxa"/>
            <w:vAlign w:val="center"/>
          </w:tcPr>
          <w:p w14:paraId="7A6E7327">
            <w:pPr>
              <w:adjustRightInd w:val="0"/>
              <w:snapToGrid w:val="0"/>
              <w:spacing w:line="288" w:lineRule="auto"/>
              <w:jc w:val="center"/>
              <w:rPr>
                <w:color w:val="auto"/>
                <w:kern w:val="0"/>
                <w:sz w:val="21"/>
                <w:szCs w:val="21"/>
                <w:highlight w:val="none"/>
              </w:rPr>
            </w:pPr>
          </w:p>
        </w:tc>
        <w:tc>
          <w:tcPr>
            <w:tcW w:w="1282" w:type="dxa"/>
            <w:vAlign w:val="center"/>
          </w:tcPr>
          <w:p w14:paraId="4BF4C672">
            <w:pPr>
              <w:adjustRightInd w:val="0"/>
              <w:snapToGrid w:val="0"/>
              <w:spacing w:line="288" w:lineRule="auto"/>
              <w:jc w:val="center"/>
              <w:rPr>
                <w:color w:val="auto"/>
                <w:kern w:val="0"/>
                <w:sz w:val="21"/>
                <w:szCs w:val="21"/>
                <w:highlight w:val="none"/>
              </w:rPr>
            </w:pPr>
          </w:p>
        </w:tc>
        <w:tc>
          <w:tcPr>
            <w:tcW w:w="1432" w:type="dxa"/>
            <w:vAlign w:val="center"/>
          </w:tcPr>
          <w:p w14:paraId="4946241F">
            <w:pPr>
              <w:adjustRightInd w:val="0"/>
              <w:snapToGrid w:val="0"/>
              <w:spacing w:line="288" w:lineRule="auto"/>
              <w:jc w:val="center"/>
              <w:rPr>
                <w:color w:val="auto"/>
                <w:kern w:val="0"/>
                <w:sz w:val="21"/>
                <w:szCs w:val="21"/>
                <w:highlight w:val="none"/>
              </w:rPr>
            </w:pPr>
          </w:p>
        </w:tc>
        <w:tc>
          <w:tcPr>
            <w:tcW w:w="1256" w:type="dxa"/>
            <w:vAlign w:val="center"/>
          </w:tcPr>
          <w:p w14:paraId="60B1F042">
            <w:pPr>
              <w:adjustRightInd w:val="0"/>
              <w:snapToGrid w:val="0"/>
              <w:spacing w:line="288" w:lineRule="auto"/>
              <w:jc w:val="center"/>
              <w:rPr>
                <w:color w:val="auto"/>
                <w:kern w:val="0"/>
                <w:sz w:val="21"/>
                <w:szCs w:val="21"/>
                <w:highlight w:val="none"/>
              </w:rPr>
            </w:pPr>
          </w:p>
        </w:tc>
        <w:tc>
          <w:tcPr>
            <w:tcW w:w="899" w:type="dxa"/>
            <w:vAlign w:val="center"/>
          </w:tcPr>
          <w:p w14:paraId="4E3B3511">
            <w:pPr>
              <w:adjustRightInd w:val="0"/>
              <w:snapToGrid w:val="0"/>
              <w:spacing w:line="288" w:lineRule="auto"/>
              <w:jc w:val="center"/>
              <w:rPr>
                <w:color w:val="auto"/>
                <w:kern w:val="0"/>
                <w:sz w:val="21"/>
                <w:szCs w:val="21"/>
                <w:highlight w:val="none"/>
              </w:rPr>
            </w:pPr>
          </w:p>
        </w:tc>
        <w:tc>
          <w:tcPr>
            <w:tcW w:w="995" w:type="dxa"/>
            <w:vAlign w:val="center"/>
          </w:tcPr>
          <w:p w14:paraId="29875269">
            <w:pPr>
              <w:adjustRightInd w:val="0"/>
              <w:snapToGrid w:val="0"/>
              <w:spacing w:line="288" w:lineRule="auto"/>
              <w:jc w:val="center"/>
              <w:rPr>
                <w:color w:val="auto"/>
                <w:kern w:val="0"/>
                <w:sz w:val="21"/>
                <w:szCs w:val="21"/>
                <w:highlight w:val="none"/>
              </w:rPr>
            </w:pPr>
          </w:p>
        </w:tc>
        <w:tc>
          <w:tcPr>
            <w:tcW w:w="1718" w:type="dxa"/>
            <w:vAlign w:val="center"/>
          </w:tcPr>
          <w:p w14:paraId="4359F2E9">
            <w:pPr>
              <w:adjustRightInd w:val="0"/>
              <w:snapToGrid w:val="0"/>
              <w:spacing w:line="288" w:lineRule="auto"/>
              <w:jc w:val="center"/>
              <w:rPr>
                <w:color w:val="auto"/>
                <w:kern w:val="0"/>
                <w:sz w:val="21"/>
                <w:szCs w:val="21"/>
                <w:highlight w:val="none"/>
              </w:rPr>
            </w:pPr>
          </w:p>
        </w:tc>
      </w:tr>
      <w:tr w14:paraId="29ABE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8" w:type="dxa"/>
            <w:vAlign w:val="center"/>
          </w:tcPr>
          <w:p w14:paraId="58DD998A">
            <w:pPr>
              <w:adjustRightInd w:val="0"/>
              <w:snapToGrid w:val="0"/>
              <w:spacing w:line="288" w:lineRule="auto"/>
              <w:jc w:val="center"/>
              <w:rPr>
                <w:color w:val="auto"/>
                <w:kern w:val="0"/>
                <w:sz w:val="21"/>
                <w:szCs w:val="21"/>
                <w:highlight w:val="none"/>
              </w:rPr>
            </w:pPr>
          </w:p>
        </w:tc>
        <w:tc>
          <w:tcPr>
            <w:tcW w:w="1268" w:type="dxa"/>
            <w:vAlign w:val="center"/>
          </w:tcPr>
          <w:p w14:paraId="410A8518">
            <w:pPr>
              <w:adjustRightInd w:val="0"/>
              <w:snapToGrid w:val="0"/>
              <w:spacing w:line="288" w:lineRule="auto"/>
              <w:jc w:val="center"/>
              <w:rPr>
                <w:color w:val="auto"/>
                <w:kern w:val="0"/>
                <w:sz w:val="21"/>
                <w:szCs w:val="21"/>
                <w:highlight w:val="none"/>
              </w:rPr>
            </w:pPr>
          </w:p>
        </w:tc>
        <w:tc>
          <w:tcPr>
            <w:tcW w:w="1282" w:type="dxa"/>
            <w:vAlign w:val="center"/>
          </w:tcPr>
          <w:p w14:paraId="7980CCEE">
            <w:pPr>
              <w:adjustRightInd w:val="0"/>
              <w:snapToGrid w:val="0"/>
              <w:spacing w:line="288" w:lineRule="auto"/>
              <w:jc w:val="center"/>
              <w:rPr>
                <w:color w:val="auto"/>
                <w:kern w:val="0"/>
                <w:sz w:val="21"/>
                <w:szCs w:val="21"/>
                <w:highlight w:val="none"/>
              </w:rPr>
            </w:pPr>
          </w:p>
        </w:tc>
        <w:tc>
          <w:tcPr>
            <w:tcW w:w="1432" w:type="dxa"/>
            <w:vAlign w:val="center"/>
          </w:tcPr>
          <w:p w14:paraId="6FA0480B">
            <w:pPr>
              <w:adjustRightInd w:val="0"/>
              <w:snapToGrid w:val="0"/>
              <w:spacing w:line="288" w:lineRule="auto"/>
              <w:jc w:val="center"/>
              <w:rPr>
                <w:color w:val="auto"/>
                <w:kern w:val="0"/>
                <w:sz w:val="21"/>
                <w:szCs w:val="21"/>
                <w:highlight w:val="none"/>
              </w:rPr>
            </w:pPr>
          </w:p>
        </w:tc>
        <w:tc>
          <w:tcPr>
            <w:tcW w:w="1256" w:type="dxa"/>
            <w:vAlign w:val="center"/>
          </w:tcPr>
          <w:p w14:paraId="3708456D">
            <w:pPr>
              <w:adjustRightInd w:val="0"/>
              <w:snapToGrid w:val="0"/>
              <w:spacing w:line="288" w:lineRule="auto"/>
              <w:jc w:val="center"/>
              <w:rPr>
                <w:color w:val="auto"/>
                <w:kern w:val="0"/>
                <w:sz w:val="21"/>
                <w:szCs w:val="21"/>
                <w:highlight w:val="none"/>
              </w:rPr>
            </w:pPr>
          </w:p>
        </w:tc>
        <w:tc>
          <w:tcPr>
            <w:tcW w:w="899" w:type="dxa"/>
            <w:vAlign w:val="center"/>
          </w:tcPr>
          <w:p w14:paraId="2BB88C86">
            <w:pPr>
              <w:adjustRightInd w:val="0"/>
              <w:snapToGrid w:val="0"/>
              <w:spacing w:line="288" w:lineRule="auto"/>
              <w:jc w:val="center"/>
              <w:rPr>
                <w:color w:val="auto"/>
                <w:kern w:val="0"/>
                <w:sz w:val="21"/>
                <w:szCs w:val="21"/>
                <w:highlight w:val="none"/>
              </w:rPr>
            </w:pPr>
          </w:p>
        </w:tc>
        <w:tc>
          <w:tcPr>
            <w:tcW w:w="995" w:type="dxa"/>
            <w:vAlign w:val="center"/>
          </w:tcPr>
          <w:p w14:paraId="75280571">
            <w:pPr>
              <w:adjustRightInd w:val="0"/>
              <w:snapToGrid w:val="0"/>
              <w:spacing w:line="288" w:lineRule="auto"/>
              <w:jc w:val="center"/>
              <w:rPr>
                <w:color w:val="auto"/>
                <w:kern w:val="0"/>
                <w:sz w:val="21"/>
                <w:szCs w:val="21"/>
                <w:highlight w:val="none"/>
              </w:rPr>
            </w:pPr>
          </w:p>
        </w:tc>
        <w:tc>
          <w:tcPr>
            <w:tcW w:w="1718" w:type="dxa"/>
            <w:vAlign w:val="center"/>
          </w:tcPr>
          <w:p w14:paraId="709594A5">
            <w:pPr>
              <w:adjustRightInd w:val="0"/>
              <w:snapToGrid w:val="0"/>
              <w:spacing w:line="288" w:lineRule="auto"/>
              <w:jc w:val="center"/>
              <w:rPr>
                <w:color w:val="auto"/>
                <w:kern w:val="0"/>
                <w:sz w:val="21"/>
                <w:szCs w:val="21"/>
                <w:highlight w:val="none"/>
              </w:rPr>
            </w:pPr>
          </w:p>
        </w:tc>
      </w:tr>
    </w:tbl>
    <w:p w14:paraId="77B5A626">
      <w:pPr>
        <w:adjustRightInd w:val="0"/>
        <w:snapToGrid w:val="0"/>
        <w:spacing w:line="288" w:lineRule="auto"/>
        <w:rPr>
          <w:color w:val="auto"/>
          <w:sz w:val="21"/>
          <w:szCs w:val="21"/>
          <w:highlight w:val="none"/>
        </w:rPr>
      </w:pPr>
    </w:p>
    <w:p w14:paraId="4FAFFF6A">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55DCA4BC">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14:paraId="515E20D4">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14:paraId="2A7C0B9A">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14:paraId="0379C324">
      <w:pPr>
        <w:adjustRightInd w:val="0"/>
        <w:snapToGrid w:val="0"/>
        <w:spacing w:line="288" w:lineRule="auto"/>
        <w:rPr>
          <w:color w:val="auto"/>
          <w:sz w:val="21"/>
          <w:szCs w:val="21"/>
          <w:highlight w:val="none"/>
        </w:rPr>
      </w:pPr>
    </w:p>
    <w:p w14:paraId="193CD503">
      <w:pPr>
        <w:adjustRightInd w:val="0"/>
        <w:snapToGrid w:val="0"/>
        <w:spacing w:line="288" w:lineRule="auto"/>
        <w:rPr>
          <w:color w:val="auto"/>
          <w:sz w:val="21"/>
          <w:szCs w:val="21"/>
          <w:highlight w:val="none"/>
        </w:rPr>
      </w:pPr>
    </w:p>
    <w:p w14:paraId="583F2F09">
      <w:pPr>
        <w:adjustRightInd w:val="0"/>
        <w:snapToGrid w:val="0"/>
        <w:spacing w:line="288" w:lineRule="auto"/>
        <w:rPr>
          <w:color w:val="auto"/>
          <w:sz w:val="21"/>
          <w:szCs w:val="21"/>
          <w:highlight w:val="none"/>
        </w:rPr>
      </w:pPr>
    </w:p>
    <w:p w14:paraId="508CECB9">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442E89D2">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38396A86">
      <w:pPr>
        <w:widowControl/>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14:paraId="6DE3BF03">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6</w:t>
      </w:r>
      <w:r>
        <w:rPr>
          <w:rFonts w:hint="eastAsia"/>
          <w:b/>
          <w:bCs/>
          <w:color w:val="auto"/>
          <w:sz w:val="21"/>
          <w:szCs w:val="21"/>
          <w:highlight w:val="none"/>
        </w:rPr>
        <w:t>）商务分相关证明材料（如有）</w:t>
      </w:r>
    </w:p>
    <w:p w14:paraId="6F4CB1C7">
      <w:pPr>
        <w:adjustRightInd w:val="0"/>
        <w:snapToGrid w:val="0"/>
        <w:spacing w:line="288" w:lineRule="auto"/>
        <w:rPr>
          <w:rFonts w:cs="Times New Roman"/>
          <w:b/>
          <w:bCs/>
          <w:color w:val="auto"/>
          <w:spacing w:val="-6"/>
          <w:sz w:val="21"/>
          <w:szCs w:val="21"/>
          <w:highlight w:val="none"/>
        </w:rPr>
      </w:pPr>
    </w:p>
    <w:p w14:paraId="6951D96E">
      <w:pPr>
        <w:adjustRightInd w:val="0"/>
        <w:snapToGrid w:val="0"/>
        <w:spacing w:line="288" w:lineRule="auto"/>
        <w:rPr>
          <w:rFonts w:cs="Times New Roman"/>
          <w:b/>
          <w:bCs/>
          <w:color w:val="auto"/>
          <w:spacing w:val="-6"/>
          <w:sz w:val="21"/>
          <w:szCs w:val="21"/>
          <w:highlight w:val="none"/>
        </w:rPr>
      </w:pPr>
    </w:p>
    <w:p w14:paraId="00752A8E">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55F005C5">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7</w:t>
      </w:r>
      <w:r>
        <w:rPr>
          <w:rFonts w:hint="eastAsia"/>
          <w:b/>
          <w:bCs/>
          <w:color w:val="auto"/>
          <w:sz w:val="21"/>
          <w:szCs w:val="21"/>
          <w:highlight w:val="none"/>
        </w:rPr>
        <w:t>）采购需求偏离表</w:t>
      </w:r>
    </w:p>
    <w:p w14:paraId="6E35754D">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浙江省人防指挥工程管理所</w:t>
      </w:r>
    </w:p>
    <w:p w14:paraId="570AEADB">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前山山坡坡道边坡加固治理工程项目</w:t>
      </w:r>
    </w:p>
    <w:p w14:paraId="6CBFCEAD">
      <w:pPr>
        <w:adjustRightInd w:val="0"/>
        <w:snapToGrid w:val="0"/>
        <w:spacing w:line="288" w:lineRule="auto"/>
        <w:rPr>
          <w:color w:val="auto"/>
          <w:sz w:val="21"/>
          <w:szCs w:val="21"/>
          <w:highlight w:val="none"/>
        </w:rPr>
      </w:pPr>
      <w:r>
        <w:rPr>
          <w:rFonts w:hint="eastAsia"/>
          <w:color w:val="auto"/>
          <w:sz w:val="21"/>
          <w:szCs w:val="21"/>
          <w:highlight w:val="none"/>
        </w:rPr>
        <w:t>项目编号：</w:t>
      </w:r>
      <w:r>
        <w:rPr>
          <w:rFonts w:hint="eastAsia"/>
          <w:color w:val="auto"/>
          <w:sz w:val="21"/>
          <w:szCs w:val="21"/>
          <w:highlight w:val="none"/>
          <w:lang w:eastAsia="zh-CN"/>
        </w:rPr>
        <w:t>QSZBC250288ZGCSL</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3200"/>
        <w:gridCol w:w="2836"/>
        <w:gridCol w:w="2354"/>
      </w:tblGrid>
      <w:tr w14:paraId="3B0CE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3339FA2E">
            <w:pPr>
              <w:adjustRightInd w:val="0"/>
              <w:snapToGrid w:val="0"/>
              <w:spacing w:line="288" w:lineRule="auto"/>
              <w:jc w:val="center"/>
              <w:rPr>
                <w:b/>
                <w:bCs/>
                <w:color w:val="auto"/>
                <w:kern w:val="0"/>
                <w:sz w:val="21"/>
                <w:szCs w:val="21"/>
                <w:highlight w:val="none"/>
              </w:rPr>
            </w:pPr>
            <w:bookmarkStart w:id="634" w:name="_Hlk97040421"/>
            <w:r>
              <w:rPr>
                <w:rFonts w:hint="eastAsia"/>
                <w:b/>
                <w:bCs/>
                <w:color w:val="auto"/>
                <w:kern w:val="0"/>
                <w:sz w:val="21"/>
                <w:szCs w:val="21"/>
                <w:highlight w:val="none"/>
              </w:rPr>
              <w:t>序号</w:t>
            </w:r>
          </w:p>
        </w:tc>
        <w:tc>
          <w:tcPr>
            <w:tcW w:w="3200" w:type="dxa"/>
            <w:vAlign w:val="center"/>
          </w:tcPr>
          <w:p w14:paraId="7F649312">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磋商文件要求</w:t>
            </w:r>
          </w:p>
        </w:tc>
        <w:tc>
          <w:tcPr>
            <w:tcW w:w="2836" w:type="dxa"/>
            <w:vAlign w:val="center"/>
          </w:tcPr>
          <w:p w14:paraId="32132CC2">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响应规格</w:t>
            </w:r>
          </w:p>
        </w:tc>
        <w:tc>
          <w:tcPr>
            <w:tcW w:w="2354" w:type="dxa"/>
            <w:vAlign w:val="center"/>
          </w:tcPr>
          <w:p w14:paraId="50B15512">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是否偏离（提供说明）</w:t>
            </w:r>
          </w:p>
        </w:tc>
      </w:tr>
      <w:tr w14:paraId="1111E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343DF314">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w:t>
            </w:r>
          </w:p>
        </w:tc>
        <w:tc>
          <w:tcPr>
            <w:tcW w:w="3200" w:type="dxa"/>
            <w:vAlign w:val="center"/>
          </w:tcPr>
          <w:p w14:paraId="14E7755E">
            <w:pPr>
              <w:adjustRightInd w:val="0"/>
              <w:snapToGrid w:val="0"/>
              <w:spacing w:line="288" w:lineRule="auto"/>
              <w:jc w:val="center"/>
              <w:rPr>
                <w:color w:val="auto"/>
                <w:kern w:val="0"/>
                <w:sz w:val="21"/>
                <w:szCs w:val="21"/>
                <w:highlight w:val="none"/>
              </w:rPr>
            </w:pPr>
          </w:p>
        </w:tc>
        <w:tc>
          <w:tcPr>
            <w:tcW w:w="2836" w:type="dxa"/>
            <w:vAlign w:val="center"/>
          </w:tcPr>
          <w:p w14:paraId="67048E15">
            <w:pPr>
              <w:adjustRightInd w:val="0"/>
              <w:snapToGrid w:val="0"/>
              <w:spacing w:line="288" w:lineRule="auto"/>
              <w:jc w:val="center"/>
              <w:rPr>
                <w:color w:val="auto"/>
                <w:kern w:val="0"/>
                <w:sz w:val="21"/>
                <w:szCs w:val="21"/>
                <w:highlight w:val="none"/>
              </w:rPr>
            </w:pPr>
          </w:p>
        </w:tc>
        <w:tc>
          <w:tcPr>
            <w:tcW w:w="2354" w:type="dxa"/>
            <w:vAlign w:val="center"/>
          </w:tcPr>
          <w:p w14:paraId="6E0B5999">
            <w:pPr>
              <w:adjustRightInd w:val="0"/>
              <w:snapToGrid w:val="0"/>
              <w:spacing w:line="288" w:lineRule="auto"/>
              <w:jc w:val="center"/>
              <w:rPr>
                <w:color w:val="auto"/>
                <w:kern w:val="0"/>
                <w:sz w:val="21"/>
                <w:szCs w:val="21"/>
                <w:highlight w:val="none"/>
              </w:rPr>
            </w:pPr>
          </w:p>
        </w:tc>
      </w:tr>
      <w:tr w14:paraId="3B06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7A28DF17">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2</w:t>
            </w:r>
          </w:p>
        </w:tc>
        <w:tc>
          <w:tcPr>
            <w:tcW w:w="3200" w:type="dxa"/>
            <w:vAlign w:val="center"/>
          </w:tcPr>
          <w:p w14:paraId="6D771143">
            <w:pPr>
              <w:adjustRightInd w:val="0"/>
              <w:snapToGrid w:val="0"/>
              <w:spacing w:line="288" w:lineRule="auto"/>
              <w:jc w:val="center"/>
              <w:rPr>
                <w:color w:val="auto"/>
                <w:kern w:val="0"/>
                <w:sz w:val="21"/>
                <w:szCs w:val="21"/>
                <w:highlight w:val="none"/>
              </w:rPr>
            </w:pPr>
          </w:p>
        </w:tc>
        <w:tc>
          <w:tcPr>
            <w:tcW w:w="2836" w:type="dxa"/>
            <w:vAlign w:val="center"/>
          </w:tcPr>
          <w:p w14:paraId="2567ADFA">
            <w:pPr>
              <w:adjustRightInd w:val="0"/>
              <w:snapToGrid w:val="0"/>
              <w:spacing w:line="288" w:lineRule="auto"/>
              <w:jc w:val="center"/>
              <w:rPr>
                <w:color w:val="auto"/>
                <w:kern w:val="0"/>
                <w:sz w:val="21"/>
                <w:szCs w:val="21"/>
                <w:highlight w:val="none"/>
              </w:rPr>
            </w:pPr>
          </w:p>
        </w:tc>
        <w:tc>
          <w:tcPr>
            <w:tcW w:w="2354" w:type="dxa"/>
            <w:vAlign w:val="center"/>
          </w:tcPr>
          <w:p w14:paraId="4E15D4D3">
            <w:pPr>
              <w:adjustRightInd w:val="0"/>
              <w:snapToGrid w:val="0"/>
              <w:spacing w:line="288" w:lineRule="auto"/>
              <w:jc w:val="center"/>
              <w:rPr>
                <w:color w:val="auto"/>
                <w:kern w:val="0"/>
                <w:sz w:val="21"/>
                <w:szCs w:val="21"/>
                <w:highlight w:val="none"/>
              </w:rPr>
            </w:pPr>
          </w:p>
        </w:tc>
      </w:tr>
      <w:tr w14:paraId="677D4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4C129FA2">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w:t>
            </w:r>
          </w:p>
        </w:tc>
        <w:tc>
          <w:tcPr>
            <w:tcW w:w="3200" w:type="dxa"/>
            <w:vAlign w:val="center"/>
          </w:tcPr>
          <w:p w14:paraId="5871776A">
            <w:pPr>
              <w:adjustRightInd w:val="0"/>
              <w:snapToGrid w:val="0"/>
              <w:spacing w:line="288" w:lineRule="auto"/>
              <w:jc w:val="center"/>
              <w:rPr>
                <w:color w:val="auto"/>
                <w:kern w:val="0"/>
                <w:sz w:val="21"/>
                <w:szCs w:val="21"/>
                <w:highlight w:val="none"/>
              </w:rPr>
            </w:pPr>
          </w:p>
        </w:tc>
        <w:tc>
          <w:tcPr>
            <w:tcW w:w="2836" w:type="dxa"/>
            <w:vAlign w:val="center"/>
          </w:tcPr>
          <w:p w14:paraId="338B382C">
            <w:pPr>
              <w:adjustRightInd w:val="0"/>
              <w:snapToGrid w:val="0"/>
              <w:spacing w:line="288" w:lineRule="auto"/>
              <w:jc w:val="center"/>
              <w:rPr>
                <w:color w:val="auto"/>
                <w:kern w:val="0"/>
                <w:sz w:val="21"/>
                <w:szCs w:val="21"/>
                <w:highlight w:val="none"/>
              </w:rPr>
            </w:pPr>
          </w:p>
        </w:tc>
        <w:tc>
          <w:tcPr>
            <w:tcW w:w="2354" w:type="dxa"/>
            <w:vAlign w:val="center"/>
          </w:tcPr>
          <w:p w14:paraId="67151869">
            <w:pPr>
              <w:adjustRightInd w:val="0"/>
              <w:snapToGrid w:val="0"/>
              <w:spacing w:line="288" w:lineRule="auto"/>
              <w:jc w:val="center"/>
              <w:rPr>
                <w:color w:val="auto"/>
                <w:kern w:val="0"/>
                <w:sz w:val="21"/>
                <w:szCs w:val="21"/>
                <w:highlight w:val="none"/>
              </w:rPr>
            </w:pPr>
          </w:p>
        </w:tc>
      </w:tr>
      <w:tr w14:paraId="58FAF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7788BDC">
            <w:pPr>
              <w:adjustRightInd w:val="0"/>
              <w:snapToGrid w:val="0"/>
              <w:spacing w:line="288" w:lineRule="auto"/>
              <w:jc w:val="center"/>
              <w:rPr>
                <w:color w:val="auto"/>
                <w:kern w:val="0"/>
                <w:sz w:val="21"/>
                <w:szCs w:val="21"/>
                <w:highlight w:val="none"/>
              </w:rPr>
            </w:pPr>
          </w:p>
        </w:tc>
        <w:tc>
          <w:tcPr>
            <w:tcW w:w="3200" w:type="dxa"/>
            <w:vAlign w:val="center"/>
          </w:tcPr>
          <w:p w14:paraId="67000CB3">
            <w:pPr>
              <w:adjustRightInd w:val="0"/>
              <w:snapToGrid w:val="0"/>
              <w:spacing w:line="288" w:lineRule="auto"/>
              <w:jc w:val="center"/>
              <w:rPr>
                <w:color w:val="auto"/>
                <w:kern w:val="0"/>
                <w:sz w:val="21"/>
                <w:szCs w:val="21"/>
                <w:highlight w:val="none"/>
              </w:rPr>
            </w:pPr>
          </w:p>
        </w:tc>
        <w:tc>
          <w:tcPr>
            <w:tcW w:w="2836" w:type="dxa"/>
            <w:vAlign w:val="center"/>
          </w:tcPr>
          <w:p w14:paraId="54F4F684">
            <w:pPr>
              <w:adjustRightInd w:val="0"/>
              <w:snapToGrid w:val="0"/>
              <w:spacing w:line="288" w:lineRule="auto"/>
              <w:jc w:val="center"/>
              <w:rPr>
                <w:color w:val="auto"/>
                <w:kern w:val="0"/>
                <w:sz w:val="21"/>
                <w:szCs w:val="21"/>
                <w:highlight w:val="none"/>
              </w:rPr>
            </w:pPr>
          </w:p>
        </w:tc>
        <w:tc>
          <w:tcPr>
            <w:tcW w:w="2354" w:type="dxa"/>
            <w:vAlign w:val="center"/>
          </w:tcPr>
          <w:p w14:paraId="4010BB47">
            <w:pPr>
              <w:adjustRightInd w:val="0"/>
              <w:snapToGrid w:val="0"/>
              <w:spacing w:line="288" w:lineRule="auto"/>
              <w:jc w:val="center"/>
              <w:rPr>
                <w:color w:val="auto"/>
                <w:kern w:val="0"/>
                <w:sz w:val="21"/>
                <w:szCs w:val="21"/>
                <w:highlight w:val="none"/>
              </w:rPr>
            </w:pPr>
          </w:p>
        </w:tc>
      </w:tr>
      <w:tr w14:paraId="045D7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7CADFAD5">
            <w:pPr>
              <w:adjustRightInd w:val="0"/>
              <w:snapToGrid w:val="0"/>
              <w:spacing w:line="288" w:lineRule="auto"/>
              <w:jc w:val="center"/>
              <w:rPr>
                <w:color w:val="auto"/>
                <w:kern w:val="0"/>
                <w:sz w:val="21"/>
                <w:szCs w:val="21"/>
                <w:highlight w:val="none"/>
              </w:rPr>
            </w:pPr>
          </w:p>
        </w:tc>
        <w:tc>
          <w:tcPr>
            <w:tcW w:w="3200" w:type="dxa"/>
            <w:vAlign w:val="center"/>
          </w:tcPr>
          <w:p w14:paraId="2126B5E2">
            <w:pPr>
              <w:adjustRightInd w:val="0"/>
              <w:snapToGrid w:val="0"/>
              <w:spacing w:line="288" w:lineRule="auto"/>
              <w:jc w:val="center"/>
              <w:rPr>
                <w:color w:val="auto"/>
                <w:kern w:val="0"/>
                <w:sz w:val="21"/>
                <w:szCs w:val="21"/>
                <w:highlight w:val="none"/>
              </w:rPr>
            </w:pPr>
          </w:p>
        </w:tc>
        <w:tc>
          <w:tcPr>
            <w:tcW w:w="2836" w:type="dxa"/>
            <w:vAlign w:val="center"/>
          </w:tcPr>
          <w:p w14:paraId="1B65B4F6">
            <w:pPr>
              <w:adjustRightInd w:val="0"/>
              <w:snapToGrid w:val="0"/>
              <w:spacing w:line="288" w:lineRule="auto"/>
              <w:jc w:val="center"/>
              <w:rPr>
                <w:color w:val="auto"/>
                <w:kern w:val="0"/>
                <w:sz w:val="21"/>
                <w:szCs w:val="21"/>
                <w:highlight w:val="none"/>
              </w:rPr>
            </w:pPr>
          </w:p>
        </w:tc>
        <w:tc>
          <w:tcPr>
            <w:tcW w:w="2354" w:type="dxa"/>
            <w:vAlign w:val="center"/>
          </w:tcPr>
          <w:p w14:paraId="66FE51CD">
            <w:pPr>
              <w:adjustRightInd w:val="0"/>
              <w:snapToGrid w:val="0"/>
              <w:spacing w:line="288" w:lineRule="auto"/>
              <w:jc w:val="center"/>
              <w:rPr>
                <w:color w:val="auto"/>
                <w:kern w:val="0"/>
                <w:sz w:val="21"/>
                <w:szCs w:val="21"/>
                <w:highlight w:val="none"/>
              </w:rPr>
            </w:pPr>
          </w:p>
        </w:tc>
      </w:tr>
      <w:tr w14:paraId="68CD0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69482208">
            <w:pPr>
              <w:adjustRightInd w:val="0"/>
              <w:snapToGrid w:val="0"/>
              <w:spacing w:line="288" w:lineRule="auto"/>
              <w:jc w:val="center"/>
              <w:rPr>
                <w:color w:val="auto"/>
                <w:kern w:val="0"/>
                <w:sz w:val="21"/>
                <w:szCs w:val="21"/>
                <w:highlight w:val="none"/>
              </w:rPr>
            </w:pPr>
          </w:p>
        </w:tc>
        <w:tc>
          <w:tcPr>
            <w:tcW w:w="3200" w:type="dxa"/>
            <w:vAlign w:val="center"/>
          </w:tcPr>
          <w:p w14:paraId="7E9159C6">
            <w:pPr>
              <w:adjustRightInd w:val="0"/>
              <w:snapToGrid w:val="0"/>
              <w:spacing w:line="288" w:lineRule="auto"/>
              <w:jc w:val="center"/>
              <w:rPr>
                <w:color w:val="auto"/>
                <w:kern w:val="0"/>
                <w:sz w:val="21"/>
                <w:szCs w:val="21"/>
                <w:highlight w:val="none"/>
              </w:rPr>
            </w:pPr>
          </w:p>
        </w:tc>
        <w:tc>
          <w:tcPr>
            <w:tcW w:w="2836" w:type="dxa"/>
            <w:vAlign w:val="center"/>
          </w:tcPr>
          <w:p w14:paraId="6455DFEF">
            <w:pPr>
              <w:adjustRightInd w:val="0"/>
              <w:snapToGrid w:val="0"/>
              <w:spacing w:line="288" w:lineRule="auto"/>
              <w:jc w:val="center"/>
              <w:rPr>
                <w:color w:val="auto"/>
                <w:kern w:val="0"/>
                <w:sz w:val="21"/>
                <w:szCs w:val="21"/>
                <w:highlight w:val="none"/>
              </w:rPr>
            </w:pPr>
          </w:p>
        </w:tc>
        <w:tc>
          <w:tcPr>
            <w:tcW w:w="2354" w:type="dxa"/>
            <w:vAlign w:val="center"/>
          </w:tcPr>
          <w:p w14:paraId="3040237B">
            <w:pPr>
              <w:adjustRightInd w:val="0"/>
              <w:snapToGrid w:val="0"/>
              <w:spacing w:line="288" w:lineRule="auto"/>
              <w:jc w:val="center"/>
              <w:rPr>
                <w:color w:val="auto"/>
                <w:kern w:val="0"/>
                <w:sz w:val="21"/>
                <w:szCs w:val="21"/>
                <w:highlight w:val="none"/>
              </w:rPr>
            </w:pPr>
          </w:p>
        </w:tc>
      </w:tr>
      <w:tr w14:paraId="47ECC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6FF3C039">
            <w:pPr>
              <w:adjustRightInd w:val="0"/>
              <w:snapToGrid w:val="0"/>
              <w:spacing w:line="288" w:lineRule="auto"/>
              <w:jc w:val="center"/>
              <w:rPr>
                <w:color w:val="auto"/>
                <w:kern w:val="0"/>
                <w:sz w:val="21"/>
                <w:szCs w:val="21"/>
                <w:highlight w:val="none"/>
              </w:rPr>
            </w:pPr>
          </w:p>
        </w:tc>
        <w:tc>
          <w:tcPr>
            <w:tcW w:w="3200" w:type="dxa"/>
            <w:vAlign w:val="center"/>
          </w:tcPr>
          <w:p w14:paraId="5BAF7550">
            <w:pPr>
              <w:adjustRightInd w:val="0"/>
              <w:snapToGrid w:val="0"/>
              <w:spacing w:line="288" w:lineRule="auto"/>
              <w:jc w:val="center"/>
              <w:rPr>
                <w:color w:val="auto"/>
                <w:kern w:val="0"/>
                <w:sz w:val="21"/>
                <w:szCs w:val="21"/>
                <w:highlight w:val="none"/>
              </w:rPr>
            </w:pPr>
          </w:p>
        </w:tc>
        <w:tc>
          <w:tcPr>
            <w:tcW w:w="2836" w:type="dxa"/>
            <w:vAlign w:val="center"/>
          </w:tcPr>
          <w:p w14:paraId="153762A0">
            <w:pPr>
              <w:adjustRightInd w:val="0"/>
              <w:snapToGrid w:val="0"/>
              <w:spacing w:line="288" w:lineRule="auto"/>
              <w:jc w:val="center"/>
              <w:rPr>
                <w:color w:val="auto"/>
                <w:kern w:val="0"/>
                <w:sz w:val="21"/>
                <w:szCs w:val="21"/>
                <w:highlight w:val="none"/>
              </w:rPr>
            </w:pPr>
          </w:p>
        </w:tc>
        <w:tc>
          <w:tcPr>
            <w:tcW w:w="2354" w:type="dxa"/>
            <w:vAlign w:val="center"/>
          </w:tcPr>
          <w:p w14:paraId="688654EF">
            <w:pPr>
              <w:adjustRightInd w:val="0"/>
              <w:snapToGrid w:val="0"/>
              <w:spacing w:line="288" w:lineRule="auto"/>
              <w:jc w:val="center"/>
              <w:rPr>
                <w:color w:val="auto"/>
                <w:kern w:val="0"/>
                <w:sz w:val="21"/>
                <w:szCs w:val="21"/>
                <w:highlight w:val="none"/>
              </w:rPr>
            </w:pPr>
          </w:p>
        </w:tc>
      </w:tr>
      <w:tr w14:paraId="7DDDE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39CD07AD">
            <w:pPr>
              <w:adjustRightInd w:val="0"/>
              <w:snapToGrid w:val="0"/>
              <w:spacing w:line="288" w:lineRule="auto"/>
              <w:jc w:val="center"/>
              <w:rPr>
                <w:color w:val="auto"/>
                <w:kern w:val="0"/>
                <w:sz w:val="21"/>
                <w:szCs w:val="21"/>
                <w:highlight w:val="none"/>
              </w:rPr>
            </w:pPr>
          </w:p>
        </w:tc>
        <w:tc>
          <w:tcPr>
            <w:tcW w:w="3200" w:type="dxa"/>
            <w:vAlign w:val="center"/>
          </w:tcPr>
          <w:p w14:paraId="4ADAF301">
            <w:pPr>
              <w:adjustRightInd w:val="0"/>
              <w:snapToGrid w:val="0"/>
              <w:spacing w:line="288" w:lineRule="auto"/>
              <w:jc w:val="center"/>
              <w:rPr>
                <w:color w:val="auto"/>
                <w:kern w:val="0"/>
                <w:sz w:val="21"/>
                <w:szCs w:val="21"/>
                <w:highlight w:val="none"/>
              </w:rPr>
            </w:pPr>
          </w:p>
        </w:tc>
        <w:tc>
          <w:tcPr>
            <w:tcW w:w="2836" w:type="dxa"/>
            <w:vAlign w:val="center"/>
          </w:tcPr>
          <w:p w14:paraId="16E5A890">
            <w:pPr>
              <w:adjustRightInd w:val="0"/>
              <w:snapToGrid w:val="0"/>
              <w:spacing w:line="288" w:lineRule="auto"/>
              <w:jc w:val="center"/>
              <w:rPr>
                <w:color w:val="auto"/>
                <w:kern w:val="0"/>
                <w:sz w:val="21"/>
                <w:szCs w:val="21"/>
                <w:highlight w:val="none"/>
              </w:rPr>
            </w:pPr>
          </w:p>
        </w:tc>
        <w:tc>
          <w:tcPr>
            <w:tcW w:w="2354" w:type="dxa"/>
            <w:vAlign w:val="center"/>
          </w:tcPr>
          <w:p w14:paraId="5C930A01">
            <w:pPr>
              <w:adjustRightInd w:val="0"/>
              <w:snapToGrid w:val="0"/>
              <w:spacing w:line="288" w:lineRule="auto"/>
              <w:jc w:val="center"/>
              <w:rPr>
                <w:color w:val="auto"/>
                <w:kern w:val="0"/>
                <w:sz w:val="21"/>
                <w:szCs w:val="21"/>
                <w:highlight w:val="none"/>
              </w:rPr>
            </w:pPr>
          </w:p>
        </w:tc>
      </w:tr>
      <w:tr w14:paraId="0EBA5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46505083">
            <w:pPr>
              <w:adjustRightInd w:val="0"/>
              <w:snapToGrid w:val="0"/>
              <w:spacing w:line="288" w:lineRule="auto"/>
              <w:jc w:val="center"/>
              <w:rPr>
                <w:color w:val="auto"/>
                <w:kern w:val="0"/>
                <w:sz w:val="21"/>
                <w:szCs w:val="21"/>
                <w:highlight w:val="none"/>
              </w:rPr>
            </w:pPr>
          </w:p>
        </w:tc>
        <w:tc>
          <w:tcPr>
            <w:tcW w:w="3200" w:type="dxa"/>
            <w:vAlign w:val="center"/>
          </w:tcPr>
          <w:p w14:paraId="3BE638A9">
            <w:pPr>
              <w:adjustRightInd w:val="0"/>
              <w:snapToGrid w:val="0"/>
              <w:spacing w:line="288" w:lineRule="auto"/>
              <w:jc w:val="center"/>
              <w:rPr>
                <w:color w:val="auto"/>
                <w:kern w:val="0"/>
                <w:sz w:val="21"/>
                <w:szCs w:val="21"/>
                <w:highlight w:val="none"/>
              </w:rPr>
            </w:pPr>
          </w:p>
        </w:tc>
        <w:tc>
          <w:tcPr>
            <w:tcW w:w="2836" w:type="dxa"/>
            <w:vAlign w:val="center"/>
          </w:tcPr>
          <w:p w14:paraId="4AE0EEFA">
            <w:pPr>
              <w:adjustRightInd w:val="0"/>
              <w:snapToGrid w:val="0"/>
              <w:spacing w:line="288" w:lineRule="auto"/>
              <w:jc w:val="center"/>
              <w:rPr>
                <w:color w:val="auto"/>
                <w:kern w:val="0"/>
                <w:sz w:val="21"/>
                <w:szCs w:val="21"/>
                <w:highlight w:val="none"/>
              </w:rPr>
            </w:pPr>
          </w:p>
        </w:tc>
        <w:tc>
          <w:tcPr>
            <w:tcW w:w="2354" w:type="dxa"/>
            <w:vAlign w:val="center"/>
          </w:tcPr>
          <w:p w14:paraId="61B42276">
            <w:pPr>
              <w:adjustRightInd w:val="0"/>
              <w:snapToGrid w:val="0"/>
              <w:spacing w:line="288" w:lineRule="auto"/>
              <w:jc w:val="center"/>
              <w:rPr>
                <w:color w:val="auto"/>
                <w:kern w:val="0"/>
                <w:sz w:val="21"/>
                <w:szCs w:val="21"/>
                <w:highlight w:val="none"/>
              </w:rPr>
            </w:pPr>
          </w:p>
        </w:tc>
      </w:tr>
      <w:bookmarkEnd w:id="634"/>
    </w:tbl>
    <w:p w14:paraId="0D3501D2">
      <w:pPr>
        <w:adjustRightInd w:val="0"/>
        <w:snapToGrid w:val="0"/>
        <w:spacing w:line="288" w:lineRule="auto"/>
        <w:rPr>
          <w:color w:val="auto"/>
          <w:sz w:val="21"/>
          <w:szCs w:val="21"/>
          <w:highlight w:val="none"/>
        </w:rPr>
      </w:pPr>
    </w:p>
    <w:p w14:paraId="78673C6C">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1E4F7209">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14:paraId="64822083">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14:paraId="5B9F2D6F">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14:paraId="207A4E8F">
      <w:pPr>
        <w:adjustRightInd w:val="0"/>
        <w:snapToGrid w:val="0"/>
        <w:spacing w:line="288" w:lineRule="auto"/>
        <w:rPr>
          <w:color w:val="auto"/>
          <w:sz w:val="21"/>
          <w:szCs w:val="21"/>
          <w:highlight w:val="none"/>
        </w:rPr>
      </w:pPr>
    </w:p>
    <w:p w14:paraId="104BB1B0">
      <w:pPr>
        <w:adjustRightInd w:val="0"/>
        <w:snapToGrid w:val="0"/>
        <w:spacing w:line="288" w:lineRule="auto"/>
        <w:rPr>
          <w:color w:val="auto"/>
          <w:sz w:val="21"/>
          <w:szCs w:val="21"/>
          <w:highlight w:val="none"/>
        </w:rPr>
      </w:pPr>
    </w:p>
    <w:p w14:paraId="3D9ACA8C">
      <w:pPr>
        <w:adjustRightInd w:val="0"/>
        <w:snapToGrid w:val="0"/>
        <w:spacing w:line="288" w:lineRule="auto"/>
        <w:rPr>
          <w:color w:val="auto"/>
          <w:sz w:val="21"/>
          <w:szCs w:val="21"/>
          <w:highlight w:val="none"/>
        </w:rPr>
      </w:pPr>
    </w:p>
    <w:p w14:paraId="277165A1">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73F71E3E">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78ADAC0F">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45CD9D8">
      <w:pPr>
        <w:adjustRightInd w:val="0"/>
        <w:snapToGrid w:val="0"/>
        <w:spacing w:line="288" w:lineRule="auto"/>
        <w:outlineLvl w:val="2"/>
        <w:rPr>
          <w:rFonts w:hint="eastAsia"/>
          <w:b/>
          <w:color w:val="auto"/>
          <w:spacing w:val="-6"/>
          <w:sz w:val="21"/>
          <w:szCs w:val="21"/>
          <w:highlight w:val="none"/>
        </w:rPr>
      </w:pPr>
      <w:bookmarkStart w:id="635" w:name="_Hlk71885757"/>
      <w:r>
        <w:rPr>
          <w:rFonts w:hint="eastAsia"/>
          <w:b/>
          <w:color w:val="auto"/>
          <w:spacing w:val="-6"/>
          <w:sz w:val="21"/>
          <w:szCs w:val="21"/>
          <w:highlight w:val="none"/>
        </w:rPr>
        <w:t>（8）项目实施方案【可根据评分细则结合自身情况提供】</w:t>
      </w:r>
    </w:p>
    <w:p w14:paraId="135B500C">
      <w:pPr>
        <w:adjustRightInd w:val="0"/>
        <w:snapToGrid w:val="0"/>
        <w:spacing w:line="288" w:lineRule="auto"/>
        <w:outlineLvl w:val="2"/>
        <w:rPr>
          <w:rFonts w:hint="eastAsia"/>
          <w:b/>
          <w:color w:val="auto"/>
          <w:spacing w:val="-6"/>
          <w:sz w:val="21"/>
          <w:szCs w:val="21"/>
          <w:highlight w:val="none"/>
        </w:rPr>
      </w:pPr>
      <w:r>
        <w:rPr>
          <w:rFonts w:hint="eastAsia"/>
          <w:b/>
          <w:color w:val="auto"/>
          <w:spacing w:val="-6"/>
          <w:sz w:val="21"/>
          <w:szCs w:val="21"/>
          <w:highlight w:val="none"/>
          <w:lang w:eastAsia="zh-CN"/>
        </w:rPr>
        <w:t>（</w:t>
      </w:r>
      <w:r>
        <w:rPr>
          <w:rFonts w:hint="eastAsia"/>
          <w:b/>
          <w:color w:val="auto"/>
          <w:spacing w:val="-6"/>
          <w:sz w:val="21"/>
          <w:szCs w:val="21"/>
          <w:highlight w:val="none"/>
          <w:lang w:val="en-US" w:eastAsia="zh-CN"/>
        </w:rPr>
        <w:t>9</w:t>
      </w:r>
      <w:r>
        <w:rPr>
          <w:rFonts w:hint="eastAsia"/>
          <w:b/>
          <w:color w:val="auto"/>
          <w:spacing w:val="-6"/>
          <w:sz w:val="21"/>
          <w:szCs w:val="21"/>
          <w:highlight w:val="none"/>
          <w:lang w:eastAsia="zh-CN"/>
        </w:rPr>
        <w:t>）</w:t>
      </w:r>
      <w:r>
        <w:rPr>
          <w:rFonts w:hint="eastAsia"/>
          <w:b/>
          <w:color w:val="auto"/>
          <w:spacing w:val="-6"/>
          <w:sz w:val="21"/>
          <w:szCs w:val="21"/>
          <w:highlight w:val="none"/>
        </w:rPr>
        <w:t>保障措施【可根据评分细则结合自身情况提供】</w:t>
      </w:r>
    </w:p>
    <w:p w14:paraId="7B8D355F">
      <w:pPr>
        <w:adjustRightInd w:val="0"/>
        <w:snapToGrid w:val="0"/>
        <w:spacing w:line="288" w:lineRule="auto"/>
        <w:outlineLvl w:val="2"/>
        <w:rPr>
          <w:rFonts w:hint="eastAsia"/>
          <w:b/>
          <w:color w:val="auto"/>
          <w:spacing w:val="-6"/>
          <w:sz w:val="21"/>
          <w:szCs w:val="21"/>
          <w:highlight w:val="none"/>
        </w:rPr>
      </w:pPr>
      <w:r>
        <w:rPr>
          <w:rFonts w:hint="eastAsia"/>
          <w:b/>
          <w:color w:val="auto"/>
          <w:spacing w:val="-6"/>
          <w:sz w:val="21"/>
          <w:szCs w:val="21"/>
          <w:highlight w:val="none"/>
          <w:lang w:eastAsia="zh-CN"/>
        </w:rPr>
        <w:t>（</w:t>
      </w:r>
      <w:r>
        <w:rPr>
          <w:rFonts w:hint="eastAsia"/>
          <w:b/>
          <w:color w:val="auto"/>
          <w:spacing w:val="-6"/>
          <w:sz w:val="21"/>
          <w:szCs w:val="21"/>
          <w:highlight w:val="none"/>
          <w:lang w:val="en-US" w:eastAsia="zh-CN"/>
        </w:rPr>
        <w:t>10</w:t>
      </w:r>
      <w:r>
        <w:rPr>
          <w:rFonts w:hint="eastAsia"/>
          <w:b/>
          <w:color w:val="auto"/>
          <w:spacing w:val="-6"/>
          <w:sz w:val="21"/>
          <w:szCs w:val="21"/>
          <w:highlight w:val="none"/>
          <w:lang w:eastAsia="zh-CN"/>
        </w:rPr>
        <w:t>）</w:t>
      </w:r>
      <w:r>
        <w:rPr>
          <w:rFonts w:hint="eastAsia"/>
          <w:b/>
          <w:color w:val="auto"/>
          <w:spacing w:val="-6"/>
          <w:sz w:val="21"/>
          <w:szCs w:val="21"/>
          <w:highlight w:val="none"/>
        </w:rPr>
        <w:t>项目班组【可根据评分细则结合自身情况提供】</w:t>
      </w:r>
    </w:p>
    <w:p w14:paraId="588CD0A5">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11</w:t>
      </w:r>
      <w:r>
        <w:rPr>
          <w:rFonts w:hint="eastAsia"/>
          <w:b/>
          <w:color w:val="auto"/>
          <w:spacing w:val="-6"/>
          <w:sz w:val="21"/>
          <w:szCs w:val="21"/>
          <w:highlight w:val="none"/>
        </w:rPr>
        <w:t>）节能环保产品证明材料</w:t>
      </w:r>
    </w:p>
    <w:p w14:paraId="2F49B239">
      <w:pPr>
        <w:adjustRightInd w:val="0"/>
        <w:snapToGrid w:val="0"/>
        <w:spacing w:line="288" w:lineRule="auto"/>
        <w:rPr>
          <w:rFonts w:cs="Times New Roman"/>
          <w:b/>
          <w:color w:val="auto"/>
          <w:sz w:val="21"/>
          <w:szCs w:val="21"/>
          <w:highlight w:val="none"/>
        </w:rPr>
      </w:pPr>
      <w:r>
        <w:rPr>
          <w:rFonts w:hint="eastAsia" w:cs="Times New Roman"/>
          <w:b/>
          <w:color w:val="auto"/>
          <w:sz w:val="21"/>
          <w:szCs w:val="21"/>
          <w:highlight w:val="none"/>
        </w:rPr>
        <w:t>说明：产品属于品目清单范围且提供国家确定的认证机构出具的有效的节能产品、环境标志产品认证证书（扫描件）。</w:t>
      </w:r>
    </w:p>
    <w:p w14:paraId="042F90FD">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文件要求提供相关产品认证证书。</w:t>
      </w:r>
    </w:p>
    <w:p w14:paraId="09A49349">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▲采购人拟采购的产品属于政府强制采购的节能产品品目清单范围的，供应商未按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文件要求提供国家确定的认证机构出具的、有效的节能产品认证证书的，</w:t>
      </w:r>
      <w:r>
        <w:rPr>
          <w:rFonts w:hint="eastAsia" w:cs="Times New Roman"/>
          <w:color w:val="auto"/>
          <w:spacing w:val="-6"/>
          <w:sz w:val="21"/>
          <w:szCs w:val="21"/>
          <w:highlight w:val="none"/>
        </w:rPr>
        <w:t>响应</w:t>
      </w:r>
      <w:r>
        <w:rPr>
          <w:rFonts w:cs="Times New Roman"/>
          <w:color w:val="auto"/>
          <w:spacing w:val="-6"/>
          <w:sz w:val="21"/>
          <w:szCs w:val="21"/>
          <w:highlight w:val="none"/>
        </w:rPr>
        <w:t>无效。</w:t>
      </w:r>
    </w:p>
    <w:p w14:paraId="579D6F6F">
      <w:pPr>
        <w:adjustRightInd w:val="0"/>
        <w:snapToGrid w:val="0"/>
        <w:spacing w:line="288" w:lineRule="auto"/>
        <w:ind w:firstLine="396" w:firstLineChars="200"/>
        <w:jc w:val="left"/>
        <w:rPr>
          <w:rFonts w:hint="eastAsia" w:cs="Times New Roman"/>
          <w:color w:val="auto"/>
          <w:spacing w:val="-6"/>
          <w:sz w:val="21"/>
          <w:szCs w:val="21"/>
          <w:highlight w:val="none"/>
          <w:lang w:val="en-US" w:eastAsia="zh-CN"/>
        </w:rPr>
      </w:pPr>
    </w:p>
    <w:p w14:paraId="78791332">
      <w:pPr>
        <w:adjustRightInd w:val="0"/>
        <w:snapToGrid w:val="0"/>
        <w:spacing w:line="288" w:lineRule="auto"/>
        <w:ind w:firstLine="398" w:firstLineChars="200"/>
        <w:jc w:val="left"/>
        <w:rPr>
          <w:rFonts w:hint="eastAsia" w:cs="Times New Roman"/>
          <w:b/>
          <w:bCs/>
          <w:color w:val="auto"/>
          <w:spacing w:val="-6"/>
          <w:sz w:val="21"/>
          <w:szCs w:val="21"/>
          <w:highlight w:val="none"/>
        </w:rPr>
      </w:pPr>
      <w:r>
        <w:rPr>
          <w:rFonts w:hint="eastAsia" w:cs="Times New Roman"/>
          <w:b/>
          <w:bCs/>
          <w:color w:val="auto"/>
          <w:spacing w:val="-6"/>
          <w:sz w:val="21"/>
          <w:szCs w:val="21"/>
          <w:highlight w:val="none"/>
          <w:lang w:val="en-US" w:eastAsia="zh-CN"/>
        </w:rPr>
        <w:t>附件</w:t>
      </w:r>
      <w:r>
        <w:rPr>
          <w:rFonts w:hint="eastAsia" w:cs="Times New Roman"/>
          <w:b/>
          <w:bCs/>
          <w:color w:val="auto"/>
          <w:spacing w:val="-6"/>
          <w:sz w:val="21"/>
          <w:szCs w:val="21"/>
          <w:highlight w:val="none"/>
        </w:rPr>
        <w:t>：节能产品政府采购品目清单</w:t>
      </w:r>
    </w:p>
    <w:tbl>
      <w:tblPr>
        <w:tblStyle w:val="29"/>
        <w:tblW w:w="0" w:type="auto"/>
        <w:jc w:val="center"/>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Layout w:type="fixed"/>
        <w:tblCellMar>
          <w:top w:w="0" w:type="dxa"/>
          <w:left w:w="108" w:type="dxa"/>
          <w:bottom w:w="0" w:type="dxa"/>
          <w:right w:w="108" w:type="dxa"/>
        </w:tblCellMar>
      </w:tblPr>
      <w:tblGrid>
        <w:gridCol w:w="690"/>
        <w:gridCol w:w="1933"/>
        <w:gridCol w:w="2209"/>
        <w:gridCol w:w="1807"/>
        <w:gridCol w:w="3301"/>
      </w:tblGrid>
      <w:tr w14:paraId="65BDF5A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tblHeader/>
          <w:jc w:val="center"/>
        </w:trPr>
        <w:tc>
          <w:tcPr>
            <w:tcW w:w="690" w:type="dxa"/>
            <w:shd w:val="clear" w:color="auto" w:fill="DAEEF3"/>
            <w:vAlign w:val="center"/>
          </w:tcPr>
          <w:p w14:paraId="50A295E3">
            <w:pPr>
              <w:jc w:val="center"/>
              <w:rPr>
                <w:rFonts w:hint="eastAsia" w:ascii="宋体" w:hAnsi="宋体" w:eastAsia="宋体" w:cs="宋体"/>
                <w:b/>
                <w:color w:val="auto"/>
                <w:w w:val="90"/>
                <w:szCs w:val="21"/>
                <w:highlight w:val="none"/>
              </w:rPr>
            </w:pPr>
            <w:r>
              <w:rPr>
                <w:rFonts w:hint="eastAsia" w:ascii="宋体" w:hAnsi="宋体" w:eastAsia="宋体" w:cs="宋体"/>
                <w:b/>
                <w:color w:val="auto"/>
                <w:w w:val="90"/>
                <w:szCs w:val="21"/>
                <w:highlight w:val="none"/>
              </w:rPr>
              <w:t>品目序号</w:t>
            </w:r>
          </w:p>
        </w:tc>
        <w:tc>
          <w:tcPr>
            <w:tcW w:w="5949" w:type="dxa"/>
            <w:gridSpan w:val="3"/>
            <w:shd w:val="clear" w:color="auto" w:fill="DAEEF3"/>
            <w:vAlign w:val="center"/>
          </w:tcPr>
          <w:p w14:paraId="5E0FAF49">
            <w:pPr>
              <w:jc w:val="center"/>
              <w:rPr>
                <w:rFonts w:hint="eastAsia" w:ascii="宋体" w:hAnsi="宋体" w:eastAsia="宋体" w:cs="宋体"/>
                <w:b/>
                <w:color w:val="auto"/>
                <w:w w:val="90"/>
                <w:szCs w:val="21"/>
                <w:highlight w:val="none"/>
              </w:rPr>
            </w:pPr>
            <w:r>
              <w:rPr>
                <w:rFonts w:hint="eastAsia" w:ascii="宋体" w:hAnsi="宋体" w:eastAsia="宋体" w:cs="宋体"/>
                <w:b/>
                <w:color w:val="auto"/>
                <w:w w:val="90"/>
                <w:szCs w:val="21"/>
                <w:highlight w:val="none"/>
              </w:rPr>
              <w:t>名称</w:t>
            </w:r>
          </w:p>
        </w:tc>
        <w:tc>
          <w:tcPr>
            <w:tcW w:w="3301" w:type="dxa"/>
            <w:shd w:val="clear" w:color="auto" w:fill="DAEEF3"/>
            <w:vAlign w:val="center"/>
          </w:tcPr>
          <w:p w14:paraId="06F90597">
            <w:pPr>
              <w:jc w:val="center"/>
              <w:rPr>
                <w:rFonts w:hint="eastAsia" w:ascii="宋体" w:hAnsi="宋体" w:eastAsia="宋体" w:cs="宋体"/>
                <w:b/>
                <w:color w:val="auto"/>
                <w:w w:val="90"/>
                <w:szCs w:val="21"/>
                <w:highlight w:val="none"/>
              </w:rPr>
            </w:pPr>
            <w:r>
              <w:rPr>
                <w:rFonts w:hint="eastAsia" w:ascii="宋体" w:hAnsi="宋体" w:eastAsia="宋体" w:cs="宋体"/>
                <w:b/>
                <w:color w:val="auto"/>
                <w:w w:val="90"/>
                <w:szCs w:val="21"/>
                <w:highlight w:val="none"/>
              </w:rPr>
              <w:t>依据的标准</w:t>
            </w:r>
          </w:p>
        </w:tc>
      </w:tr>
      <w:tr w14:paraId="7A80A09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restart"/>
            <w:vAlign w:val="center"/>
          </w:tcPr>
          <w:p w14:paraId="363E7D86">
            <w:pPr>
              <w:jc w:val="center"/>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1</w:t>
            </w:r>
          </w:p>
        </w:tc>
        <w:tc>
          <w:tcPr>
            <w:tcW w:w="1933" w:type="dxa"/>
            <w:vMerge w:val="restart"/>
            <w:vAlign w:val="center"/>
          </w:tcPr>
          <w:p w14:paraId="6D798E05">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A020101计算机设备</w:t>
            </w:r>
          </w:p>
        </w:tc>
        <w:tc>
          <w:tcPr>
            <w:tcW w:w="2209" w:type="dxa"/>
            <w:vAlign w:val="center"/>
          </w:tcPr>
          <w:p w14:paraId="3FB3785B">
            <w:pPr>
              <w:jc w:val="left"/>
              <w:rPr>
                <w:rFonts w:hint="eastAsia" w:ascii="宋体" w:hAnsi="宋体" w:eastAsia="宋体" w:cs="宋体"/>
                <w:b/>
                <w:color w:val="auto"/>
                <w:w w:val="90"/>
                <w:szCs w:val="21"/>
                <w:highlight w:val="none"/>
              </w:rPr>
            </w:pPr>
            <w:r>
              <w:rPr>
                <w:rFonts w:hint="eastAsia" w:ascii="宋体" w:hAnsi="宋体" w:eastAsia="宋体" w:cs="宋体"/>
                <w:color w:val="auto"/>
                <w:w w:val="90"/>
                <w:szCs w:val="21"/>
                <w:highlight w:val="none"/>
              </w:rPr>
              <w:t>★</w:t>
            </w:r>
            <w:r>
              <w:rPr>
                <w:rFonts w:hint="eastAsia" w:ascii="宋体" w:hAnsi="宋体" w:eastAsia="宋体" w:cs="宋体"/>
                <w:b/>
                <w:color w:val="auto"/>
                <w:w w:val="90"/>
                <w:szCs w:val="21"/>
                <w:highlight w:val="none"/>
              </w:rPr>
              <w:t>A02010104台式计算机</w:t>
            </w:r>
          </w:p>
        </w:tc>
        <w:tc>
          <w:tcPr>
            <w:tcW w:w="1807" w:type="dxa"/>
            <w:vAlign w:val="center"/>
          </w:tcPr>
          <w:p w14:paraId="4A4C6C69">
            <w:pPr>
              <w:jc w:val="center"/>
              <w:rPr>
                <w:rFonts w:hint="eastAsia" w:ascii="宋体" w:hAnsi="宋体" w:eastAsia="宋体" w:cs="宋体"/>
                <w:color w:val="auto"/>
                <w:w w:val="90"/>
                <w:szCs w:val="21"/>
                <w:highlight w:val="none"/>
              </w:rPr>
            </w:pPr>
          </w:p>
        </w:tc>
        <w:tc>
          <w:tcPr>
            <w:tcW w:w="3301" w:type="dxa"/>
            <w:vAlign w:val="center"/>
          </w:tcPr>
          <w:p w14:paraId="0F3A48FB">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《微型计算机能效限定值及能效等级》（GB 28380）</w:t>
            </w:r>
          </w:p>
        </w:tc>
      </w:tr>
      <w:tr w14:paraId="619A5CF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23F32E8E">
            <w:pPr>
              <w:jc w:val="center"/>
              <w:rPr>
                <w:rFonts w:hint="eastAsia" w:ascii="宋体" w:hAnsi="宋体" w:eastAsia="宋体" w:cs="宋体"/>
                <w:color w:val="auto"/>
                <w:w w:val="90"/>
                <w:szCs w:val="21"/>
                <w:highlight w:val="none"/>
              </w:rPr>
            </w:pPr>
          </w:p>
        </w:tc>
        <w:tc>
          <w:tcPr>
            <w:tcW w:w="1933" w:type="dxa"/>
            <w:vMerge w:val="continue"/>
            <w:vAlign w:val="center"/>
          </w:tcPr>
          <w:p w14:paraId="1675E621">
            <w:pPr>
              <w:jc w:val="left"/>
              <w:rPr>
                <w:rFonts w:hint="eastAsia" w:ascii="宋体" w:hAnsi="宋体" w:eastAsia="宋体" w:cs="宋体"/>
                <w:color w:val="auto"/>
                <w:w w:val="90"/>
                <w:szCs w:val="21"/>
                <w:highlight w:val="none"/>
              </w:rPr>
            </w:pPr>
          </w:p>
        </w:tc>
        <w:tc>
          <w:tcPr>
            <w:tcW w:w="2209" w:type="dxa"/>
            <w:vAlign w:val="center"/>
          </w:tcPr>
          <w:p w14:paraId="38D2575A">
            <w:pPr>
              <w:jc w:val="left"/>
              <w:rPr>
                <w:rFonts w:hint="eastAsia" w:ascii="宋体" w:hAnsi="宋体" w:eastAsia="宋体" w:cs="宋体"/>
                <w:b/>
                <w:color w:val="auto"/>
                <w:w w:val="90"/>
                <w:szCs w:val="21"/>
                <w:highlight w:val="none"/>
              </w:rPr>
            </w:pPr>
            <w:r>
              <w:rPr>
                <w:rFonts w:hint="eastAsia" w:ascii="宋体" w:hAnsi="宋体" w:eastAsia="宋体" w:cs="宋体"/>
                <w:color w:val="auto"/>
                <w:w w:val="90"/>
                <w:szCs w:val="21"/>
                <w:highlight w:val="none"/>
              </w:rPr>
              <w:t>★</w:t>
            </w:r>
            <w:r>
              <w:rPr>
                <w:rFonts w:hint="eastAsia" w:ascii="宋体" w:hAnsi="宋体" w:eastAsia="宋体" w:cs="宋体"/>
                <w:b/>
                <w:color w:val="auto"/>
                <w:w w:val="90"/>
                <w:szCs w:val="21"/>
                <w:highlight w:val="none"/>
              </w:rPr>
              <w:t>A02010105便携式计算</w:t>
            </w:r>
          </w:p>
        </w:tc>
        <w:tc>
          <w:tcPr>
            <w:tcW w:w="1807" w:type="dxa"/>
            <w:vAlign w:val="center"/>
          </w:tcPr>
          <w:p w14:paraId="266A5ECB">
            <w:pPr>
              <w:jc w:val="center"/>
              <w:rPr>
                <w:rFonts w:hint="eastAsia" w:ascii="宋体" w:hAnsi="宋体" w:eastAsia="宋体" w:cs="宋体"/>
                <w:color w:val="auto"/>
                <w:w w:val="90"/>
                <w:szCs w:val="21"/>
                <w:highlight w:val="none"/>
              </w:rPr>
            </w:pPr>
          </w:p>
        </w:tc>
        <w:tc>
          <w:tcPr>
            <w:tcW w:w="3301" w:type="dxa"/>
            <w:vAlign w:val="center"/>
          </w:tcPr>
          <w:p w14:paraId="33D82845">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《微型计算机能效限定值及能效等级》（GB 28380）</w:t>
            </w:r>
          </w:p>
        </w:tc>
      </w:tr>
      <w:tr w14:paraId="08B778F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0F4C571B">
            <w:pPr>
              <w:jc w:val="center"/>
              <w:rPr>
                <w:rFonts w:hint="eastAsia" w:ascii="宋体" w:hAnsi="宋体" w:eastAsia="宋体" w:cs="宋体"/>
                <w:color w:val="auto"/>
                <w:w w:val="90"/>
                <w:szCs w:val="21"/>
                <w:highlight w:val="none"/>
              </w:rPr>
            </w:pPr>
          </w:p>
        </w:tc>
        <w:tc>
          <w:tcPr>
            <w:tcW w:w="1933" w:type="dxa"/>
            <w:vMerge w:val="continue"/>
            <w:vAlign w:val="center"/>
          </w:tcPr>
          <w:p w14:paraId="6FB554DF">
            <w:pPr>
              <w:jc w:val="left"/>
              <w:rPr>
                <w:rFonts w:hint="eastAsia" w:ascii="宋体" w:hAnsi="宋体" w:eastAsia="宋体" w:cs="宋体"/>
                <w:color w:val="auto"/>
                <w:w w:val="90"/>
                <w:szCs w:val="21"/>
                <w:highlight w:val="none"/>
              </w:rPr>
            </w:pPr>
          </w:p>
        </w:tc>
        <w:tc>
          <w:tcPr>
            <w:tcW w:w="2209" w:type="dxa"/>
            <w:vAlign w:val="center"/>
          </w:tcPr>
          <w:p w14:paraId="1C8793AD">
            <w:pPr>
              <w:jc w:val="left"/>
              <w:rPr>
                <w:rFonts w:hint="eastAsia" w:ascii="宋体" w:hAnsi="宋体" w:eastAsia="宋体" w:cs="宋体"/>
                <w:b/>
                <w:color w:val="auto"/>
                <w:w w:val="90"/>
                <w:szCs w:val="21"/>
                <w:highlight w:val="none"/>
              </w:rPr>
            </w:pPr>
            <w:r>
              <w:rPr>
                <w:rFonts w:hint="eastAsia" w:ascii="宋体" w:hAnsi="宋体" w:eastAsia="宋体" w:cs="宋体"/>
                <w:color w:val="auto"/>
                <w:w w:val="90"/>
                <w:szCs w:val="21"/>
                <w:highlight w:val="none"/>
              </w:rPr>
              <w:t>★</w:t>
            </w:r>
            <w:r>
              <w:rPr>
                <w:rFonts w:hint="eastAsia" w:ascii="宋体" w:hAnsi="宋体" w:eastAsia="宋体" w:cs="宋体"/>
                <w:b/>
                <w:color w:val="auto"/>
                <w:w w:val="90"/>
                <w:szCs w:val="21"/>
                <w:highlight w:val="none"/>
              </w:rPr>
              <w:t>A02010107平板式微型计算机</w:t>
            </w:r>
          </w:p>
        </w:tc>
        <w:tc>
          <w:tcPr>
            <w:tcW w:w="1807" w:type="dxa"/>
            <w:vAlign w:val="center"/>
          </w:tcPr>
          <w:p w14:paraId="6FC86C8F">
            <w:pPr>
              <w:jc w:val="center"/>
              <w:rPr>
                <w:rFonts w:hint="eastAsia" w:ascii="宋体" w:hAnsi="宋体" w:eastAsia="宋体" w:cs="宋体"/>
                <w:color w:val="auto"/>
                <w:w w:val="90"/>
                <w:szCs w:val="21"/>
                <w:highlight w:val="none"/>
              </w:rPr>
            </w:pPr>
          </w:p>
        </w:tc>
        <w:tc>
          <w:tcPr>
            <w:tcW w:w="3301" w:type="dxa"/>
            <w:vAlign w:val="center"/>
          </w:tcPr>
          <w:p w14:paraId="281E3380">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《微型计算机能效限定值及能效等级》（GB 28380）</w:t>
            </w:r>
          </w:p>
        </w:tc>
      </w:tr>
      <w:tr w14:paraId="06B0B931">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restart"/>
            <w:vAlign w:val="center"/>
          </w:tcPr>
          <w:p w14:paraId="510EEA36">
            <w:pPr>
              <w:jc w:val="center"/>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2</w:t>
            </w:r>
          </w:p>
        </w:tc>
        <w:tc>
          <w:tcPr>
            <w:tcW w:w="1933" w:type="dxa"/>
            <w:vMerge w:val="restart"/>
            <w:vAlign w:val="center"/>
          </w:tcPr>
          <w:p w14:paraId="7A76851E">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A020106输入输出设备</w:t>
            </w:r>
          </w:p>
        </w:tc>
        <w:tc>
          <w:tcPr>
            <w:tcW w:w="2209" w:type="dxa"/>
            <w:vMerge w:val="restart"/>
            <w:vAlign w:val="center"/>
          </w:tcPr>
          <w:p w14:paraId="150F55F6">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A02010601打印设备</w:t>
            </w:r>
          </w:p>
        </w:tc>
        <w:tc>
          <w:tcPr>
            <w:tcW w:w="1807" w:type="dxa"/>
            <w:vAlign w:val="center"/>
          </w:tcPr>
          <w:p w14:paraId="20189CDC">
            <w:pPr>
              <w:jc w:val="left"/>
              <w:rPr>
                <w:rFonts w:hint="eastAsia" w:ascii="宋体" w:hAnsi="宋体" w:eastAsia="宋体" w:cs="宋体"/>
                <w:color w:val="auto"/>
                <w:w w:val="90"/>
                <w:szCs w:val="21"/>
                <w:highlight w:val="none"/>
              </w:rPr>
            </w:pPr>
            <w:r>
              <w:rPr>
                <w:rFonts w:hint="eastAsia" w:ascii="宋体" w:hAnsi="宋体" w:eastAsia="宋体" w:cs="宋体"/>
                <w:b/>
                <w:bCs/>
                <w:color w:val="auto"/>
                <w:w w:val="90"/>
                <w:szCs w:val="21"/>
                <w:highlight w:val="none"/>
              </w:rPr>
              <w:t>A0201060101喷墨打印机</w:t>
            </w:r>
          </w:p>
        </w:tc>
        <w:tc>
          <w:tcPr>
            <w:tcW w:w="3301" w:type="dxa"/>
            <w:vAlign w:val="center"/>
          </w:tcPr>
          <w:p w14:paraId="72FE1C4C">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《复印机、打印机和传真机能效限定值及能效等级》（GB 21521）</w:t>
            </w:r>
          </w:p>
        </w:tc>
      </w:tr>
      <w:tr w14:paraId="4853B0C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3E2EAD53">
            <w:pPr>
              <w:jc w:val="center"/>
              <w:rPr>
                <w:rFonts w:hint="eastAsia" w:ascii="宋体" w:hAnsi="宋体" w:eastAsia="宋体" w:cs="宋体"/>
                <w:color w:val="auto"/>
                <w:w w:val="90"/>
                <w:szCs w:val="21"/>
                <w:highlight w:val="none"/>
              </w:rPr>
            </w:pPr>
          </w:p>
        </w:tc>
        <w:tc>
          <w:tcPr>
            <w:tcW w:w="1933" w:type="dxa"/>
            <w:vMerge w:val="continue"/>
            <w:vAlign w:val="center"/>
          </w:tcPr>
          <w:p w14:paraId="27A8E5DB">
            <w:pPr>
              <w:jc w:val="left"/>
              <w:rPr>
                <w:rFonts w:hint="eastAsia" w:ascii="宋体" w:hAnsi="宋体" w:eastAsia="宋体" w:cs="宋体"/>
                <w:color w:val="auto"/>
                <w:w w:val="90"/>
                <w:szCs w:val="21"/>
                <w:highlight w:val="none"/>
              </w:rPr>
            </w:pPr>
          </w:p>
        </w:tc>
        <w:tc>
          <w:tcPr>
            <w:tcW w:w="2209" w:type="dxa"/>
            <w:vMerge w:val="continue"/>
            <w:vAlign w:val="center"/>
          </w:tcPr>
          <w:p w14:paraId="0D0C5783">
            <w:pPr>
              <w:jc w:val="left"/>
              <w:rPr>
                <w:rFonts w:hint="eastAsia" w:ascii="宋体" w:hAnsi="宋体" w:eastAsia="宋体" w:cs="宋体"/>
                <w:color w:val="auto"/>
                <w:w w:val="90"/>
                <w:szCs w:val="21"/>
                <w:highlight w:val="none"/>
              </w:rPr>
            </w:pPr>
          </w:p>
        </w:tc>
        <w:tc>
          <w:tcPr>
            <w:tcW w:w="1807" w:type="dxa"/>
            <w:vAlign w:val="center"/>
          </w:tcPr>
          <w:p w14:paraId="433597E1">
            <w:pPr>
              <w:jc w:val="left"/>
              <w:rPr>
                <w:rFonts w:hint="eastAsia" w:ascii="宋体" w:hAnsi="宋体" w:eastAsia="宋体" w:cs="宋体"/>
                <w:b/>
                <w:color w:val="auto"/>
                <w:w w:val="90"/>
                <w:szCs w:val="21"/>
                <w:highlight w:val="none"/>
              </w:rPr>
            </w:pPr>
            <w:r>
              <w:rPr>
                <w:rFonts w:hint="eastAsia" w:ascii="宋体" w:hAnsi="宋体" w:eastAsia="宋体" w:cs="宋体"/>
                <w:color w:val="auto"/>
                <w:w w:val="90"/>
                <w:szCs w:val="21"/>
                <w:highlight w:val="none"/>
              </w:rPr>
              <w:t>★</w:t>
            </w:r>
            <w:r>
              <w:rPr>
                <w:rFonts w:hint="eastAsia" w:ascii="宋体" w:hAnsi="宋体" w:eastAsia="宋体" w:cs="宋体"/>
                <w:b/>
                <w:color w:val="auto"/>
                <w:w w:val="90"/>
                <w:szCs w:val="21"/>
                <w:highlight w:val="none"/>
              </w:rPr>
              <w:t>A0201060102激光打印机</w:t>
            </w:r>
          </w:p>
        </w:tc>
        <w:tc>
          <w:tcPr>
            <w:tcW w:w="3301" w:type="dxa"/>
            <w:vAlign w:val="center"/>
          </w:tcPr>
          <w:p w14:paraId="172ACD22">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《复印机、打印机和传真机能效限定值及能效等级》（GB 21521）</w:t>
            </w:r>
          </w:p>
        </w:tc>
      </w:tr>
      <w:tr w14:paraId="120C805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61711C67">
            <w:pPr>
              <w:jc w:val="center"/>
              <w:rPr>
                <w:rFonts w:hint="eastAsia" w:ascii="宋体" w:hAnsi="宋体" w:eastAsia="宋体" w:cs="宋体"/>
                <w:color w:val="auto"/>
                <w:w w:val="90"/>
                <w:szCs w:val="21"/>
                <w:highlight w:val="none"/>
              </w:rPr>
            </w:pPr>
          </w:p>
        </w:tc>
        <w:tc>
          <w:tcPr>
            <w:tcW w:w="1933" w:type="dxa"/>
            <w:vMerge w:val="continue"/>
            <w:vAlign w:val="center"/>
          </w:tcPr>
          <w:p w14:paraId="589B52B7">
            <w:pPr>
              <w:jc w:val="left"/>
              <w:rPr>
                <w:rFonts w:hint="eastAsia" w:ascii="宋体" w:hAnsi="宋体" w:eastAsia="宋体" w:cs="宋体"/>
                <w:color w:val="auto"/>
                <w:w w:val="90"/>
                <w:szCs w:val="21"/>
                <w:highlight w:val="none"/>
              </w:rPr>
            </w:pPr>
          </w:p>
        </w:tc>
        <w:tc>
          <w:tcPr>
            <w:tcW w:w="2209" w:type="dxa"/>
            <w:vMerge w:val="continue"/>
            <w:vAlign w:val="center"/>
          </w:tcPr>
          <w:p w14:paraId="540430D1">
            <w:pPr>
              <w:jc w:val="left"/>
              <w:rPr>
                <w:rFonts w:hint="eastAsia" w:ascii="宋体" w:hAnsi="宋体" w:eastAsia="宋体" w:cs="宋体"/>
                <w:color w:val="auto"/>
                <w:w w:val="90"/>
                <w:szCs w:val="21"/>
                <w:highlight w:val="none"/>
              </w:rPr>
            </w:pPr>
          </w:p>
        </w:tc>
        <w:tc>
          <w:tcPr>
            <w:tcW w:w="1807" w:type="dxa"/>
            <w:vAlign w:val="center"/>
          </w:tcPr>
          <w:p w14:paraId="6FBC0FAA">
            <w:pPr>
              <w:jc w:val="left"/>
              <w:rPr>
                <w:rFonts w:hint="eastAsia" w:ascii="宋体" w:hAnsi="宋体" w:eastAsia="宋体" w:cs="宋体"/>
                <w:b/>
                <w:color w:val="auto"/>
                <w:w w:val="90"/>
                <w:szCs w:val="21"/>
                <w:highlight w:val="none"/>
              </w:rPr>
            </w:pPr>
            <w:r>
              <w:rPr>
                <w:rFonts w:hint="eastAsia" w:ascii="宋体" w:hAnsi="宋体" w:eastAsia="宋体" w:cs="宋体"/>
                <w:color w:val="auto"/>
                <w:w w:val="90"/>
                <w:szCs w:val="21"/>
                <w:highlight w:val="none"/>
              </w:rPr>
              <w:t>★</w:t>
            </w:r>
            <w:r>
              <w:rPr>
                <w:rFonts w:hint="eastAsia" w:ascii="宋体" w:hAnsi="宋体" w:eastAsia="宋体" w:cs="宋体"/>
                <w:b/>
                <w:color w:val="auto"/>
                <w:w w:val="90"/>
                <w:szCs w:val="21"/>
                <w:highlight w:val="none"/>
              </w:rPr>
              <w:t>A0201060104针式打印机</w:t>
            </w:r>
          </w:p>
        </w:tc>
        <w:tc>
          <w:tcPr>
            <w:tcW w:w="3301" w:type="dxa"/>
            <w:vAlign w:val="center"/>
          </w:tcPr>
          <w:p w14:paraId="1FB95385">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《复印机、打印机和传真机能效限定值及能效等级》（GB 21521）</w:t>
            </w:r>
          </w:p>
        </w:tc>
      </w:tr>
      <w:tr w14:paraId="4254AAB1">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616B5ED1">
            <w:pPr>
              <w:jc w:val="center"/>
              <w:rPr>
                <w:rFonts w:hint="eastAsia" w:ascii="宋体" w:hAnsi="宋体" w:eastAsia="宋体" w:cs="宋体"/>
                <w:color w:val="auto"/>
                <w:w w:val="90"/>
                <w:szCs w:val="21"/>
                <w:highlight w:val="none"/>
              </w:rPr>
            </w:pPr>
          </w:p>
        </w:tc>
        <w:tc>
          <w:tcPr>
            <w:tcW w:w="1933" w:type="dxa"/>
            <w:vMerge w:val="continue"/>
            <w:vAlign w:val="center"/>
          </w:tcPr>
          <w:p w14:paraId="76541243">
            <w:pPr>
              <w:jc w:val="left"/>
              <w:rPr>
                <w:rFonts w:hint="eastAsia" w:ascii="宋体" w:hAnsi="宋体" w:eastAsia="宋体" w:cs="宋体"/>
                <w:color w:val="auto"/>
                <w:w w:val="90"/>
                <w:szCs w:val="21"/>
                <w:highlight w:val="none"/>
              </w:rPr>
            </w:pPr>
          </w:p>
        </w:tc>
        <w:tc>
          <w:tcPr>
            <w:tcW w:w="2209" w:type="dxa"/>
            <w:vAlign w:val="center"/>
          </w:tcPr>
          <w:p w14:paraId="19DE790E">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A02010604显示设备</w:t>
            </w:r>
          </w:p>
        </w:tc>
        <w:tc>
          <w:tcPr>
            <w:tcW w:w="1807" w:type="dxa"/>
            <w:vAlign w:val="center"/>
          </w:tcPr>
          <w:p w14:paraId="0E13BE0E">
            <w:pPr>
              <w:jc w:val="left"/>
              <w:rPr>
                <w:rFonts w:hint="eastAsia" w:ascii="宋体" w:hAnsi="宋体" w:eastAsia="宋体" w:cs="宋体"/>
                <w:b/>
                <w:color w:val="auto"/>
                <w:w w:val="90"/>
                <w:szCs w:val="21"/>
                <w:highlight w:val="none"/>
              </w:rPr>
            </w:pPr>
            <w:r>
              <w:rPr>
                <w:rFonts w:hint="eastAsia" w:ascii="宋体" w:hAnsi="宋体" w:eastAsia="宋体" w:cs="宋体"/>
                <w:color w:val="auto"/>
                <w:w w:val="90"/>
                <w:szCs w:val="21"/>
                <w:highlight w:val="none"/>
              </w:rPr>
              <w:t>★</w:t>
            </w:r>
            <w:r>
              <w:rPr>
                <w:rFonts w:hint="eastAsia" w:ascii="宋体" w:hAnsi="宋体" w:eastAsia="宋体" w:cs="宋体"/>
                <w:b/>
                <w:color w:val="auto"/>
                <w:w w:val="90"/>
                <w:szCs w:val="21"/>
                <w:highlight w:val="none"/>
              </w:rPr>
              <w:t>A0201060401液晶显示器</w:t>
            </w:r>
          </w:p>
        </w:tc>
        <w:tc>
          <w:tcPr>
            <w:tcW w:w="3301" w:type="dxa"/>
            <w:vAlign w:val="center"/>
          </w:tcPr>
          <w:p w14:paraId="4A66FE1A">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《计算机显示器能效限定值及能效等级》（GB 21520）</w:t>
            </w:r>
          </w:p>
        </w:tc>
      </w:tr>
      <w:tr w14:paraId="4EB6E6D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463FB431">
            <w:pPr>
              <w:jc w:val="center"/>
              <w:rPr>
                <w:rFonts w:hint="eastAsia" w:ascii="宋体" w:hAnsi="宋体" w:eastAsia="宋体" w:cs="宋体"/>
                <w:color w:val="auto"/>
                <w:w w:val="90"/>
                <w:szCs w:val="21"/>
                <w:highlight w:val="none"/>
              </w:rPr>
            </w:pPr>
          </w:p>
        </w:tc>
        <w:tc>
          <w:tcPr>
            <w:tcW w:w="1933" w:type="dxa"/>
            <w:vMerge w:val="continue"/>
            <w:vAlign w:val="center"/>
          </w:tcPr>
          <w:p w14:paraId="469652FF">
            <w:pPr>
              <w:jc w:val="left"/>
              <w:rPr>
                <w:rFonts w:hint="eastAsia" w:ascii="宋体" w:hAnsi="宋体" w:eastAsia="宋体" w:cs="宋体"/>
                <w:color w:val="auto"/>
                <w:w w:val="90"/>
                <w:szCs w:val="21"/>
                <w:highlight w:val="none"/>
              </w:rPr>
            </w:pPr>
          </w:p>
        </w:tc>
        <w:tc>
          <w:tcPr>
            <w:tcW w:w="2209" w:type="dxa"/>
            <w:vAlign w:val="center"/>
          </w:tcPr>
          <w:p w14:paraId="5D667391">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A02010609图形图像输入设备</w:t>
            </w:r>
          </w:p>
        </w:tc>
        <w:tc>
          <w:tcPr>
            <w:tcW w:w="1807" w:type="dxa"/>
            <w:vAlign w:val="center"/>
          </w:tcPr>
          <w:p w14:paraId="3B38C44E">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A0201060901扫描仪</w:t>
            </w:r>
          </w:p>
        </w:tc>
        <w:tc>
          <w:tcPr>
            <w:tcW w:w="3301" w:type="dxa"/>
            <w:vAlign w:val="center"/>
          </w:tcPr>
          <w:p w14:paraId="6167C8B9">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参照《复印机、打印机和传真机能效限定值及能效等级》（GB 21521中打印速度为 15 页/分的针式打印机相关要求</w:t>
            </w:r>
          </w:p>
        </w:tc>
      </w:tr>
      <w:tr w14:paraId="534C104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Align w:val="center"/>
          </w:tcPr>
          <w:p w14:paraId="3609D451">
            <w:pPr>
              <w:jc w:val="center"/>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3</w:t>
            </w:r>
          </w:p>
        </w:tc>
        <w:tc>
          <w:tcPr>
            <w:tcW w:w="1933" w:type="dxa"/>
            <w:vAlign w:val="center"/>
          </w:tcPr>
          <w:p w14:paraId="1547CAB9">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A020202投影仪</w:t>
            </w:r>
          </w:p>
        </w:tc>
        <w:tc>
          <w:tcPr>
            <w:tcW w:w="2209" w:type="dxa"/>
            <w:vAlign w:val="center"/>
          </w:tcPr>
          <w:p w14:paraId="761109B4">
            <w:pPr>
              <w:jc w:val="left"/>
              <w:rPr>
                <w:rFonts w:hint="eastAsia" w:ascii="宋体" w:hAnsi="宋体" w:eastAsia="宋体" w:cs="宋体"/>
                <w:color w:val="auto"/>
                <w:w w:val="90"/>
                <w:szCs w:val="21"/>
                <w:highlight w:val="none"/>
              </w:rPr>
            </w:pPr>
          </w:p>
        </w:tc>
        <w:tc>
          <w:tcPr>
            <w:tcW w:w="1807" w:type="dxa"/>
            <w:vAlign w:val="center"/>
          </w:tcPr>
          <w:p w14:paraId="3F8AC753">
            <w:pPr>
              <w:jc w:val="center"/>
              <w:rPr>
                <w:rFonts w:hint="eastAsia" w:ascii="宋体" w:hAnsi="宋体" w:eastAsia="宋体" w:cs="宋体"/>
                <w:color w:val="auto"/>
                <w:w w:val="90"/>
                <w:szCs w:val="21"/>
                <w:highlight w:val="none"/>
              </w:rPr>
            </w:pPr>
          </w:p>
        </w:tc>
        <w:tc>
          <w:tcPr>
            <w:tcW w:w="3301" w:type="dxa"/>
            <w:vAlign w:val="center"/>
          </w:tcPr>
          <w:p w14:paraId="5367A45D">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《投影机能效限定值及能效等级（GB 32028）</w:t>
            </w:r>
          </w:p>
        </w:tc>
      </w:tr>
      <w:tr w14:paraId="41A1C04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Align w:val="center"/>
          </w:tcPr>
          <w:p w14:paraId="0D42C8EE">
            <w:pPr>
              <w:jc w:val="center"/>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4</w:t>
            </w:r>
          </w:p>
        </w:tc>
        <w:tc>
          <w:tcPr>
            <w:tcW w:w="1933" w:type="dxa"/>
            <w:vAlign w:val="center"/>
          </w:tcPr>
          <w:p w14:paraId="3F750D5D">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A020204352多功能一体机</w:t>
            </w:r>
          </w:p>
        </w:tc>
        <w:tc>
          <w:tcPr>
            <w:tcW w:w="2209" w:type="dxa"/>
            <w:vAlign w:val="center"/>
          </w:tcPr>
          <w:p w14:paraId="6242627C">
            <w:pPr>
              <w:jc w:val="left"/>
              <w:rPr>
                <w:rFonts w:hint="eastAsia" w:ascii="宋体" w:hAnsi="宋体" w:eastAsia="宋体" w:cs="宋体"/>
                <w:color w:val="auto"/>
                <w:w w:val="90"/>
                <w:szCs w:val="21"/>
                <w:highlight w:val="none"/>
              </w:rPr>
            </w:pPr>
          </w:p>
        </w:tc>
        <w:tc>
          <w:tcPr>
            <w:tcW w:w="1807" w:type="dxa"/>
            <w:vAlign w:val="center"/>
          </w:tcPr>
          <w:p w14:paraId="1C816832">
            <w:pPr>
              <w:jc w:val="center"/>
              <w:rPr>
                <w:rFonts w:hint="eastAsia" w:ascii="宋体" w:hAnsi="宋体" w:eastAsia="宋体" w:cs="宋体"/>
                <w:color w:val="auto"/>
                <w:w w:val="90"/>
                <w:szCs w:val="21"/>
                <w:highlight w:val="none"/>
              </w:rPr>
            </w:pPr>
          </w:p>
        </w:tc>
        <w:tc>
          <w:tcPr>
            <w:tcW w:w="3301" w:type="dxa"/>
            <w:vAlign w:val="center"/>
          </w:tcPr>
          <w:p w14:paraId="10852F2B">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《复印机、打印机和传真机能效限定值及能效等级》（GB 21521）</w:t>
            </w:r>
          </w:p>
        </w:tc>
      </w:tr>
      <w:tr w14:paraId="45FCE07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Align w:val="center"/>
          </w:tcPr>
          <w:p w14:paraId="62EEA3F9">
            <w:pPr>
              <w:jc w:val="center"/>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5</w:t>
            </w:r>
          </w:p>
        </w:tc>
        <w:tc>
          <w:tcPr>
            <w:tcW w:w="1933" w:type="dxa"/>
            <w:vAlign w:val="center"/>
          </w:tcPr>
          <w:p w14:paraId="5D3C0A2A">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A020519泵</w:t>
            </w:r>
          </w:p>
        </w:tc>
        <w:tc>
          <w:tcPr>
            <w:tcW w:w="2209" w:type="dxa"/>
            <w:vAlign w:val="center"/>
          </w:tcPr>
          <w:p w14:paraId="76DD67A4">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A02051901离心泵</w:t>
            </w:r>
          </w:p>
        </w:tc>
        <w:tc>
          <w:tcPr>
            <w:tcW w:w="1807" w:type="dxa"/>
            <w:vAlign w:val="center"/>
          </w:tcPr>
          <w:p w14:paraId="5331382C">
            <w:pPr>
              <w:jc w:val="center"/>
              <w:rPr>
                <w:rFonts w:hint="eastAsia" w:ascii="宋体" w:hAnsi="宋体" w:eastAsia="宋体" w:cs="宋体"/>
                <w:color w:val="auto"/>
                <w:w w:val="90"/>
                <w:szCs w:val="21"/>
                <w:highlight w:val="none"/>
              </w:rPr>
            </w:pPr>
          </w:p>
        </w:tc>
        <w:tc>
          <w:tcPr>
            <w:tcW w:w="3301" w:type="dxa"/>
            <w:vAlign w:val="center"/>
          </w:tcPr>
          <w:p w14:paraId="379FE1C8">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《清水离心泵能效限定值及节能评价值》（GB 19762）</w:t>
            </w:r>
          </w:p>
        </w:tc>
      </w:tr>
      <w:tr w14:paraId="64C420C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restart"/>
            <w:vAlign w:val="center"/>
          </w:tcPr>
          <w:p w14:paraId="19C159C8">
            <w:pPr>
              <w:jc w:val="center"/>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6</w:t>
            </w:r>
          </w:p>
        </w:tc>
        <w:tc>
          <w:tcPr>
            <w:tcW w:w="1933" w:type="dxa"/>
            <w:vMerge w:val="restart"/>
            <w:vAlign w:val="center"/>
          </w:tcPr>
          <w:p w14:paraId="4ED55790">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A020523制冷空调设备</w:t>
            </w:r>
          </w:p>
        </w:tc>
        <w:tc>
          <w:tcPr>
            <w:tcW w:w="2209" w:type="dxa"/>
            <w:vMerge w:val="restart"/>
            <w:vAlign w:val="center"/>
          </w:tcPr>
          <w:p w14:paraId="3EB9D0CE">
            <w:pPr>
              <w:jc w:val="left"/>
              <w:rPr>
                <w:rFonts w:hint="eastAsia" w:ascii="宋体" w:hAnsi="宋体" w:eastAsia="宋体" w:cs="宋体"/>
                <w:b/>
                <w:color w:val="auto"/>
                <w:w w:val="90"/>
                <w:szCs w:val="21"/>
                <w:highlight w:val="none"/>
              </w:rPr>
            </w:pPr>
            <w:r>
              <w:rPr>
                <w:rFonts w:hint="eastAsia" w:ascii="宋体" w:hAnsi="宋体" w:eastAsia="宋体" w:cs="宋体"/>
                <w:color w:val="auto"/>
                <w:w w:val="90"/>
                <w:szCs w:val="21"/>
                <w:highlight w:val="none"/>
              </w:rPr>
              <w:t>★</w:t>
            </w:r>
            <w:r>
              <w:rPr>
                <w:rFonts w:hint="eastAsia" w:ascii="宋体" w:hAnsi="宋体" w:eastAsia="宋体" w:cs="宋体"/>
                <w:b/>
                <w:color w:val="auto"/>
                <w:w w:val="90"/>
                <w:szCs w:val="21"/>
                <w:highlight w:val="none"/>
              </w:rPr>
              <w:t>A02052301制冷压缩机</w:t>
            </w:r>
          </w:p>
        </w:tc>
        <w:tc>
          <w:tcPr>
            <w:tcW w:w="1807" w:type="dxa"/>
            <w:vAlign w:val="center"/>
          </w:tcPr>
          <w:p w14:paraId="4F2F8708">
            <w:pPr>
              <w:jc w:val="left"/>
              <w:rPr>
                <w:rFonts w:hint="eastAsia" w:ascii="宋体" w:hAnsi="宋体" w:eastAsia="宋体" w:cs="宋体"/>
                <w:b/>
                <w:color w:val="auto"/>
                <w:w w:val="90"/>
                <w:szCs w:val="21"/>
                <w:highlight w:val="none"/>
              </w:rPr>
            </w:pPr>
            <w:r>
              <w:rPr>
                <w:rFonts w:hint="eastAsia" w:ascii="宋体" w:hAnsi="宋体" w:eastAsia="宋体" w:cs="宋体"/>
                <w:b/>
                <w:color w:val="auto"/>
                <w:w w:val="90"/>
                <w:szCs w:val="21"/>
                <w:highlight w:val="none"/>
              </w:rPr>
              <w:t>冷水机组</w:t>
            </w:r>
          </w:p>
        </w:tc>
        <w:tc>
          <w:tcPr>
            <w:tcW w:w="3301" w:type="dxa"/>
            <w:vAlign w:val="center"/>
          </w:tcPr>
          <w:p w14:paraId="461E298E">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《冷水机组能效限定值及能效等级》（GB 19577），《低环境温度空气源热泵（冷水）机组能效限定值及能效等级》（GB 37480）</w:t>
            </w:r>
          </w:p>
        </w:tc>
      </w:tr>
      <w:tr w14:paraId="41C0EEC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304A1EEF">
            <w:pPr>
              <w:jc w:val="center"/>
              <w:rPr>
                <w:rFonts w:hint="eastAsia" w:ascii="宋体" w:hAnsi="宋体" w:eastAsia="宋体" w:cs="宋体"/>
                <w:color w:val="auto"/>
                <w:w w:val="90"/>
                <w:szCs w:val="21"/>
                <w:highlight w:val="none"/>
              </w:rPr>
            </w:pPr>
          </w:p>
        </w:tc>
        <w:tc>
          <w:tcPr>
            <w:tcW w:w="1933" w:type="dxa"/>
            <w:vMerge w:val="continue"/>
            <w:vAlign w:val="center"/>
          </w:tcPr>
          <w:p w14:paraId="004BDF02">
            <w:pPr>
              <w:jc w:val="left"/>
              <w:rPr>
                <w:rFonts w:hint="eastAsia" w:ascii="宋体" w:hAnsi="宋体" w:eastAsia="宋体" w:cs="宋体"/>
                <w:color w:val="auto"/>
                <w:w w:val="90"/>
                <w:szCs w:val="21"/>
                <w:highlight w:val="none"/>
              </w:rPr>
            </w:pPr>
          </w:p>
        </w:tc>
        <w:tc>
          <w:tcPr>
            <w:tcW w:w="2209" w:type="dxa"/>
            <w:vMerge w:val="continue"/>
            <w:vAlign w:val="center"/>
          </w:tcPr>
          <w:p w14:paraId="71EF956D">
            <w:pPr>
              <w:jc w:val="left"/>
              <w:rPr>
                <w:rFonts w:hint="eastAsia" w:ascii="宋体" w:hAnsi="宋体" w:eastAsia="宋体" w:cs="宋体"/>
                <w:b/>
                <w:color w:val="auto"/>
                <w:w w:val="90"/>
                <w:szCs w:val="21"/>
                <w:highlight w:val="none"/>
              </w:rPr>
            </w:pPr>
          </w:p>
        </w:tc>
        <w:tc>
          <w:tcPr>
            <w:tcW w:w="1807" w:type="dxa"/>
            <w:vAlign w:val="center"/>
          </w:tcPr>
          <w:p w14:paraId="4DD4C407">
            <w:pPr>
              <w:jc w:val="left"/>
              <w:rPr>
                <w:rFonts w:hint="eastAsia" w:ascii="宋体" w:hAnsi="宋体" w:eastAsia="宋体" w:cs="宋体"/>
                <w:b/>
                <w:color w:val="auto"/>
                <w:w w:val="90"/>
                <w:szCs w:val="21"/>
                <w:highlight w:val="none"/>
              </w:rPr>
            </w:pPr>
            <w:r>
              <w:rPr>
                <w:rFonts w:hint="eastAsia" w:ascii="宋体" w:hAnsi="宋体" w:eastAsia="宋体" w:cs="宋体"/>
                <w:b/>
                <w:color w:val="auto"/>
                <w:w w:val="90"/>
                <w:szCs w:val="21"/>
                <w:highlight w:val="none"/>
              </w:rPr>
              <w:t>水源热泵机组</w:t>
            </w:r>
          </w:p>
        </w:tc>
        <w:tc>
          <w:tcPr>
            <w:tcW w:w="3301" w:type="dxa"/>
            <w:vAlign w:val="center"/>
          </w:tcPr>
          <w:p w14:paraId="01E5073A">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《水（地）源热泵机组能效限定值及能效等级》（GB 30721）</w:t>
            </w:r>
          </w:p>
        </w:tc>
      </w:tr>
      <w:tr w14:paraId="3BAEAE6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71CBD017">
            <w:pPr>
              <w:jc w:val="center"/>
              <w:rPr>
                <w:rFonts w:hint="eastAsia" w:ascii="宋体" w:hAnsi="宋体" w:eastAsia="宋体" w:cs="宋体"/>
                <w:color w:val="auto"/>
                <w:w w:val="90"/>
                <w:szCs w:val="21"/>
                <w:highlight w:val="none"/>
              </w:rPr>
            </w:pPr>
          </w:p>
        </w:tc>
        <w:tc>
          <w:tcPr>
            <w:tcW w:w="1933" w:type="dxa"/>
            <w:vMerge w:val="continue"/>
            <w:vAlign w:val="center"/>
          </w:tcPr>
          <w:p w14:paraId="55D5D40B">
            <w:pPr>
              <w:jc w:val="left"/>
              <w:rPr>
                <w:rFonts w:hint="eastAsia" w:ascii="宋体" w:hAnsi="宋体" w:eastAsia="宋体" w:cs="宋体"/>
                <w:color w:val="auto"/>
                <w:w w:val="90"/>
                <w:szCs w:val="21"/>
                <w:highlight w:val="none"/>
              </w:rPr>
            </w:pPr>
          </w:p>
        </w:tc>
        <w:tc>
          <w:tcPr>
            <w:tcW w:w="2209" w:type="dxa"/>
            <w:vMerge w:val="continue"/>
            <w:vAlign w:val="center"/>
          </w:tcPr>
          <w:p w14:paraId="6B19FB87">
            <w:pPr>
              <w:jc w:val="left"/>
              <w:rPr>
                <w:rFonts w:hint="eastAsia" w:ascii="宋体" w:hAnsi="宋体" w:eastAsia="宋体" w:cs="宋体"/>
                <w:b/>
                <w:color w:val="auto"/>
                <w:w w:val="90"/>
                <w:szCs w:val="21"/>
                <w:highlight w:val="none"/>
              </w:rPr>
            </w:pPr>
          </w:p>
        </w:tc>
        <w:tc>
          <w:tcPr>
            <w:tcW w:w="1807" w:type="dxa"/>
            <w:vAlign w:val="center"/>
          </w:tcPr>
          <w:p w14:paraId="5CC2953E">
            <w:pPr>
              <w:jc w:val="left"/>
              <w:rPr>
                <w:rFonts w:hint="eastAsia" w:ascii="宋体" w:hAnsi="宋体" w:eastAsia="宋体" w:cs="宋体"/>
                <w:b/>
                <w:color w:val="auto"/>
                <w:w w:val="90"/>
                <w:szCs w:val="21"/>
                <w:highlight w:val="none"/>
              </w:rPr>
            </w:pPr>
            <w:r>
              <w:rPr>
                <w:rFonts w:hint="eastAsia" w:ascii="宋体" w:hAnsi="宋体" w:eastAsia="宋体" w:cs="宋体"/>
                <w:b/>
                <w:color w:val="auto"/>
                <w:w w:val="90"/>
                <w:szCs w:val="21"/>
                <w:highlight w:val="none"/>
              </w:rPr>
              <w:t>溴化锂吸收式冷水机组</w:t>
            </w:r>
          </w:p>
        </w:tc>
        <w:tc>
          <w:tcPr>
            <w:tcW w:w="3301" w:type="dxa"/>
            <w:vAlign w:val="center"/>
          </w:tcPr>
          <w:p w14:paraId="12606138">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《溴化锂吸收式冷水机组能效限定值及能效等级》（GB 29540）</w:t>
            </w:r>
          </w:p>
        </w:tc>
      </w:tr>
      <w:tr w14:paraId="37FDEC0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1FF158C4">
            <w:pPr>
              <w:jc w:val="center"/>
              <w:rPr>
                <w:rFonts w:hint="eastAsia" w:ascii="宋体" w:hAnsi="宋体" w:eastAsia="宋体" w:cs="宋体"/>
                <w:color w:val="auto"/>
                <w:w w:val="90"/>
                <w:szCs w:val="21"/>
                <w:highlight w:val="none"/>
              </w:rPr>
            </w:pPr>
          </w:p>
        </w:tc>
        <w:tc>
          <w:tcPr>
            <w:tcW w:w="1933" w:type="dxa"/>
            <w:vMerge w:val="continue"/>
            <w:vAlign w:val="center"/>
          </w:tcPr>
          <w:p w14:paraId="168BC6C7">
            <w:pPr>
              <w:jc w:val="left"/>
              <w:rPr>
                <w:rFonts w:hint="eastAsia" w:ascii="宋体" w:hAnsi="宋体" w:eastAsia="宋体" w:cs="宋体"/>
                <w:color w:val="auto"/>
                <w:w w:val="90"/>
                <w:szCs w:val="21"/>
                <w:highlight w:val="none"/>
              </w:rPr>
            </w:pPr>
          </w:p>
        </w:tc>
        <w:tc>
          <w:tcPr>
            <w:tcW w:w="2209" w:type="dxa"/>
            <w:vMerge w:val="restart"/>
            <w:vAlign w:val="center"/>
          </w:tcPr>
          <w:p w14:paraId="24FCBC46">
            <w:pPr>
              <w:jc w:val="left"/>
              <w:rPr>
                <w:rFonts w:hint="eastAsia" w:ascii="宋体" w:hAnsi="宋体" w:eastAsia="宋体" w:cs="宋体"/>
                <w:b/>
                <w:color w:val="auto"/>
                <w:w w:val="90"/>
                <w:szCs w:val="21"/>
                <w:highlight w:val="none"/>
              </w:rPr>
            </w:pPr>
            <w:r>
              <w:rPr>
                <w:rFonts w:hint="eastAsia" w:ascii="宋体" w:hAnsi="宋体" w:eastAsia="宋体" w:cs="宋体"/>
                <w:color w:val="auto"/>
                <w:w w:val="90"/>
                <w:szCs w:val="21"/>
                <w:highlight w:val="none"/>
              </w:rPr>
              <w:t>★</w:t>
            </w:r>
            <w:r>
              <w:rPr>
                <w:rFonts w:hint="eastAsia" w:ascii="宋体" w:hAnsi="宋体" w:eastAsia="宋体" w:cs="宋体"/>
                <w:b/>
                <w:color w:val="auto"/>
                <w:w w:val="90"/>
                <w:szCs w:val="21"/>
                <w:highlight w:val="none"/>
              </w:rPr>
              <w:t>A02052305空调机组</w:t>
            </w:r>
          </w:p>
        </w:tc>
        <w:tc>
          <w:tcPr>
            <w:tcW w:w="1807" w:type="dxa"/>
            <w:vAlign w:val="center"/>
          </w:tcPr>
          <w:p w14:paraId="269B3CB3">
            <w:pPr>
              <w:jc w:val="left"/>
              <w:rPr>
                <w:rFonts w:hint="eastAsia" w:ascii="宋体" w:hAnsi="宋体" w:eastAsia="宋体" w:cs="宋体"/>
                <w:b/>
                <w:color w:val="auto"/>
                <w:w w:val="90"/>
                <w:szCs w:val="21"/>
                <w:highlight w:val="none"/>
              </w:rPr>
            </w:pPr>
            <w:r>
              <w:rPr>
                <w:rFonts w:hint="eastAsia" w:ascii="宋体" w:hAnsi="宋体" w:eastAsia="宋体" w:cs="宋体"/>
                <w:b/>
                <w:color w:val="auto"/>
                <w:w w:val="90"/>
                <w:szCs w:val="21"/>
                <w:highlight w:val="none"/>
              </w:rPr>
              <w:t>多联式空调（热泵）机组(制冷量&gt;14000W)</w:t>
            </w:r>
          </w:p>
        </w:tc>
        <w:tc>
          <w:tcPr>
            <w:tcW w:w="3301" w:type="dxa"/>
            <w:vAlign w:val="center"/>
          </w:tcPr>
          <w:p w14:paraId="17320E9C">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《多联式空调（热泵）机组能效限定值及能源效率等级》（GB 21454）</w:t>
            </w:r>
          </w:p>
        </w:tc>
      </w:tr>
      <w:tr w14:paraId="127565A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107D0FE2">
            <w:pPr>
              <w:jc w:val="center"/>
              <w:rPr>
                <w:rFonts w:hint="eastAsia" w:ascii="宋体" w:hAnsi="宋体" w:eastAsia="宋体" w:cs="宋体"/>
                <w:color w:val="auto"/>
                <w:w w:val="90"/>
                <w:szCs w:val="21"/>
                <w:highlight w:val="none"/>
              </w:rPr>
            </w:pPr>
          </w:p>
        </w:tc>
        <w:tc>
          <w:tcPr>
            <w:tcW w:w="1933" w:type="dxa"/>
            <w:vMerge w:val="continue"/>
            <w:vAlign w:val="center"/>
          </w:tcPr>
          <w:p w14:paraId="24E13F20">
            <w:pPr>
              <w:jc w:val="left"/>
              <w:rPr>
                <w:rFonts w:hint="eastAsia" w:ascii="宋体" w:hAnsi="宋体" w:eastAsia="宋体" w:cs="宋体"/>
                <w:color w:val="auto"/>
                <w:w w:val="90"/>
                <w:szCs w:val="21"/>
                <w:highlight w:val="none"/>
              </w:rPr>
            </w:pPr>
          </w:p>
        </w:tc>
        <w:tc>
          <w:tcPr>
            <w:tcW w:w="2209" w:type="dxa"/>
            <w:vMerge w:val="continue"/>
            <w:vAlign w:val="center"/>
          </w:tcPr>
          <w:p w14:paraId="39603CA5">
            <w:pPr>
              <w:jc w:val="left"/>
              <w:rPr>
                <w:rFonts w:hint="eastAsia" w:ascii="宋体" w:hAnsi="宋体" w:eastAsia="宋体" w:cs="宋体"/>
                <w:b/>
                <w:color w:val="auto"/>
                <w:w w:val="90"/>
                <w:szCs w:val="21"/>
                <w:highlight w:val="none"/>
              </w:rPr>
            </w:pPr>
          </w:p>
        </w:tc>
        <w:tc>
          <w:tcPr>
            <w:tcW w:w="1807" w:type="dxa"/>
            <w:vAlign w:val="center"/>
          </w:tcPr>
          <w:p w14:paraId="223E23BF">
            <w:pPr>
              <w:jc w:val="left"/>
              <w:rPr>
                <w:rFonts w:hint="eastAsia" w:ascii="宋体" w:hAnsi="宋体" w:eastAsia="宋体" w:cs="宋体"/>
                <w:b/>
                <w:color w:val="auto"/>
                <w:w w:val="90"/>
                <w:szCs w:val="21"/>
                <w:highlight w:val="none"/>
              </w:rPr>
            </w:pPr>
            <w:r>
              <w:rPr>
                <w:rFonts w:hint="eastAsia" w:ascii="宋体" w:hAnsi="宋体" w:eastAsia="宋体" w:cs="宋体"/>
                <w:b/>
                <w:color w:val="auto"/>
                <w:w w:val="90"/>
                <w:szCs w:val="21"/>
                <w:highlight w:val="none"/>
              </w:rPr>
              <w:t>单元式空气调节机(制冷量&gt;14000W)</w:t>
            </w:r>
          </w:p>
        </w:tc>
        <w:tc>
          <w:tcPr>
            <w:tcW w:w="3301" w:type="dxa"/>
            <w:vAlign w:val="center"/>
          </w:tcPr>
          <w:p w14:paraId="3B94FE8F">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《单元式空气调节机能效限定值及能效等级》（GB 19576）《风管送风式空调机组能效限定值及能效等级》（GB 37479）</w:t>
            </w:r>
          </w:p>
        </w:tc>
      </w:tr>
      <w:tr w14:paraId="0209ACF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3FA34980">
            <w:pPr>
              <w:jc w:val="center"/>
              <w:rPr>
                <w:rFonts w:hint="eastAsia" w:ascii="宋体" w:hAnsi="宋体" w:eastAsia="宋体" w:cs="宋体"/>
                <w:color w:val="auto"/>
                <w:w w:val="90"/>
                <w:szCs w:val="21"/>
                <w:highlight w:val="none"/>
              </w:rPr>
            </w:pPr>
          </w:p>
        </w:tc>
        <w:tc>
          <w:tcPr>
            <w:tcW w:w="1933" w:type="dxa"/>
            <w:vMerge w:val="continue"/>
            <w:vAlign w:val="center"/>
          </w:tcPr>
          <w:p w14:paraId="591F7715">
            <w:pPr>
              <w:jc w:val="left"/>
              <w:rPr>
                <w:rFonts w:hint="eastAsia" w:ascii="宋体" w:hAnsi="宋体" w:eastAsia="宋体" w:cs="宋体"/>
                <w:color w:val="auto"/>
                <w:w w:val="90"/>
                <w:szCs w:val="21"/>
                <w:highlight w:val="none"/>
              </w:rPr>
            </w:pPr>
          </w:p>
        </w:tc>
        <w:tc>
          <w:tcPr>
            <w:tcW w:w="2209" w:type="dxa"/>
            <w:vAlign w:val="center"/>
          </w:tcPr>
          <w:p w14:paraId="0A9BFC36">
            <w:pPr>
              <w:jc w:val="left"/>
              <w:rPr>
                <w:rFonts w:hint="eastAsia" w:ascii="宋体" w:hAnsi="宋体" w:eastAsia="宋体" w:cs="宋体"/>
                <w:b/>
                <w:color w:val="auto"/>
                <w:w w:val="90"/>
                <w:szCs w:val="21"/>
                <w:highlight w:val="none"/>
              </w:rPr>
            </w:pPr>
            <w:r>
              <w:rPr>
                <w:rFonts w:hint="eastAsia" w:ascii="宋体" w:hAnsi="宋体" w:eastAsia="宋体" w:cs="宋体"/>
                <w:color w:val="auto"/>
                <w:w w:val="90"/>
                <w:szCs w:val="21"/>
                <w:highlight w:val="none"/>
              </w:rPr>
              <w:t>★</w:t>
            </w:r>
            <w:r>
              <w:rPr>
                <w:rFonts w:hint="eastAsia" w:ascii="宋体" w:hAnsi="宋体" w:eastAsia="宋体" w:cs="宋体"/>
                <w:b/>
                <w:color w:val="auto"/>
                <w:w w:val="90"/>
                <w:szCs w:val="21"/>
                <w:highlight w:val="none"/>
              </w:rPr>
              <w:t>A02052309专用制冷、空调设备</w:t>
            </w:r>
          </w:p>
        </w:tc>
        <w:tc>
          <w:tcPr>
            <w:tcW w:w="1807" w:type="dxa"/>
            <w:vAlign w:val="center"/>
          </w:tcPr>
          <w:p w14:paraId="3381F973">
            <w:pPr>
              <w:jc w:val="left"/>
              <w:rPr>
                <w:rFonts w:hint="eastAsia" w:ascii="宋体" w:hAnsi="宋体" w:eastAsia="宋体" w:cs="宋体"/>
                <w:b/>
                <w:color w:val="auto"/>
                <w:w w:val="90"/>
                <w:szCs w:val="21"/>
                <w:highlight w:val="none"/>
              </w:rPr>
            </w:pPr>
            <w:r>
              <w:rPr>
                <w:rFonts w:hint="eastAsia" w:ascii="宋体" w:hAnsi="宋体" w:eastAsia="宋体" w:cs="宋体"/>
                <w:b/>
                <w:color w:val="auto"/>
                <w:w w:val="90"/>
                <w:szCs w:val="21"/>
                <w:highlight w:val="none"/>
              </w:rPr>
              <w:t>机房空调</w:t>
            </w:r>
          </w:p>
        </w:tc>
        <w:tc>
          <w:tcPr>
            <w:tcW w:w="3301" w:type="dxa"/>
            <w:vAlign w:val="center"/>
          </w:tcPr>
          <w:p w14:paraId="3935E336">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《单元式空气调节机能效限定值及能效等级》（GB 19576）</w:t>
            </w:r>
          </w:p>
        </w:tc>
      </w:tr>
      <w:tr w14:paraId="0BA3D04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4E4282EE">
            <w:pPr>
              <w:jc w:val="center"/>
              <w:rPr>
                <w:rFonts w:hint="eastAsia" w:ascii="宋体" w:hAnsi="宋体" w:eastAsia="宋体" w:cs="宋体"/>
                <w:color w:val="auto"/>
                <w:w w:val="90"/>
                <w:szCs w:val="21"/>
                <w:highlight w:val="none"/>
              </w:rPr>
            </w:pPr>
          </w:p>
        </w:tc>
        <w:tc>
          <w:tcPr>
            <w:tcW w:w="1933" w:type="dxa"/>
            <w:vMerge w:val="continue"/>
            <w:vAlign w:val="center"/>
          </w:tcPr>
          <w:p w14:paraId="77258BD3">
            <w:pPr>
              <w:jc w:val="left"/>
              <w:rPr>
                <w:rFonts w:hint="eastAsia" w:ascii="宋体" w:hAnsi="宋体" w:eastAsia="宋体" w:cs="宋体"/>
                <w:color w:val="auto"/>
                <w:w w:val="90"/>
                <w:szCs w:val="21"/>
                <w:highlight w:val="none"/>
              </w:rPr>
            </w:pPr>
          </w:p>
        </w:tc>
        <w:tc>
          <w:tcPr>
            <w:tcW w:w="2209" w:type="dxa"/>
            <w:vAlign w:val="center"/>
          </w:tcPr>
          <w:p w14:paraId="60050CD9">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A02052399其他制冷空调设备</w:t>
            </w:r>
          </w:p>
        </w:tc>
        <w:tc>
          <w:tcPr>
            <w:tcW w:w="1807" w:type="dxa"/>
            <w:vAlign w:val="center"/>
          </w:tcPr>
          <w:p w14:paraId="34C60306">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冷却塔</w:t>
            </w:r>
          </w:p>
        </w:tc>
        <w:tc>
          <w:tcPr>
            <w:tcW w:w="3301" w:type="dxa"/>
            <w:vAlign w:val="center"/>
          </w:tcPr>
          <w:p w14:paraId="71A4F319">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《机械通风冷却塔 第 1 部分：中小型开式冷却塔》（GB/T 7190.1）</w:t>
            </w:r>
          </w:p>
          <w:p w14:paraId="353BE22C">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《机械通风冷却塔 第 2 部分：大型开式冷却塔》（GB/T 7190.2）</w:t>
            </w:r>
          </w:p>
        </w:tc>
      </w:tr>
      <w:tr w14:paraId="0C91DE0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Align w:val="center"/>
          </w:tcPr>
          <w:p w14:paraId="12751987">
            <w:pPr>
              <w:jc w:val="center"/>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7</w:t>
            </w:r>
          </w:p>
        </w:tc>
        <w:tc>
          <w:tcPr>
            <w:tcW w:w="1933" w:type="dxa"/>
            <w:vAlign w:val="center"/>
          </w:tcPr>
          <w:p w14:paraId="5180799F">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A020601电机</w:t>
            </w:r>
          </w:p>
        </w:tc>
        <w:tc>
          <w:tcPr>
            <w:tcW w:w="2209" w:type="dxa"/>
            <w:vAlign w:val="center"/>
          </w:tcPr>
          <w:p w14:paraId="350A747F">
            <w:pPr>
              <w:jc w:val="left"/>
              <w:rPr>
                <w:rFonts w:hint="eastAsia" w:ascii="宋体" w:hAnsi="宋体" w:eastAsia="宋体" w:cs="宋体"/>
                <w:color w:val="auto"/>
                <w:w w:val="90"/>
                <w:szCs w:val="21"/>
                <w:highlight w:val="none"/>
              </w:rPr>
            </w:pPr>
          </w:p>
        </w:tc>
        <w:tc>
          <w:tcPr>
            <w:tcW w:w="1807" w:type="dxa"/>
            <w:vAlign w:val="center"/>
          </w:tcPr>
          <w:p w14:paraId="11C20BFA">
            <w:pPr>
              <w:jc w:val="center"/>
              <w:rPr>
                <w:rFonts w:hint="eastAsia" w:ascii="宋体" w:hAnsi="宋体" w:eastAsia="宋体" w:cs="宋体"/>
                <w:color w:val="auto"/>
                <w:w w:val="90"/>
                <w:szCs w:val="21"/>
                <w:highlight w:val="none"/>
              </w:rPr>
            </w:pPr>
          </w:p>
        </w:tc>
        <w:tc>
          <w:tcPr>
            <w:tcW w:w="3301" w:type="dxa"/>
            <w:vAlign w:val="center"/>
          </w:tcPr>
          <w:p w14:paraId="4FF4EBCC">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《中小型三相异步电动机能效限定值及能效等级》（GB 18613）</w:t>
            </w:r>
          </w:p>
        </w:tc>
      </w:tr>
      <w:tr w14:paraId="07C47BD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Align w:val="center"/>
          </w:tcPr>
          <w:p w14:paraId="29D68D5B">
            <w:pPr>
              <w:jc w:val="center"/>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8</w:t>
            </w:r>
          </w:p>
        </w:tc>
        <w:tc>
          <w:tcPr>
            <w:tcW w:w="1933" w:type="dxa"/>
            <w:vAlign w:val="center"/>
          </w:tcPr>
          <w:p w14:paraId="4FD191B8">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A020602变压器</w:t>
            </w:r>
          </w:p>
        </w:tc>
        <w:tc>
          <w:tcPr>
            <w:tcW w:w="2209" w:type="dxa"/>
            <w:vAlign w:val="center"/>
          </w:tcPr>
          <w:p w14:paraId="7D8A0317">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配电变压器</w:t>
            </w:r>
          </w:p>
        </w:tc>
        <w:tc>
          <w:tcPr>
            <w:tcW w:w="1807" w:type="dxa"/>
            <w:vAlign w:val="center"/>
          </w:tcPr>
          <w:p w14:paraId="72296747">
            <w:pPr>
              <w:jc w:val="center"/>
              <w:rPr>
                <w:rFonts w:hint="eastAsia" w:ascii="宋体" w:hAnsi="宋体" w:eastAsia="宋体" w:cs="宋体"/>
                <w:color w:val="auto"/>
                <w:w w:val="90"/>
                <w:szCs w:val="21"/>
                <w:highlight w:val="none"/>
              </w:rPr>
            </w:pPr>
          </w:p>
        </w:tc>
        <w:tc>
          <w:tcPr>
            <w:tcW w:w="3301" w:type="dxa"/>
            <w:vAlign w:val="center"/>
          </w:tcPr>
          <w:p w14:paraId="7A1383D3">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《三相配电变压器能效限定值及能效等级》（GB 20052）</w:t>
            </w:r>
          </w:p>
        </w:tc>
      </w:tr>
      <w:tr w14:paraId="66E9E4A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Align w:val="center"/>
          </w:tcPr>
          <w:p w14:paraId="6B2C76B5">
            <w:pPr>
              <w:jc w:val="center"/>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9</w:t>
            </w:r>
          </w:p>
        </w:tc>
        <w:tc>
          <w:tcPr>
            <w:tcW w:w="1933" w:type="dxa"/>
            <w:vAlign w:val="center"/>
          </w:tcPr>
          <w:p w14:paraId="2A60FDBB">
            <w:pPr>
              <w:jc w:val="left"/>
              <w:rPr>
                <w:rFonts w:hint="eastAsia" w:ascii="宋体" w:hAnsi="宋体" w:eastAsia="宋体" w:cs="宋体"/>
                <w:b/>
                <w:color w:val="auto"/>
                <w:w w:val="90"/>
                <w:szCs w:val="21"/>
                <w:highlight w:val="none"/>
              </w:rPr>
            </w:pPr>
            <w:r>
              <w:rPr>
                <w:rFonts w:hint="eastAsia" w:ascii="宋体" w:hAnsi="宋体" w:eastAsia="宋体" w:cs="宋体"/>
                <w:color w:val="auto"/>
                <w:w w:val="90"/>
                <w:szCs w:val="21"/>
                <w:highlight w:val="none"/>
              </w:rPr>
              <w:t>★</w:t>
            </w:r>
            <w:r>
              <w:rPr>
                <w:rFonts w:hint="eastAsia" w:ascii="宋体" w:hAnsi="宋体" w:eastAsia="宋体" w:cs="宋体"/>
                <w:b/>
                <w:color w:val="auto"/>
                <w:w w:val="90"/>
                <w:szCs w:val="21"/>
                <w:highlight w:val="none"/>
              </w:rPr>
              <w:t>A020609镇流器</w:t>
            </w:r>
          </w:p>
        </w:tc>
        <w:tc>
          <w:tcPr>
            <w:tcW w:w="2209" w:type="dxa"/>
            <w:vAlign w:val="center"/>
          </w:tcPr>
          <w:p w14:paraId="5D808352">
            <w:pPr>
              <w:jc w:val="left"/>
              <w:rPr>
                <w:rFonts w:hint="eastAsia" w:ascii="宋体" w:hAnsi="宋体" w:eastAsia="宋体" w:cs="宋体"/>
                <w:b/>
                <w:color w:val="auto"/>
                <w:w w:val="90"/>
                <w:szCs w:val="21"/>
                <w:highlight w:val="none"/>
              </w:rPr>
            </w:pPr>
            <w:r>
              <w:rPr>
                <w:rFonts w:hint="eastAsia" w:ascii="宋体" w:hAnsi="宋体" w:eastAsia="宋体" w:cs="宋体"/>
                <w:b/>
                <w:color w:val="auto"/>
                <w:w w:val="90"/>
                <w:szCs w:val="21"/>
                <w:highlight w:val="none"/>
              </w:rPr>
              <w:t>管型荧光灯镇流器</w:t>
            </w:r>
          </w:p>
        </w:tc>
        <w:tc>
          <w:tcPr>
            <w:tcW w:w="1807" w:type="dxa"/>
            <w:vAlign w:val="center"/>
          </w:tcPr>
          <w:p w14:paraId="4CAB125D">
            <w:pPr>
              <w:jc w:val="center"/>
              <w:rPr>
                <w:rFonts w:hint="eastAsia" w:ascii="宋体" w:hAnsi="宋体" w:eastAsia="宋体" w:cs="宋体"/>
                <w:color w:val="auto"/>
                <w:w w:val="90"/>
                <w:szCs w:val="21"/>
                <w:highlight w:val="none"/>
              </w:rPr>
            </w:pPr>
          </w:p>
        </w:tc>
        <w:tc>
          <w:tcPr>
            <w:tcW w:w="3301" w:type="dxa"/>
            <w:vAlign w:val="center"/>
          </w:tcPr>
          <w:p w14:paraId="1142F39A">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《管形荧光灯镇流器能效限定值及能效等级》（GB 17896）</w:t>
            </w:r>
          </w:p>
        </w:tc>
      </w:tr>
      <w:tr w14:paraId="77FF1CA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restart"/>
            <w:vAlign w:val="center"/>
          </w:tcPr>
          <w:p w14:paraId="3841D857">
            <w:pPr>
              <w:jc w:val="center"/>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10</w:t>
            </w:r>
          </w:p>
        </w:tc>
        <w:tc>
          <w:tcPr>
            <w:tcW w:w="1933" w:type="dxa"/>
            <w:vMerge w:val="restart"/>
            <w:vAlign w:val="center"/>
          </w:tcPr>
          <w:p w14:paraId="4800D45D">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A020618 生活用电器</w:t>
            </w:r>
          </w:p>
        </w:tc>
        <w:tc>
          <w:tcPr>
            <w:tcW w:w="2209" w:type="dxa"/>
            <w:vAlign w:val="center"/>
          </w:tcPr>
          <w:p w14:paraId="281D77E1">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A0206180101电冰箱</w:t>
            </w:r>
          </w:p>
        </w:tc>
        <w:tc>
          <w:tcPr>
            <w:tcW w:w="1807" w:type="dxa"/>
            <w:vAlign w:val="center"/>
          </w:tcPr>
          <w:p w14:paraId="21D43503">
            <w:pPr>
              <w:jc w:val="center"/>
              <w:rPr>
                <w:rFonts w:hint="eastAsia" w:ascii="宋体" w:hAnsi="宋体" w:eastAsia="宋体" w:cs="宋体"/>
                <w:color w:val="auto"/>
                <w:w w:val="90"/>
                <w:szCs w:val="21"/>
                <w:highlight w:val="none"/>
              </w:rPr>
            </w:pPr>
          </w:p>
        </w:tc>
        <w:tc>
          <w:tcPr>
            <w:tcW w:w="3301" w:type="dxa"/>
            <w:vAlign w:val="center"/>
          </w:tcPr>
          <w:p w14:paraId="6BD2C00D">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《家用电冰箱耗电量限定值及能效等级》（GB</w:t>
            </w:r>
            <w:r>
              <w:rPr>
                <w:rFonts w:hint="eastAsia" w:ascii="宋体" w:hAnsi="宋体" w:eastAsia="宋体" w:cs="宋体"/>
                <w:color w:val="auto"/>
                <w:w w:val="90"/>
                <w:szCs w:val="21"/>
                <w:highlight w:val="none"/>
              </w:rPr>
              <w:tab/>
            </w:r>
            <w:r>
              <w:rPr>
                <w:rFonts w:hint="eastAsia" w:ascii="宋体" w:hAnsi="宋体" w:eastAsia="宋体" w:cs="宋体"/>
                <w:color w:val="auto"/>
                <w:w w:val="90"/>
                <w:szCs w:val="21"/>
                <w:highlight w:val="none"/>
              </w:rPr>
              <w:t>12021.2）</w:t>
            </w:r>
          </w:p>
        </w:tc>
      </w:tr>
      <w:tr w14:paraId="002CFA2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481EAC65">
            <w:pPr>
              <w:jc w:val="center"/>
              <w:rPr>
                <w:rFonts w:hint="eastAsia" w:ascii="宋体" w:hAnsi="宋体" w:eastAsia="宋体" w:cs="宋体"/>
                <w:color w:val="auto"/>
                <w:w w:val="90"/>
                <w:szCs w:val="21"/>
                <w:highlight w:val="none"/>
              </w:rPr>
            </w:pPr>
          </w:p>
        </w:tc>
        <w:tc>
          <w:tcPr>
            <w:tcW w:w="1933" w:type="dxa"/>
            <w:vMerge w:val="continue"/>
            <w:vAlign w:val="center"/>
          </w:tcPr>
          <w:p w14:paraId="396380B1">
            <w:pPr>
              <w:jc w:val="left"/>
              <w:rPr>
                <w:rFonts w:hint="eastAsia" w:ascii="宋体" w:hAnsi="宋体" w:eastAsia="宋体" w:cs="宋体"/>
                <w:color w:val="auto"/>
                <w:w w:val="90"/>
                <w:szCs w:val="21"/>
                <w:highlight w:val="none"/>
              </w:rPr>
            </w:pPr>
          </w:p>
        </w:tc>
        <w:tc>
          <w:tcPr>
            <w:tcW w:w="2209" w:type="dxa"/>
            <w:vMerge w:val="restart"/>
            <w:vAlign w:val="center"/>
          </w:tcPr>
          <w:p w14:paraId="1C98F374">
            <w:pPr>
              <w:jc w:val="left"/>
              <w:rPr>
                <w:rFonts w:hint="eastAsia" w:ascii="宋体" w:hAnsi="宋体" w:eastAsia="宋体" w:cs="宋体"/>
                <w:b/>
                <w:color w:val="auto"/>
                <w:w w:val="90"/>
                <w:szCs w:val="21"/>
                <w:highlight w:val="none"/>
              </w:rPr>
            </w:pPr>
            <w:r>
              <w:rPr>
                <w:rFonts w:hint="eastAsia" w:ascii="宋体" w:hAnsi="宋体" w:eastAsia="宋体" w:cs="宋体"/>
                <w:color w:val="auto"/>
                <w:w w:val="90"/>
                <w:szCs w:val="21"/>
                <w:highlight w:val="none"/>
              </w:rPr>
              <w:t>★</w:t>
            </w:r>
            <w:r>
              <w:rPr>
                <w:rFonts w:hint="eastAsia" w:ascii="宋体" w:hAnsi="宋体" w:eastAsia="宋体" w:cs="宋体"/>
                <w:b/>
                <w:color w:val="auto"/>
                <w:w w:val="90"/>
                <w:szCs w:val="21"/>
                <w:highlight w:val="none"/>
              </w:rPr>
              <w:t>A0206180203空调机</w:t>
            </w:r>
          </w:p>
        </w:tc>
        <w:tc>
          <w:tcPr>
            <w:tcW w:w="1807" w:type="dxa"/>
            <w:vAlign w:val="center"/>
          </w:tcPr>
          <w:p w14:paraId="3647EB67">
            <w:pPr>
              <w:jc w:val="left"/>
              <w:rPr>
                <w:rFonts w:hint="eastAsia" w:ascii="宋体" w:hAnsi="宋体" w:eastAsia="宋体" w:cs="宋体"/>
                <w:b/>
                <w:color w:val="auto"/>
                <w:w w:val="90"/>
                <w:szCs w:val="21"/>
                <w:highlight w:val="none"/>
              </w:rPr>
            </w:pPr>
            <w:r>
              <w:rPr>
                <w:rFonts w:hint="eastAsia" w:ascii="宋体" w:hAnsi="宋体" w:eastAsia="宋体" w:cs="宋体"/>
                <w:b/>
                <w:color w:val="auto"/>
                <w:w w:val="90"/>
                <w:szCs w:val="21"/>
                <w:highlight w:val="none"/>
              </w:rPr>
              <w:t>房间空气调节器</w:t>
            </w:r>
          </w:p>
        </w:tc>
        <w:tc>
          <w:tcPr>
            <w:tcW w:w="3301" w:type="dxa"/>
            <w:vAlign w:val="center"/>
          </w:tcPr>
          <w:p w14:paraId="7DDF4A7C">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《转速可控型房间空气调节器能效限定值及能效等级》（GB 21455-2013），待2019年修订发布后，按《房间空气调节器能效限定值及能效等级》（GB21455-2019）实施。</w:t>
            </w:r>
          </w:p>
        </w:tc>
      </w:tr>
      <w:tr w14:paraId="0BEC23D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5962C6C5">
            <w:pPr>
              <w:jc w:val="center"/>
              <w:rPr>
                <w:rFonts w:hint="eastAsia" w:ascii="宋体" w:hAnsi="宋体" w:eastAsia="宋体" w:cs="宋体"/>
                <w:color w:val="auto"/>
                <w:w w:val="90"/>
                <w:szCs w:val="21"/>
                <w:highlight w:val="none"/>
              </w:rPr>
            </w:pPr>
          </w:p>
        </w:tc>
        <w:tc>
          <w:tcPr>
            <w:tcW w:w="1933" w:type="dxa"/>
            <w:vMerge w:val="continue"/>
            <w:vAlign w:val="center"/>
          </w:tcPr>
          <w:p w14:paraId="0DCF724C">
            <w:pPr>
              <w:jc w:val="left"/>
              <w:rPr>
                <w:rFonts w:hint="eastAsia" w:ascii="宋体" w:hAnsi="宋体" w:eastAsia="宋体" w:cs="宋体"/>
                <w:color w:val="auto"/>
                <w:w w:val="90"/>
                <w:szCs w:val="21"/>
                <w:highlight w:val="none"/>
              </w:rPr>
            </w:pPr>
          </w:p>
        </w:tc>
        <w:tc>
          <w:tcPr>
            <w:tcW w:w="2209" w:type="dxa"/>
            <w:vMerge w:val="continue"/>
            <w:vAlign w:val="center"/>
          </w:tcPr>
          <w:p w14:paraId="0F45198F">
            <w:pPr>
              <w:jc w:val="left"/>
              <w:rPr>
                <w:rFonts w:hint="eastAsia" w:ascii="宋体" w:hAnsi="宋体" w:eastAsia="宋体" w:cs="宋体"/>
                <w:b/>
                <w:color w:val="auto"/>
                <w:w w:val="90"/>
                <w:szCs w:val="21"/>
                <w:highlight w:val="none"/>
              </w:rPr>
            </w:pPr>
          </w:p>
        </w:tc>
        <w:tc>
          <w:tcPr>
            <w:tcW w:w="1807" w:type="dxa"/>
            <w:vAlign w:val="center"/>
          </w:tcPr>
          <w:p w14:paraId="7D0213C6">
            <w:pPr>
              <w:jc w:val="left"/>
              <w:rPr>
                <w:rFonts w:hint="eastAsia" w:ascii="宋体" w:hAnsi="宋体" w:eastAsia="宋体" w:cs="宋体"/>
                <w:b/>
                <w:color w:val="auto"/>
                <w:w w:val="90"/>
                <w:szCs w:val="21"/>
                <w:highlight w:val="none"/>
              </w:rPr>
            </w:pPr>
            <w:r>
              <w:rPr>
                <w:rFonts w:hint="eastAsia" w:ascii="宋体" w:hAnsi="宋体" w:eastAsia="宋体" w:cs="宋体"/>
                <w:b/>
                <w:color w:val="auto"/>
                <w:w w:val="90"/>
                <w:szCs w:val="21"/>
                <w:highlight w:val="none"/>
              </w:rPr>
              <w:t>多联式空调（热泵）机组（制冷量≤ 14000W）</w:t>
            </w:r>
          </w:p>
        </w:tc>
        <w:tc>
          <w:tcPr>
            <w:tcW w:w="3301" w:type="dxa"/>
            <w:vAlign w:val="center"/>
          </w:tcPr>
          <w:p w14:paraId="19D6075D">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《多联式空调（热泵）机组能效限定值及能源效率等级》（GB 21454）</w:t>
            </w:r>
          </w:p>
        </w:tc>
      </w:tr>
      <w:tr w14:paraId="5ED758A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4CE691EF">
            <w:pPr>
              <w:jc w:val="center"/>
              <w:rPr>
                <w:rFonts w:hint="eastAsia" w:ascii="宋体" w:hAnsi="宋体" w:eastAsia="宋体" w:cs="宋体"/>
                <w:color w:val="auto"/>
                <w:w w:val="90"/>
                <w:szCs w:val="21"/>
                <w:highlight w:val="none"/>
              </w:rPr>
            </w:pPr>
          </w:p>
        </w:tc>
        <w:tc>
          <w:tcPr>
            <w:tcW w:w="1933" w:type="dxa"/>
            <w:vMerge w:val="continue"/>
            <w:vAlign w:val="center"/>
          </w:tcPr>
          <w:p w14:paraId="7B400528">
            <w:pPr>
              <w:jc w:val="left"/>
              <w:rPr>
                <w:rFonts w:hint="eastAsia" w:ascii="宋体" w:hAnsi="宋体" w:eastAsia="宋体" w:cs="宋体"/>
                <w:color w:val="auto"/>
                <w:w w:val="90"/>
                <w:szCs w:val="21"/>
                <w:highlight w:val="none"/>
              </w:rPr>
            </w:pPr>
          </w:p>
        </w:tc>
        <w:tc>
          <w:tcPr>
            <w:tcW w:w="2209" w:type="dxa"/>
            <w:vMerge w:val="continue"/>
            <w:vAlign w:val="center"/>
          </w:tcPr>
          <w:p w14:paraId="2D625A5D">
            <w:pPr>
              <w:jc w:val="left"/>
              <w:rPr>
                <w:rFonts w:hint="eastAsia" w:ascii="宋体" w:hAnsi="宋体" w:eastAsia="宋体" w:cs="宋体"/>
                <w:b/>
                <w:color w:val="auto"/>
                <w:w w:val="90"/>
                <w:szCs w:val="21"/>
                <w:highlight w:val="none"/>
              </w:rPr>
            </w:pPr>
          </w:p>
        </w:tc>
        <w:tc>
          <w:tcPr>
            <w:tcW w:w="1807" w:type="dxa"/>
            <w:vAlign w:val="center"/>
          </w:tcPr>
          <w:p w14:paraId="6AF959B2">
            <w:pPr>
              <w:jc w:val="left"/>
              <w:rPr>
                <w:rFonts w:hint="eastAsia" w:ascii="宋体" w:hAnsi="宋体" w:eastAsia="宋体" w:cs="宋体"/>
                <w:b/>
                <w:color w:val="auto"/>
                <w:w w:val="90"/>
                <w:szCs w:val="21"/>
                <w:highlight w:val="none"/>
              </w:rPr>
            </w:pPr>
            <w:r>
              <w:rPr>
                <w:rFonts w:hint="eastAsia" w:ascii="宋体" w:hAnsi="宋体" w:eastAsia="宋体" w:cs="宋体"/>
                <w:b/>
                <w:color w:val="auto"/>
                <w:w w:val="90"/>
                <w:szCs w:val="21"/>
                <w:highlight w:val="none"/>
              </w:rPr>
              <w:t>单元式空气调节机(制冷量≤14000W)</w:t>
            </w:r>
          </w:p>
        </w:tc>
        <w:tc>
          <w:tcPr>
            <w:tcW w:w="3301" w:type="dxa"/>
            <w:vAlign w:val="center"/>
          </w:tcPr>
          <w:p w14:paraId="5712B953">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《单元式空气调节机能效限定值及能源效率等级》（GB 19576）《风管送风式空调机组能效限定值及能效等级》（GB 37479）</w:t>
            </w:r>
          </w:p>
        </w:tc>
      </w:tr>
      <w:tr w14:paraId="0F96BB2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0885DBB5">
            <w:pPr>
              <w:jc w:val="center"/>
              <w:rPr>
                <w:rFonts w:hint="eastAsia" w:ascii="宋体" w:hAnsi="宋体" w:eastAsia="宋体" w:cs="宋体"/>
                <w:color w:val="auto"/>
                <w:w w:val="90"/>
                <w:szCs w:val="21"/>
                <w:highlight w:val="none"/>
              </w:rPr>
            </w:pPr>
          </w:p>
        </w:tc>
        <w:tc>
          <w:tcPr>
            <w:tcW w:w="1933" w:type="dxa"/>
            <w:vMerge w:val="continue"/>
            <w:vAlign w:val="center"/>
          </w:tcPr>
          <w:p w14:paraId="7B041E93">
            <w:pPr>
              <w:jc w:val="left"/>
              <w:rPr>
                <w:rFonts w:hint="eastAsia" w:ascii="宋体" w:hAnsi="宋体" w:eastAsia="宋体" w:cs="宋体"/>
                <w:color w:val="auto"/>
                <w:w w:val="90"/>
                <w:szCs w:val="21"/>
                <w:highlight w:val="none"/>
              </w:rPr>
            </w:pPr>
          </w:p>
        </w:tc>
        <w:tc>
          <w:tcPr>
            <w:tcW w:w="2209" w:type="dxa"/>
            <w:vAlign w:val="center"/>
          </w:tcPr>
          <w:p w14:paraId="05AE8684">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A0206180301洗衣机</w:t>
            </w:r>
          </w:p>
        </w:tc>
        <w:tc>
          <w:tcPr>
            <w:tcW w:w="1807" w:type="dxa"/>
            <w:vAlign w:val="center"/>
          </w:tcPr>
          <w:p w14:paraId="31306CD0">
            <w:pPr>
              <w:jc w:val="left"/>
              <w:rPr>
                <w:rFonts w:hint="eastAsia" w:ascii="宋体" w:hAnsi="宋体" w:eastAsia="宋体" w:cs="宋体"/>
                <w:color w:val="auto"/>
                <w:w w:val="90"/>
                <w:szCs w:val="21"/>
                <w:highlight w:val="none"/>
              </w:rPr>
            </w:pPr>
          </w:p>
        </w:tc>
        <w:tc>
          <w:tcPr>
            <w:tcW w:w="3301" w:type="dxa"/>
            <w:vAlign w:val="center"/>
          </w:tcPr>
          <w:p w14:paraId="7CEE7DE6">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《电动洗衣机能效水效限定值及等级》（GB 12021.4）</w:t>
            </w:r>
          </w:p>
        </w:tc>
      </w:tr>
      <w:tr w14:paraId="5D9686D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31574E2C">
            <w:pPr>
              <w:jc w:val="center"/>
              <w:rPr>
                <w:rFonts w:hint="eastAsia" w:ascii="宋体" w:hAnsi="宋体" w:eastAsia="宋体" w:cs="宋体"/>
                <w:color w:val="auto"/>
                <w:w w:val="90"/>
                <w:szCs w:val="21"/>
                <w:highlight w:val="none"/>
              </w:rPr>
            </w:pPr>
          </w:p>
        </w:tc>
        <w:tc>
          <w:tcPr>
            <w:tcW w:w="1933" w:type="dxa"/>
            <w:vMerge w:val="continue"/>
            <w:vAlign w:val="center"/>
          </w:tcPr>
          <w:p w14:paraId="11A308EA">
            <w:pPr>
              <w:jc w:val="left"/>
              <w:rPr>
                <w:rFonts w:hint="eastAsia" w:ascii="宋体" w:hAnsi="宋体" w:eastAsia="宋体" w:cs="宋体"/>
                <w:color w:val="auto"/>
                <w:w w:val="90"/>
                <w:szCs w:val="21"/>
                <w:highlight w:val="none"/>
              </w:rPr>
            </w:pPr>
          </w:p>
        </w:tc>
        <w:tc>
          <w:tcPr>
            <w:tcW w:w="2209" w:type="dxa"/>
            <w:vMerge w:val="restart"/>
            <w:vAlign w:val="center"/>
          </w:tcPr>
          <w:p w14:paraId="66F95593">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A02061808热水器</w:t>
            </w:r>
          </w:p>
        </w:tc>
        <w:tc>
          <w:tcPr>
            <w:tcW w:w="1807" w:type="dxa"/>
            <w:vAlign w:val="center"/>
          </w:tcPr>
          <w:p w14:paraId="4D9D0FA9">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w:t>
            </w:r>
            <w:r>
              <w:rPr>
                <w:rFonts w:hint="eastAsia" w:ascii="宋体" w:hAnsi="宋体" w:eastAsia="宋体" w:cs="宋体"/>
                <w:b/>
                <w:color w:val="auto"/>
                <w:w w:val="90"/>
                <w:szCs w:val="21"/>
                <w:highlight w:val="none"/>
              </w:rPr>
              <w:t>电热水器</w:t>
            </w:r>
          </w:p>
        </w:tc>
        <w:tc>
          <w:tcPr>
            <w:tcW w:w="3301" w:type="dxa"/>
            <w:vAlign w:val="center"/>
          </w:tcPr>
          <w:p w14:paraId="07576B73">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《储水式电热水器能效限定值及能效等级》（GB 21519）</w:t>
            </w:r>
          </w:p>
        </w:tc>
      </w:tr>
      <w:tr w14:paraId="0C529B2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5D861E1D">
            <w:pPr>
              <w:jc w:val="center"/>
              <w:rPr>
                <w:rFonts w:hint="eastAsia" w:ascii="宋体" w:hAnsi="宋体" w:eastAsia="宋体" w:cs="宋体"/>
                <w:color w:val="auto"/>
                <w:w w:val="90"/>
                <w:szCs w:val="21"/>
                <w:highlight w:val="none"/>
              </w:rPr>
            </w:pPr>
          </w:p>
        </w:tc>
        <w:tc>
          <w:tcPr>
            <w:tcW w:w="1933" w:type="dxa"/>
            <w:vMerge w:val="continue"/>
            <w:vAlign w:val="center"/>
          </w:tcPr>
          <w:p w14:paraId="3C06D8A0">
            <w:pPr>
              <w:jc w:val="left"/>
              <w:rPr>
                <w:rFonts w:hint="eastAsia" w:ascii="宋体" w:hAnsi="宋体" w:eastAsia="宋体" w:cs="宋体"/>
                <w:color w:val="auto"/>
                <w:w w:val="90"/>
                <w:szCs w:val="21"/>
                <w:highlight w:val="none"/>
              </w:rPr>
            </w:pPr>
          </w:p>
        </w:tc>
        <w:tc>
          <w:tcPr>
            <w:tcW w:w="2209" w:type="dxa"/>
            <w:vMerge w:val="continue"/>
            <w:vAlign w:val="center"/>
          </w:tcPr>
          <w:p w14:paraId="45875BC9">
            <w:pPr>
              <w:jc w:val="left"/>
              <w:rPr>
                <w:rFonts w:hint="eastAsia" w:ascii="宋体" w:hAnsi="宋体" w:eastAsia="宋体" w:cs="宋体"/>
                <w:color w:val="auto"/>
                <w:w w:val="90"/>
                <w:szCs w:val="21"/>
                <w:highlight w:val="none"/>
              </w:rPr>
            </w:pPr>
          </w:p>
        </w:tc>
        <w:tc>
          <w:tcPr>
            <w:tcW w:w="1807" w:type="dxa"/>
            <w:vAlign w:val="center"/>
          </w:tcPr>
          <w:p w14:paraId="4C992865">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燃气热水器</w:t>
            </w:r>
          </w:p>
        </w:tc>
        <w:tc>
          <w:tcPr>
            <w:tcW w:w="3301" w:type="dxa"/>
            <w:vAlign w:val="center"/>
          </w:tcPr>
          <w:p w14:paraId="5F1336E2">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《家用燃气快速热水器和燃气采暖热水炉能效限定值及能效等级（GB 20665）</w:t>
            </w:r>
          </w:p>
        </w:tc>
      </w:tr>
      <w:tr w14:paraId="54ABA15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2DB16DB8">
            <w:pPr>
              <w:jc w:val="center"/>
              <w:rPr>
                <w:rFonts w:hint="eastAsia" w:ascii="宋体" w:hAnsi="宋体" w:eastAsia="宋体" w:cs="宋体"/>
                <w:color w:val="auto"/>
                <w:w w:val="90"/>
                <w:szCs w:val="21"/>
                <w:highlight w:val="none"/>
              </w:rPr>
            </w:pPr>
          </w:p>
        </w:tc>
        <w:tc>
          <w:tcPr>
            <w:tcW w:w="1933" w:type="dxa"/>
            <w:vMerge w:val="continue"/>
            <w:vAlign w:val="center"/>
          </w:tcPr>
          <w:p w14:paraId="2164D8F4">
            <w:pPr>
              <w:jc w:val="left"/>
              <w:rPr>
                <w:rFonts w:hint="eastAsia" w:ascii="宋体" w:hAnsi="宋体" w:eastAsia="宋体" w:cs="宋体"/>
                <w:color w:val="auto"/>
                <w:w w:val="90"/>
                <w:szCs w:val="21"/>
                <w:highlight w:val="none"/>
              </w:rPr>
            </w:pPr>
          </w:p>
        </w:tc>
        <w:tc>
          <w:tcPr>
            <w:tcW w:w="2209" w:type="dxa"/>
            <w:vMerge w:val="continue"/>
            <w:vAlign w:val="center"/>
          </w:tcPr>
          <w:p w14:paraId="2A5B3E5D">
            <w:pPr>
              <w:jc w:val="left"/>
              <w:rPr>
                <w:rFonts w:hint="eastAsia" w:ascii="宋体" w:hAnsi="宋体" w:eastAsia="宋体" w:cs="宋体"/>
                <w:color w:val="auto"/>
                <w:w w:val="90"/>
                <w:szCs w:val="21"/>
                <w:highlight w:val="none"/>
              </w:rPr>
            </w:pPr>
          </w:p>
        </w:tc>
        <w:tc>
          <w:tcPr>
            <w:tcW w:w="1807" w:type="dxa"/>
            <w:vAlign w:val="center"/>
          </w:tcPr>
          <w:p w14:paraId="74989205">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热泵热水器</w:t>
            </w:r>
          </w:p>
        </w:tc>
        <w:tc>
          <w:tcPr>
            <w:tcW w:w="3301" w:type="dxa"/>
            <w:vAlign w:val="center"/>
          </w:tcPr>
          <w:p w14:paraId="369DACF6">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《热泵热水机（器）能效限定值及能效等级》（GB 29541）</w:t>
            </w:r>
          </w:p>
        </w:tc>
      </w:tr>
      <w:tr w14:paraId="4ABFEEB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04456F16">
            <w:pPr>
              <w:jc w:val="center"/>
              <w:rPr>
                <w:rFonts w:hint="eastAsia" w:ascii="宋体" w:hAnsi="宋体" w:eastAsia="宋体" w:cs="宋体"/>
                <w:color w:val="auto"/>
                <w:w w:val="90"/>
                <w:szCs w:val="21"/>
                <w:highlight w:val="none"/>
              </w:rPr>
            </w:pPr>
          </w:p>
        </w:tc>
        <w:tc>
          <w:tcPr>
            <w:tcW w:w="1933" w:type="dxa"/>
            <w:vMerge w:val="continue"/>
            <w:vAlign w:val="center"/>
          </w:tcPr>
          <w:p w14:paraId="7450333D">
            <w:pPr>
              <w:jc w:val="left"/>
              <w:rPr>
                <w:rFonts w:hint="eastAsia" w:ascii="宋体" w:hAnsi="宋体" w:eastAsia="宋体" w:cs="宋体"/>
                <w:color w:val="auto"/>
                <w:w w:val="90"/>
                <w:szCs w:val="21"/>
                <w:highlight w:val="none"/>
              </w:rPr>
            </w:pPr>
          </w:p>
        </w:tc>
        <w:tc>
          <w:tcPr>
            <w:tcW w:w="2209" w:type="dxa"/>
            <w:vMerge w:val="continue"/>
            <w:vAlign w:val="center"/>
          </w:tcPr>
          <w:p w14:paraId="6BA3F4C6">
            <w:pPr>
              <w:jc w:val="left"/>
              <w:rPr>
                <w:rFonts w:hint="eastAsia" w:ascii="宋体" w:hAnsi="宋体" w:eastAsia="宋体" w:cs="宋体"/>
                <w:color w:val="auto"/>
                <w:w w:val="90"/>
                <w:szCs w:val="21"/>
                <w:highlight w:val="none"/>
              </w:rPr>
            </w:pPr>
          </w:p>
        </w:tc>
        <w:tc>
          <w:tcPr>
            <w:tcW w:w="1807" w:type="dxa"/>
            <w:vAlign w:val="center"/>
          </w:tcPr>
          <w:p w14:paraId="4E24F1C3">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太阳能热水系统</w:t>
            </w:r>
          </w:p>
        </w:tc>
        <w:tc>
          <w:tcPr>
            <w:tcW w:w="3301" w:type="dxa"/>
            <w:vAlign w:val="center"/>
          </w:tcPr>
          <w:p w14:paraId="6136718D">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《家用太阳能热水系统能效限定值及能效等级》（GB 26969）</w:t>
            </w:r>
          </w:p>
        </w:tc>
      </w:tr>
      <w:tr w14:paraId="5A44B9D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restart"/>
            <w:vAlign w:val="center"/>
          </w:tcPr>
          <w:p w14:paraId="67CD8A2C">
            <w:pPr>
              <w:jc w:val="center"/>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11</w:t>
            </w:r>
          </w:p>
        </w:tc>
        <w:tc>
          <w:tcPr>
            <w:tcW w:w="1933" w:type="dxa"/>
            <w:vMerge w:val="restart"/>
            <w:vAlign w:val="center"/>
          </w:tcPr>
          <w:p w14:paraId="0DB5CC0F">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A020619 照明设备</w:t>
            </w:r>
          </w:p>
        </w:tc>
        <w:tc>
          <w:tcPr>
            <w:tcW w:w="2209" w:type="dxa"/>
            <w:vAlign w:val="center"/>
          </w:tcPr>
          <w:p w14:paraId="46A3325C">
            <w:pPr>
              <w:jc w:val="left"/>
              <w:rPr>
                <w:rFonts w:hint="eastAsia" w:ascii="宋体" w:hAnsi="宋体" w:eastAsia="宋体" w:cs="宋体"/>
                <w:b/>
                <w:color w:val="auto"/>
                <w:w w:val="90"/>
                <w:szCs w:val="21"/>
                <w:highlight w:val="none"/>
              </w:rPr>
            </w:pPr>
            <w:r>
              <w:rPr>
                <w:rFonts w:hint="eastAsia" w:ascii="宋体" w:hAnsi="宋体" w:eastAsia="宋体" w:cs="宋体"/>
                <w:color w:val="auto"/>
                <w:w w:val="90"/>
                <w:szCs w:val="21"/>
                <w:highlight w:val="none"/>
              </w:rPr>
              <w:t>★</w:t>
            </w:r>
            <w:r>
              <w:rPr>
                <w:rFonts w:hint="eastAsia" w:ascii="宋体" w:hAnsi="宋体" w:eastAsia="宋体" w:cs="宋体"/>
                <w:b/>
                <w:color w:val="auto"/>
                <w:w w:val="90"/>
                <w:szCs w:val="21"/>
                <w:highlight w:val="none"/>
              </w:rPr>
              <w:t>普通照明用双端荧光灯</w:t>
            </w:r>
          </w:p>
        </w:tc>
        <w:tc>
          <w:tcPr>
            <w:tcW w:w="1807" w:type="dxa"/>
            <w:vAlign w:val="center"/>
          </w:tcPr>
          <w:p w14:paraId="633E4EEF">
            <w:pPr>
              <w:jc w:val="center"/>
              <w:rPr>
                <w:rFonts w:hint="eastAsia" w:ascii="宋体" w:hAnsi="宋体" w:eastAsia="宋体" w:cs="宋体"/>
                <w:color w:val="auto"/>
                <w:w w:val="90"/>
                <w:szCs w:val="21"/>
                <w:highlight w:val="none"/>
              </w:rPr>
            </w:pPr>
          </w:p>
        </w:tc>
        <w:tc>
          <w:tcPr>
            <w:tcW w:w="3301" w:type="dxa"/>
            <w:vAlign w:val="center"/>
          </w:tcPr>
          <w:p w14:paraId="79949B23">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《普通照明用双端荧光灯能效限定值及能效等级》（GB 19043）</w:t>
            </w:r>
          </w:p>
        </w:tc>
      </w:tr>
      <w:tr w14:paraId="0BACC7E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43C561F6">
            <w:pPr>
              <w:jc w:val="center"/>
              <w:rPr>
                <w:rFonts w:hint="eastAsia" w:ascii="宋体" w:hAnsi="宋体" w:eastAsia="宋体" w:cs="宋体"/>
                <w:color w:val="auto"/>
                <w:w w:val="90"/>
                <w:szCs w:val="21"/>
                <w:highlight w:val="none"/>
              </w:rPr>
            </w:pPr>
          </w:p>
        </w:tc>
        <w:tc>
          <w:tcPr>
            <w:tcW w:w="1933" w:type="dxa"/>
            <w:vMerge w:val="continue"/>
            <w:vAlign w:val="center"/>
          </w:tcPr>
          <w:p w14:paraId="10B78826">
            <w:pPr>
              <w:jc w:val="left"/>
              <w:rPr>
                <w:rFonts w:hint="eastAsia" w:ascii="宋体" w:hAnsi="宋体" w:eastAsia="宋体" w:cs="宋体"/>
                <w:color w:val="auto"/>
                <w:w w:val="90"/>
                <w:szCs w:val="21"/>
                <w:highlight w:val="none"/>
              </w:rPr>
            </w:pPr>
          </w:p>
        </w:tc>
        <w:tc>
          <w:tcPr>
            <w:tcW w:w="2209" w:type="dxa"/>
            <w:vAlign w:val="center"/>
          </w:tcPr>
          <w:p w14:paraId="64D86177">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LED道路/隧道照明产品</w:t>
            </w:r>
          </w:p>
        </w:tc>
        <w:tc>
          <w:tcPr>
            <w:tcW w:w="1807" w:type="dxa"/>
            <w:vAlign w:val="center"/>
          </w:tcPr>
          <w:p w14:paraId="6C0CC454">
            <w:pPr>
              <w:jc w:val="center"/>
              <w:rPr>
                <w:rFonts w:hint="eastAsia" w:ascii="宋体" w:hAnsi="宋体" w:eastAsia="宋体" w:cs="宋体"/>
                <w:color w:val="auto"/>
                <w:w w:val="90"/>
                <w:szCs w:val="21"/>
                <w:highlight w:val="none"/>
              </w:rPr>
            </w:pPr>
          </w:p>
        </w:tc>
        <w:tc>
          <w:tcPr>
            <w:tcW w:w="3301" w:type="dxa"/>
            <w:vAlign w:val="center"/>
          </w:tcPr>
          <w:p w14:paraId="0B512DD4">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《道路和隧道照明用LED灯具能效限定值及能效等级》（GB 37478）</w:t>
            </w:r>
          </w:p>
        </w:tc>
      </w:tr>
      <w:tr w14:paraId="1BD886E1">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272BEECB">
            <w:pPr>
              <w:jc w:val="center"/>
              <w:rPr>
                <w:rFonts w:hint="eastAsia" w:ascii="宋体" w:hAnsi="宋体" w:eastAsia="宋体" w:cs="宋体"/>
                <w:color w:val="auto"/>
                <w:w w:val="90"/>
                <w:szCs w:val="21"/>
                <w:highlight w:val="none"/>
              </w:rPr>
            </w:pPr>
          </w:p>
        </w:tc>
        <w:tc>
          <w:tcPr>
            <w:tcW w:w="1933" w:type="dxa"/>
            <w:vMerge w:val="continue"/>
            <w:vAlign w:val="center"/>
          </w:tcPr>
          <w:p w14:paraId="752030D3">
            <w:pPr>
              <w:jc w:val="left"/>
              <w:rPr>
                <w:rFonts w:hint="eastAsia" w:ascii="宋体" w:hAnsi="宋体" w:eastAsia="宋体" w:cs="宋体"/>
                <w:color w:val="auto"/>
                <w:w w:val="90"/>
                <w:szCs w:val="21"/>
                <w:highlight w:val="none"/>
              </w:rPr>
            </w:pPr>
          </w:p>
        </w:tc>
        <w:tc>
          <w:tcPr>
            <w:tcW w:w="2209" w:type="dxa"/>
            <w:vAlign w:val="center"/>
          </w:tcPr>
          <w:p w14:paraId="4D8DFBAB">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LED筒灯</w:t>
            </w:r>
          </w:p>
        </w:tc>
        <w:tc>
          <w:tcPr>
            <w:tcW w:w="1807" w:type="dxa"/>
            <w:vAlign w:val="center"/>
          </w:tcPr>
          <w:p w14:paraId="63DCCAA4">
            <w:pPr>
              <w:jc w:val="center"/>
              <w:rPr>
                <w:rFonts w:hint="eastAsia" w:ascii="宋体" w:hAnsi="宋体" w:eastAsia="宋体" w:cs="宋体"/>
                <w:color w:val="auto"/>
                <w:w w:val="90"/>
                <w:szCs w:val="21"/>
                <w:highlight w:val="none"/>
              </w:rPr>
            </w:pPr>
          </w:p>
        </w:tc>
        <w:tc>
          <w:tcPr>
            <w:tcW w:w="3301" w:type="dxa"/>
            <w:vAlign w:val="center"/>
          </w:tcPr>
          <w:p w14:paraId="3B7AD9DB">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《室内照明用LED产品能效限定值及能效等级》（GB 30255）</w:t>
            </w:r>
          </w:p>
        </w:tc>
      </w:tr>
      <w:tr w14:paraId="25802AB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5A832C0F">
            <w:pPr>
              <w:jc w:val="center"/>
              <w:rPr>
                <w:rFonts w:hint="eastAsia" w:ascii="宋体" w:hAnsi="宋体" w:eastAsia="宋体" w:cs="宋体"/>
                <w:color w:val="auto"/>
                <w:w w:val="90"/>
                <w:szCs w:val="21"/>
                <w:highlight w:val="none"/>
              </w:rPr>
            </w:pPr>
          </w:p>
        </w:tc>
        <w:tc>
          <w:tcPr>
            <w:tcW w:w="1933" w:type="dxa"/>
            <w:vMerge w:val="continue"/>
            <w:vAlign w:val="center"/>
          </w:tcPr>
          <w:p w14:paraId="51F65732">
            <w:pPr>
              <w:jc w:val="left"/>
              <w:rPr>
                <w:rFonts w:hint="eastAsia" w:ascii="宋体" w:hAnsi="宋体" w:eastAsia="宋体" w:cs="宋体"/>
                <w:color w:val="auto"/>
                <w:w w:val="90"/>
                <w:szCs w:val="21"/>
                <w:highlight w:val="none"/>
              </w:rPr>
            </w:pPr>
          </w:p>
        </w:tc>
        <w:tc>
          <w:tcPr>
            <w:tcW w:w="2209" w:type="dxa"/>
            <w:vAlign w:val="center"/>
          </w:tcPr>
          <w:p w14:paraId="43400815">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普通照明用非定向自镇流LED灯</w:t>
            </w:r>
          </w:p>
        </w:tc>
        <w:tc>
          <w:tcPr>
            <w:tcW w:w="1807" w:type="dxa"/>
            <w:vAlign w:val="center"/>
          </w:tcPr>
          <w:p w14:paraId="3C097915">
            <w:pPr>
              <w:jc w:val="center"/>
              <w:rPr>
                <w:rFonts w:hint="eastAsia" w:ascii="宋体" w:hAnsi="宋体" w:eastAsia="宋体" w:cs="宋体"/>
                <w:color w:val="auto"/>
                <w:w w:val="90"/>
                <w:szCs w:val="21"/>
                <w:highlight w:val="none"/>
              </w:rPr>
            </w:pPr>
          </w:p>
        </w:tc>
        <w:tc>
          <w:tcPr>
            <w:tcW w:w="3301" w:type="dxa"/>
            <w:vAlign w:val="center"/>
          </w:tcPr>
          <w:p w14:paraId="3F4EDF0E">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《室内照明用LED产品能效限定值及能效等级》（GB 30255）</w:t>
            </w:r>
          </w:p>
        </w:tc>
      </w:tr>
      <w:tr w14:paraId="381CA75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Align w:val="center"/>
          </w:tcPr>
          <w:p w14:paraId="79EF0080">
            <w:pPr>
              <w:jc w:val="center"/>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12</w:t>
            </w:r>
          </w:p>
        </w:tc>
        <w:tc>
          <w:tcPr>
            <w:tcW w:w="1933" w:type="dxa"/>
            <w:vAlign w:val="center"/>
          </w:tcPr>
          <w:p w14:paraId="5BBC8AEF">
            <w:pPr>
              <w:jc w:val="left"/>
              <w:rPr>
                <w:rFonts w:hint="eastAsia" w:ascii="宋体" w:hAnsi="宋体" w:eastAsia="宋体" w:cs="宋体"/>
                <w:b/>
                <w:color w:val="auto"/>
                <w:w w:val="90"/>
                <w:szCs w:val="21"/>
                <w:highlight w:val="none"/>
              </w:rPr>
            </w:pPr>
            <w:r>
              <w:rPr>
                <w:rFonts w:hint="eastAsia" w:ascii="宋体" w:hAnsi="宋体" w:eastAsia="宋体" w:cs="宋体"/>
                <w:color w:val="auto"/>
                <w:w w:val="90"/>
                <w:szCs w:val="21"/>
                <w:highlight w:val="none"/>
              </w:rPr>
              <w:t>★</w:t>
            </w:r>
            <w:r>
              <w:rPr>
                <w:rFonts w:hint="eastAsia" w:ascii="宋体" w:hAnsi="宋体" w:eastAsia="宋体" w:cs="宋体"/>
                <w:b/>
                <w:color w:val="auto"/>
                <w:w w:val="90"/>
                <w:szCs w:val="21"/>
                <w:highlight w:val="none"/>
              </w:rPr>
              <w:t>A020910电视设备</w:t>
            </w:r>
          </w:p>
        </w:tc>
        <w:tc>
          <w:tcPr>
            <w:tcW w:w="2209" w:type="dxa"/>
            <w:vAlign w:val="center"/>
          </w:tcPr>
          <w:p w14:paraId="1BCBC539">
            <w:pPr>
              <w:jc w:val="left"/>
              <w:rPr>
                <w:rFonts w:hint="eastAsia" w:ascii="宋体" w:hAnsi="宋体" w:eastAsia="宋体" w:cs="宋体"/>
                <w:b/>
                <w:color w:val="auto"/>
                <w:w w:val="90"/>
                <w:szCs w:val="21"/>
                <w:highlight w:val="none"/>
              </w:rPr>
            </w:pPr>
            <w:r>
              <w:rPr>
                <w:rFonts w:hint="eastAsia" w:ascii="宋体" w:hAnsi="宋体" w:eastAsia="宋体" w:cs="宋体"/>
                <w:b/>
                <w:color w:val="auto"/>
                <w:w w:val="90"/>
                <w:szCs w:val="21"/>
                <w:highlight w:val="none"/>
              </w:rPr>
              <w:t>A02091001普通电视设备（电视机）</w:t>
            </w:r>
          </w:p>
        </w:tc>
        <w:tc>
          <w:tcPr>
            <w:tcW w:w="1807" w:type="dxa"/>
            <w:vAlign w:val="center"/>
          </w:tcPr>
          <w:p w14:paraId="26D2B0BC">
            <w:pPr>
              <w:jc w:val="center"/>
              <w:rPr>
                <w:rFonts w:hint="eastAsia" w:ascii="宋体" w:hAnsi="宋体" w:eastAsia="宋体" w:cs="宋体"/>
                <w:color w:val="auto"/>
                <w:w w:val="90"/>
                <w:szCs w:val="21"/>
                <w:highlight w:val="none"/>
              </w:rPr>
            </w:pPr>
          </w:p>
        </w:tc>
        <w:tc>
          <w:tcPr>
            <w:tcW w:w="3301" w:type="dxa"/>
            <w:vAlign w:val="center"/>
          </w:tcPr>
          <w:p w14:paraId="2D5F5FFC">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《平板电视能效限定值及能效等级》（GB 24850）</w:t>
            </w:r>
          </w:p>
        </w:tc>
      </w:tr>
      <w:tr w14:paraId="5D5FC1E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Align w:val="center"/>
          </w:tcPr>
          <w:p w14:paraId="39D6ABA5">
            <w:pPr>
              <w:jc w:val="center"/>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13</w:t>
            </w:r>
          </w:p>
        </w:tc>
        <w:tc>
          <w:tcPr>
            <w:tcW w:w="1933" w:type="dxa"/>
            <w:vAlign w:val="center"/>
          </w:tcPr>
          <w:p w14:paraId="68BFB2EE">
            <w:pPr>
              <w:jc w:val="left"/>
              <w:rPr>
                <w:rFonts w:hint="eastAsia" w:ascii="宋体" w:hAnsi="宋体" w:eastAsia="宋体" w:cs="宋体"/>
                <w:b/>
                <w:color w:val="auto"/>
                <w:w w:val="90"/>
                <w:szCs w:val="21"/>
                <w:highlight w:val="none"/>
              </w:rPr>
            </w:pPr>
            <w:r>
              <w:rPr>
                <w:rFonts w:hint="eastAsia" w:ascii="宋体" w:hAnsi="宋体" w:eastAsia="宋体" w:cs="宋体"/>
                <w:color w:val="auto"/>
                <w:w w:val="90"/>
                <w:szCs w:val="21"/>
                <w:highlight w:val="none"/>
              </w:rPr>
              <w:t>★</w:t>
            </w:r>
            <w:r>
              <w:rPr>
                <w:rFonts w:hint="eastAsia" w:ascii="宋体" w:hAnsi="宋体" w:eastAsia="宋体" w:cs="宋体"/>
                <w:b/>
                <w:color w:val="auto"/>
                <w:w w:val="90"/>
                <w:szCs w:val="21"/>
                <w:highlight w:val="none"/>
              </w:rPr>
              <w:t>A020911视频设备</w:t>
            </w:r>
          </w:p>
        </w:tc>
        <w:tc>
          <w:tcPr>
            <w:tcW w:w="2209" w:type="dxa"/>
            <w:vAlign w:val="center"/>
          </w:tcPr>
          <w:p w14:paraId="2DB84BBD">
            <w:pPr>
              <w:jc w:val="left"/>
              <w:rPr>
                <w:rFonts w:hint="eastAsia" w:ascii="宋体" w:hAnsi="宋体" w:eastAsia="宋体" w:cs="宋体"/>
                <w:b/>
                <w:color w:val="auto"/>
                <w:w w:val="90"/>
                <w:szCs w:val="21"/>
                <w:highlight w:val="none"/>
              </w:rPr>
            </w:pPr>
            <w:r>
              <w:rPr>
                <w:rFonts w:hint="eastAsia" w:ascii="宋体" w:hAnsi="宋体" w:eastAsia="宋体" w:cs="宋体"/>
                <w:b/>
                <w:color w:val="auto"/>
                <w:w w:val="90"/>
                <w:szCs w:val="21"/>
                <w:highlight w:val="none"/>
              </w:rPr>
              <w:t>A02091107视频监控设备</w:t>
            </w:r>
          </w:p>
        </w:tc>
        <w:tc>
          <w:tcPr>
            <w:tcW w:w="1807" w:type="dxa"/>
            <w:vAlign w:val="center"/>
          </w:tcPr>
          <w:p w14:paraId="2FB9FEA9">
            <w:pPr>
              <w:jc w:val="center"/>
              <w:rPr>
                <w:rFonts w:hint="eastAsia" w:ascii="宋体" w:hAnsi="宋体" w:eastAsia="宋体" w:cs="宋体"/>
                <w:b/>
                <w:color w:val="auto"/>
                <w:w w:val="90"/>
                <w:szCs w:val="21"/>
                <w:highlight w:val="none"/>
              </w:rPr>
            </w:pPr>
            <w:r>
              <w:rPr>
                <w:rFonts w:hint="eastAsia" w:ascii="宋体" w:hAnsi="宋体" w:eastAsia="宋体" w:cs="宋体"/>
                <w:b/>
                <w:color w:val="auto"/>
                <w:w w:val="90"/>
                <w:szCs w:val="21"/>
                <w:highlight w:val="none"/>
              </w:rPr>
              <w:t>监视器</w:t>
            </w:r>
          </w:p>
        </w:tc>
        <w:tc>
          <w:tcPr>
            <w:tcW w:w="3301" w:type="dxa"/>
            <w:vAlign w:val="center"/>
          </w:tcPr>
          <w:p w14:paraId="2132BE37">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以射频信号为主要信号输入的监视器应符合《平板电视能效限定值及能效等级》（GB 24850），以数字信号为主要信号输入的监视器应符合《计算机显示器能效限定值及能效等级》（GB 21520）</w:t>
            </w:r>
          </w:p>
        </w:tc>
      </w:tr>
      <w:tr w14:paraId="0A9C2D3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Align w:val="center"/>
          </w:tcPr>
          <w:p w14:paraId="3871F880">
            <w:pPr>
              <w:jc w:val="center"/>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14</w:t>
            </w:r>
          </w:p>
        </w:tc>
        <w:tc>
          <w:tcPr>
            <w:tcW w:w="1933" w:type="dxa"/>
            <w:vAlign w:val="center"/>
          </w:tcPr>
          <w:p w14:paraId="6AC348E4">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A031210饮食炊事机械</w:t>
            </w:r>
          </w:p>
        </w:tc>
        <w:tc>
          <w:tcPr>
            <w:tcW w:w="2209" w:type="dxa"/>
            <w:vAlign w:val="center"/>
          </w:tcPr>
          <w:p w14:paraId="5E3E58BA">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商用燃气灶具</w:t>
            </w:r>
          </w:p>
        </w:tc>
        <w:tc>
          <w:tcPr>
            <w:tcW w:w="1807" w:type="dxa"/>
            <w:vAlign w:val="center"/>
          </w:tcPr>
          <w:p w14:paraId="3C67FDC7">
            <w:pPr>
              <w:jc w:val="center"/>
              <w:rPr>
                <w:rFonts w:hint="eastAsia" w:ascii="宋体" w:hAnsi="宋体" w:eastAsia="宋体" w:cs="宋体"/>
                <w:color w:val="auto"/>
                <w:w w:val="90"/>
                <w:szCs w:val="21"/>
                <w:highlight w:val="none"/>
              </w:rPr>
            </w:pPr>
          </w:p>
        </w:tc>
        <w:tc>
          <w:tcPr>
            <w:tcW w:w="3301" w:type="dxa"/>
            <w:vAlign w:val="center"/>
          </w:tcPr>
          <w:p w14:paraId="471E3AB8">
            <w:pPr>
              <w:jc w:val="left"/>
              <w:rPr>
                <w:rFonts w:hint="eastAsia" w:ascii="宋体" w:hAnsi="宋体" w:eastAsia="宋体" w:cs="宋体"/>
                <w:color w:val="auto"/>
                <w:w w:val="90"/>
                <w:szCs w:val="21"/>
                <w:highlight w:val="none"/>
              </w:rPr>
            </w:pPr>
          </w:p>
        </w:tc>
      </w:tr>
      <w:tr w14:paraId="55F7DC1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restart"/>
            <w:vAlign w:val="center"/>
          </w:tcPr>
          <w:p w14:paraId="6804067C">
            <w:pPr>
              <w:jc w:val="center"/>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15</w:t>
            </w:r>
          </w:p>
        </w:tc>
        <w:tc>
          <w:tcPr>
            <w:tcW w:w="1933" w:type="dxa"/>
            <w:vMerge w:val="restart"/>
            <w:vAlign w:val="center"/>
          </w:tcPr>
          <w:p w14:paraId="7A379F5A">
            <w:pPr>
              <w:jc w:val="left"/>
              <w:rPr>
                <w:rFonts w:hint="eastAsia" w:ascii="宋体" w:hAnsi="宋体" w:eastAsia="宋体" w:cs="宋体"/>
                <w:b/>
                <w:color w:val="auto"/>
                <w:w w:val="90"/>
                <w:szCs w:val="21"/>
                <w:highlight w:val="none"/>
              </w:rPr>
            </w:pPr>
            <w:r>
              <w:rPr>
                <w:rFonts w:hint="eastAsia" w:ascii="宋体" w:hAnsi="宋体" w:eastAsia="宋体" w:cs="宋体"/>
                <w:color w:val="auto"/>
                <w:w w:val="90"/>
                <w:szCs w:val="21"/>
                <w:highlight w:val="none"/>
              </w:rPr>
              <w:t>★</w:t>
            </w:r>
            <w:r>
              <w:rPr>
                <w:rFonts w:hint="eastAsia" w:ascii="宋体" w:hAnsi="宋体" w:eastAsia="宋体" w:cs="宋体"/>
                <w:b/>
                <w:color w:val="auto"/>
                <w:w w:val="90"/>
                <w:szCs w:val="21"/>
                <w:highlight w:val="none"/>
              </w:rPr>
              <w:t>A060805便器</w:t>
            </w:r>
          </w:p>
        </w:tc>
        <w:tc>
          <w:tcPr>
            <w:tcW w:w="2209" w:type="dxa"/>
            <w:vAlign w:val="center"/>
          </w:tcPr>
          <w:p w14:paraId="1CCB49E0">
            <w:pPr>
              <w:jc w:val="left"/>
              <w:rPr>
                <w:rFonts w:hint="eastAsia" w:ascii="宋体" w:hAnsi="宋体" w:eastAsia="宋体" w:cs="宋体"/>
                <w:b/>
                <w:color w:val="auto"/>
                <w:w w:val="90"/>
                <w:szCs w:val="21"/>
                <w:highlight w:val="none"/>
              </w:rPr>
            </w:pPr>
            <w:r>
              <w:rPr>
                <w:rFonts w:hint="eastAsia" w:ascii="宋体" w:hAnsi="宋体" w:eastAsia="宋体" w:cs="宋体"/>
                <w:b/>
                <w:color w:val="auto"/>
                <w:w w:val="90"/>
                <w:szCs w:val="21"/>
                <w:highlight w:val="none"/>
              </w:rPr>
              <w:t>坐便器</w:t>
            </w:r>
          </w:p>
        </w:tc>
        <w:tc>
          <w:tcPr>
            <w:tcW w:w="1807" w:type="dxa"/>
            <w:vAlign w:val="center"/>
          </w:tcPr>
          <w:p w14:paraId="16FF80C5">
            <w:pPr>
              <w:jc w:val="center"/>
              <w:rPr>
                <w:rFonts w:hint="eastAsia" w:ascii="宋体" w:hAnsi="宋体" w:eastAsia="宋体" w:cs="宋体"/>
                <w:color w:val="auto"/>
                <w:w w:val="90"/>
                <w:szCs w:val="21"/>
                <w:highlight w:val="none"/>
              </w:rPr>
            </w:pPr>
          </w:p>
        </w:tc>
        <w:tc>
          <w:tcPr>
            <w:tcW w:w="3301" w:type="dxa"/>
            <w:vAlign w:val="center"/>
          </w:tcPr>
          <w:p w14:paraId="2F50CC4A">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《坐便器水效限定值及水效等级</w:t>
            </w:r>
          </w:p>
          <w:p w14:paraId="61D6DCAD">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（GB 25502）</w:t>
            </w:r>
          </w:p>
        </w:tc>
      </w:tr>
      <w:tr w14:paraId="3D83250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69CF8AF9">
            <w:pPr>
              <w:jc w:val="center"/>
              <w:rPr>
                <w:rFonts w:hint="eastAsia" w:ascii="宋体" w:hAnsi="宋体" w:eastAsia="宋体" w:cs="宋体"/>
                <w:color w:val="auto"/>
                <w:w w:val="90"/>
                <w:szCs w:val="21"/>
                <w:highlight w:val="none"/>
              </w:rPr>
            </w:pPr>
          </w:p>
        </w:tc>
        <w:tc>
          <w:tcPr>
            <w:tcW w:w="1933" w:type="dxa"/>
            <w:vMerge w:val="continue"/>
            <w:vAlign w:val="center"/>
          </w:tcPr>
          <w:p w14:paraId="59DB3951">
            <w:pPr>
              <w:jc w:val="left"/>
              <w:rPr>
                <w:rFonts w:hint="eastAsia" w:ascii="宋体" w:hAnsi="宋体" w:eastAsia="宋体" w:cs="宋体"/>
                <w:b/>
                <w:color w:val="auto"/>
                <w:w w:val="90"/>
                <w:szCs w:val="21"/>
                <w:highlight w:val="none"/>
              </w:rPr>
            </w:pPr>
          </w:p>
        </w:tc>
        <w:tc>
          <w:tcPr>
            <w:tcW w:w="2209" w:type="dxa"/>
            <w:vAlign w:val="center"/>
          </w:tcPr>
          <w:p w14:paraId="3945BF4C">
            <w:pPr>
              <w:jc w:val="left"/>
              <w:rPr>
                <w:rFonts w:hint="eastAsia" w:ascii="宋体" w:hAnsi="宋体" w:eastAsia="宋体" w:cs="宋体"/>
                <w:b/>
                <w:color w:val="auto"/>
                <w:w w:val="90"/>
                <w:szCs w:val="21"/>
                <w:highlight w:val="none"/>
              </w:rPr>
            </w:pPr>
            <w:r>
              <w:rPr>
                <w:rFonts w:hint="eastAsia" w:ascii="宋体" w:hAnsi="宋体" w:eastAsia="宋体" w:cs="宋体"/>
                <w:b/>
                <w:color w:val="auto"/>
                <w:w w:val="90"/>
                <w:szCs w:val="21"/>
                <w:highlight w:val="none"/>
              </w:rPr>
              <w:t>蹲便器</w:t>
            </w:r>
          </w:p>
        </w:tc>
        <w:tc>
          <w:tcPr>
            <w:tcW w:w="1807" w:type="dxa"/>
            <w:vAlign w:val="center"/>
          </w:tcPr>
          <w:p w14:paraId="11053110">
            <w:pPr>
              <w:jc w:val="center"/>
              <w:rPr>
                <w:rFonts w:hint="eastAsia" w:ascii="宋体" w:hAnsi="宋体" w:eastAsia="宋体" w:cs="宋体"/>
                <w:color w:val="auto"/>
                <w:w w:val="90"/>
                <w:szCs w:val="21"/>
                <w:highlight w:val="none"/>
              </w:rPr>
            </w:pPr>
          </w:p>
        </w:tc>
        <w:tc>
          <w:tcPr>
            <w:tcW w:w="3301" w:type="dxa"/>
            <w:vAlign w:val="center"/>
          </w:tcPr>
          <w:p w14:paraId="5FA34176">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《蹲便器用水效率限定值及用水效率等级》（GB 30717）</w:t>
            </w:r>
          </w:p>
        </w:tc>
      </w:tr>
      <w:tr w14:paraId="79304F61">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Merge w:val="continue"/>
            <w:vAlign w:val="center"/>
          </w:tcPr>
          <w:p w14:paraId="34F75A60">
            <w:pPr>
              <w:jc w:val="center"/>
              <w:rPr>
                <w:rFonts w:hint="eastAsia" w:ascii="宋体" w:hAnsi="宋体" w:eastAsia="宋体" w:cs="宋体"/>
                <w:color w:val="auto"/>
                <w:w w:val="90"/>
                <w:szCs w:val="21"/>
                <w:highlight w:val="none"/>
              </w:rPr>
            </w:pPr>
          </w:p>
        </w:tc>
        <w:tc>
          <w:tcPr>
            <w:tcW w:w="1933" w:type="dxa"/>
            <w:vMerge w:val="continue"/>
            <w:vAlign w:val="center"/>
          </w:tcPr>
          <w:p w14:paraId="382D27DB">
            <w:pPr>
              <w:jc w:val="left"/>
              <w:rPr>
                <w:rFonts w:hint="eastAsia" w:ascii="宋体" w:hAnsi="宋体" w:eastAsia="宋体" w:cs="宋体"/>
                <w:b/>
                <w:color w:val="auto"/>
                <w:w w:val="90"/>
                <w:szCs w:val="21"/>
                <w:highlight w:val="none"/>
              </w:rPr>
            </w:pPr>
          </w:p>
        </w:tc>
        <w:tc>
          <w:tcPr>
            <w:tcW w:w="2209" w:type="dxa"/>
            <w:vAlign w:val="center"/>
          </w:tcPr>
          <w:p w14:paraId="4BA50CDD">
            <w:pPr>
              <w:jc w:val="left"/>
              <w:rPr>
                <w:rFonts w:hint="eastAsia" w:ascii="宋体" w:hAnsi="宋体" w:eastAsia="宋体" w:cs="宋体"/>
                <w:b/>
                <w:color w:val="auto"/>
                <w:w w:val="90"/>
                <w:szCs w:val="21"/>
                <w:highlight w:val="none"/>
              </w:rPr>
            </w:pPr>
            <w:r>
              <w:rPr>
                <w:rFonts w:hint="eastAsia" w:ascii="宋体" w:hAnsi="宋体" w:eastAsia="宋体" w:cs="宋体"/>
                <w:b/>
                <w:color w:val="auto"/>
                <w:w w:val="90"/>
                <w:szCs w:val="21"/>
                <w:highlight w:val="none"/>
              </w:rPr>
              <w:t>小便器</w:t>
            </w:r>
          </w:p>
        </w:tc>
        <w:tc>
          <w:tcPr>
            <w:tcW w:w="1807" w:type="dxa"/>
            <w:vAlign w:val="center"/>
          </w:tcPr>
          <w:p w14:paraId="1AE7C166">
            <w:pPr>
              <w:jc w:val="center"/>
              <w:rPr>
                <w:rFonts w:hint="eastAsia" w:ascii="宋体" w:hAnsi="宋体" w:eastAsia="宋体" w:cs="宋体"/>
                <w:color w:val="auto"/>
                <w:w w:val="90"/>
                <w:szCs w:val="21"/>
                <w:highlight w:val="none"/>
              </w:rPr>
            </w:pPr>
          </w:p>
        </w:tc>
        <w:tc>
          <w:tcPr>
            <w:tcW w:w="3301" w:type="dxa"/>
            <w:vAlign w:val="center"/>
          </w:tcPr>
          <w:p w14:paraId="5EE1E05B">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《小便器用水效率限定值及用水效率等级》（GB 28377）</w:t>
            </w:r>
          </w:p>
        </w:tc>
      </w:tr>
      <w:tr w14:paraId="0B05187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Align w:val="center"/>
          </w:tcPr>
          <w:p w14:paraId="13078BBF">
            <w:pPr>
              <w:jc w:val="center"/>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16</w:t>
            </w:r>
          </w:p>
        </w:tc>
        <w:tc>
          <w:tcPr>
            <w:tcW w:w="1933" w:type="dxa"/>
            <w:vAlign w:val="center"/>
          </w:tcPr>
          <w:p w14:paraId="15048FEF">
            <w:pPr>
              <w:jc w:val="left"/>
              <w:rPr>
                <w:rFonts w:hint="eastAsia" w:ascii="宋体" w:hAnsi="宋体" w:eastAsia="宋体" w:cs="宋体"/>
                <w:b/>
                <w:color w:val="auto"/>
                <w:w w:val="90"/>
                <w:szCs w:val="21"/>
                <w:highlight w:val="none"/>
              </w:rPr>
            </w:pPr>
            <w:r>
              <w:rPr>
                <w:rFonts w:hint="eastAsia" w:ascii="宋体" w:hAnsi="宋体" w:eastAsia="宋体" w:cs="宋体"/>
                <w:color w:val="auto"/>
                <w:w w:val="90"/>
                <w:szCs w:val="21"/>
                <w:highlight w:val="none"/>
              </w:rPr>
              <w:t>★</w:t>
            </w:r>
            <w:r>
              <w:rPr>
                <w:rFonts w:hint="eastAsia" w:ascii="宋体" w:hAnsi="宋体" w:eastAsia="宋体" w:cs="宋体"/>
                <w:b/>
                <w:color w:val="auto"/>
                <w:w w:val="90"/>
                <w:szCs w:val="21"/>
                <w:highlight w:val="none"/>
              </w:rPr>
              <w:t>A060806水嘴</w:t>
            </w:r>
          </w:p>
        </w:tc>
        <w:tc>
          <w:tcPr>
            <w:tcW w:w="2209" w:type="dxa"/>
            <w:vAlign w:val="center"/>
          </w:tcPr>
          <w:p w14:paraId="2CC3E788">
            <w:pPr>
              <w:jc w:val="left"/>
              <w:rPr>
                <w:rFonts w:hint="eastAsia" w:ascii="宋体" w:hAnsi="宋体" w:eastAsia="宋体" w:cs="宋体"/>
                <w:color w:val="auto"/>
                <w:w w:val="90"/>
                <w:szCs w:val="21"/>
                <w:highlight w:val="none"/>
              </w:rPr>
            </w:pPr>
          </w:p>
        </w:tc>
        <w:tc>
          <w:tcPr>
            <w:tcW w:w="1807" w:type="dxa"/>
            <w:vAlign w:val="center"/>
          </w:tcPr>
          <w:p w14:paraId="201EC511">
            <w:pPr>
              <w:jc w:val="center"/>
              <w:rPr>
                <w:rFonts w:hint="eastAsia" w:ascii="宋体" w:hAnsi="宋体" w:eastAsia="宋体" w:cs="宋体"/>
                <w:color w:val="auto"/>
                <w:w w:val="90"/>
                <w:szCs w:val="21"/>
                <w:highlight w:val="none"/>
              </w:rPr>
            </w:pPr>
          </w:p>
        </w:tc>
        <w:tc>
          <w:tcPr>
            <w:tcW w:w="3301" w:type="dxa"/>
            <w:vAlign w:val="center"/>
          </w:tcPr>
          <w:p w14:paraId="47FF3B76">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《水嘴用水效率限定值及用水效率等级》（GB 25501）</w:t>
            </w:r>
          </w:p>
        </w:tc>
      </w:tr>
      <w:tr w14:paraId="5ECF969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Align w:val="center"/>
          </w:tcPr>
          <w:p w14:paraId="3381868C">
            <w:pPr>
              <w:jc w:val="center"/>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17</w:t>
            </w:r>
          </w:p>
        </w:tc>
        <w:tc>
          <w:tcPr>
            <w:tcW w:w="1933" w:type="dxa"/>
            <w:vAlign w:val="center"/>
          </w:tcPr>
          <w:p w14:paraId="6E0FE0AC">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A060807便器冲洗阀</w:t>
            </w:r>
          </w:p>
        </w:tc>
        <w:tc>
          <w:tcPr>
            <w:tcW w:w="2209" w:type="dxa"/>
            <w:vAlign w:val="center"/>
          </w:tcPr>
          <w:p w14:paraId="3CFE2FF4">
            <w:pPr>
              <w:jc w:val="left"/>
              <w:rPr>
                <w:rFonts w:hint="eastAsia" w:ascii="宋体" w:hAnsi="宋体" w:eastAsia="宋体" w:cs="宋体"/>
                <w:color w:val="auto"/>
                <w:w w:val="90"/>
                <w:szCs w:val="21"/>
                <w:highlight w:val="none"/>
              </w:rPr>
            </w:pPr>
          </w:p>
        </w:tc>
        <w:tc>
          <w:tcPr>
            <w:tcW w:w="1807" w:type="dxa"/>
            <w:vAlign w:val="center"/>
          </w:tcPr>
          <w:p w14:paraId="4A276339">
            <w:pPr>
              <w:jc w:val="center"/>
              <w:rPr>
                <w:rFonts w:hint="eastAsia" w:ascii="宋体" w:hAnsi="宋体" w:eastAsia="宋体" w:cs="宋体"/>
                <w:color w:val="auto"/>
                <w:w w:val="90"/>
                <w:szCs w:val="21"/>
                <w:highlight w:val="none"/>
              </w:rPr>
            </w:pPr>
          </w:p>
        </w:tc>
        <w:tc>
          <w:tcPr>
            <w:tcW w:w="3301" w:type="dxa"/>
            <w:vAlign w:val="center"/>
          </w:tcPr>
          <w:p w14:paraId="3D5598F6">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《便器冲洗阀用水效率限定值及用水效率等级》（GB 28379）</w:t>
            </w:r>
          </w:p>
        </w:tc>
      </w:tr>
      <w:tr w14:paraId="105AB3B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567" w:hRule="atLeast"/>
          <w:jc w:val="center"/>
        </w:trPr>
        <w:tc>
          <w:tcPr>
            <w:tcW w:w="690" w:type="dxa"/>
            <w:vAlign w:val="center"/>
          </w:tcPr>
          <w:p w14:paraId="23D1BB3C">
            <w:pPr>
              <w:jc w:val="center"/>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18</w:t>
            </w:r>
          </w:p>
        </w:tc>
        <w:tc>
          <w:tcPr>
            <w:tcW w:w="1933" w:type="dxa"/>
            <w:vAlign w:val="center"/>
          </w:tcPr>
          <w:p w14:paraId="4F1D1F7E">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A060810淋浴器</w:t>
            </w:r>
          </w:p>
        </w:tc>
        <w:tc>
          <w:tcPr>
            <w:tcW w:w="2209" w:type="dxa"/>
            <w:vAlign w:val="center"/>
          </w:tcPr>
          <w:p w14:paraId="776C5FC1">
            <w:pPr>
              <w:jc w:val="left"/>
              <w:rPr>
                <w:rFonts w:hint="eastAsia" w:ascii="宋体" w:hAnsi="宋体" w:eastAsia="宋体" w:cs="宋体"/>
                <w:color w:val="auto"/>
                <w:w w:val="90"/>
                <w:szCs w:val="21"/>
                <w:highlight w:val="none"/>
              </w:rPr>
            </w:pPr>
          </w:p>
        </w:tc>
        <w:tc>
          <w:tcPr>
            <w:tcW w:w="1807" w:type="dxa"/>
            <w:vAlign w:val="center"/>
          </w:tcPr>
          <w:p w14:paraId="68E6772C">
            <w:pPr>
              <w:jc w:val="center"/>
              <w:rPr>
                <w:rFonts w:hint="eastAsia" w:ascii="宋体" w:hAnsi="宋体" w:eastAsia="宋体" w:cs="宋体"/>
                <w:color w:val="auto"/>
                <w:w w:val="90"/>
                <w:szCs w:val="21"/>
                <w:highlight w:val="none"/>
              </w:rPr>
            </w:pPr>
          </w:p>
        </w:tc>
        <w:tc>
          <w:tcPr>
            <w:tcW w:w="3301" w:type="dxa"/>
            <w:vAlign w:val="center"/>
          </w:tcPr>
          <w:p w14:paraId="33D5D53B">
            <w:pPr>
              <w:jc w:val="left"/>
              <w:rPr>
                <w:rFonts w:hint="eastAsia" w:ascii="宋体" w:hAnsi="宋体" w:eastAsia="宋体" w:cs="宋体"/>
                <w:color w:val="auto"/>
                <w:w w:val="90"/>
                <w:szCs w:val="21"/>
                <w:highlight w:val="none"/>
              </w:rPr>
            </w:pPr>
            <w:r>
              <w:rPr>
                <w:rFonts w:hint="eastAsia" w:ascii="宋体" w:hAnsi="宋体" w:eastAsia="宋体" w:cs="宋体"/>
                <w:color w:val="auto"/>
                <w:w w:val="90"/>
                <w:szCs w:val="21"/>
                <w:highlight w:val="none"/>
              </w:rPr>
              <w:t>《淋浴器用水效率限定值及用水效率等级》（GB 28378）</w:t>
            </w:r>
          </w:p>
        </w:tc>
      </w:tr>
    </w:tbl>
    <w:p w14:paraId="08FC84FB">
      <w:pPr>
        <w:keepNext w:val="0"/>
        <w:keepLines w:val="0"/>
        <w:pageBreakBefore w:val="0"/>
        <w:widowControl w:val="0"/>
        <w:kinsoku/>
        <w:wordWrap/>
        <w:overflowPunct/>
        <w:topLinePunct w:val="0"/>
        <w:autoSpaceDE/>
        <w:autoSpaceDN/>
        <w:bidi w:val="0"/>
        <w:adjustRightInd w:val="0"/>
        <w:spacing w:line="288" w:lineRule="auto"/>
        <w:ind w:left="0" w:leftChars="0" w:right="0" w:rightChars="0" w:firstLine="380" w:firstLineChars="200"/>
        <w:textAlignment w:val="auto"/>
        <w:rPr>
          <w:rFonts w:hint="eastAsia" w:ascii="宋体" w:hAnsi="宋体" w:eastAsia="宋体" w:cs="宋体"/>
          <w:b/>
          <w:color w:val="auto"/>
          <w:w w:val="90"/>
          <w:sz w:val="21"/>
          <w:szCs w:val="21"/>
          <w:highlight w:val="none"/>
        </w:rPr>
      </w:pPr>
      <w:r>
        <w:rPr>
          <w:rFonts w:hint="eastAsia" w:ascii="宋体" w:hAnsi="宋体" w:eastAsia="宋体" w:cs="宋体"/>
          <w:b/>
          <w:color w:val="auto"/>
          <w:w w:val="90"/>
          <w:sz w:val="21"/>
          <w:szCs w:val="21"/>
          <w:highlight w:val="none"/>
        </w:rPr>
        <w:t>注：1、节能产品认证应依据相关国家标准的最新版本，依据国家标准中二级能效（水效）指标。</w:t>
      </w:r>
    </w:p>
    <w:p w14:paraId="6701F306">
      <w:pPr>
        <w:keepNext w:val="0"/>
        <w:keepLines w:val="0"/>
        <w:pageBreakBefore w:val="0"/>
        <w:widowControl w:val="0"/>
        <w:kinsoku/>
        <w:wordWrap/>
        <w:overflowPunct/>
        <w:topLinePunct w:val="0"/>
        <w:autoSpaceDE/>
        <w:autoSpaceDN/>
        <w:bidi w:val="0"/>
        <w:adjustRightInd w:val="0"/>
        <w:spacing w:line="288" w:lineRule="auto"/>
        <w:ind w:left="0" w:leftChars="0" w:right="0" w:rightChars="0" w:firstLine="380" w:firstLineChars="200"/>
        <w:textAlignment w:val="auto"/>
        <w:rPr>
          <w:rFonts w:hint="eastAsia" w:ascii="宋体" w:hAnsi="宋体" w:eastAsia="宋体" w:cs="宋体"/>
          <w:b/>
          <w:color w:val="auto"/>
          <w:w w:val="90"/>
          <w:sz w:val="21"/>
          <w:szCs w:val="21"/>
          <w:highlight w:val="none"/>
        </w:rPr>
      </w:pPr>
      <w:r>
        <w:rPr>
          <w:rFonts w:hint="eastAsia" w:ascii="宋体" w:hAnsi="宋体" w:eastAsia="宋体" w:cs="宋体"/>
          <w:b/>
          <w:color w:val="auto"/>
          <w:w w:val="90"/>
          <w:sz w:val="21"/>
          <w:szCs w:val="21"/>
          <w:highlight w:val="none"/>
        </w:rPr>
        <w:t>2、上述产品中认证标准发生变更的，依据原认证标准获得的、仍在有效期内的认证证书可使用至2019年6月1日。</w:t>
      </w:r>
    </w:p>
    <w:p w14:paraId="759F4003">
      <w:pPr>
        <w:keepNext w:val="0"/>
        <w:keepLines w:val="0"/>
        <w:pageBreakBefore w:val="0"/>
        <w:widowControl w:val="0"/>
        <w:kinsoku/>
        <w:wordWrap/>
        <w:overflowPunct/>
        <w:topLinePunct w:val="0"/>
        <w:autoSpaceDE/>
        <w:autoSpaceDN/>
        <w:bidi w:val="0"/>
        <w:adjustRightInd w:val="0"/>
        <w:snapToGrid w:val="0"/>
        <w:spacing w:line="288" w:lineRule="auto"/>
        <w:ind w:left="0" w:leftChars="0" w:right="0" w:rightChars="0" w:firstLine="380" w:firstLineChars="200"/>
        <w:jc w:val="left"/>
        <w:textAlignment w:val="auto"/>
        <w:rPr>
          <w:rFonts w:cs="Times New Roman"/>
          <w:color w:val="auto"/>
          <w:spacing w:val="-6"/>
          <w:sz w:val="21"/>
          <w:szCs w:val="21"/>
          <w:highlight w:val="none"/>
        </w:rPr>
      </w:pPr>
      <w:r>
        <w:rPr>
          <w:rFonts w:hint="eastAsia" w:ascii="宋体" w:hAnsi="宋体" w:eastAsia="宋体" w:cs="宋体"/>
          <w:b/>
          <w:color w:val="auto"/>
          <w:w w:val="90"/>
          <w:sz w:val="21"/>
          <w:szCs w:val="21"/>
          <w:highlight w:val="none"/>
        </w:rPr>
        <w:t>3、以“★”标注的为政府强制采购产品。</w:t>
      </w:r>
    </w:p>
    <w:p w14:paraId="6B98B039">
      <w:pPr>
        <w:adjustRightInd w:val="0"/>
        <w:snapToGrid w:val="0"/>
        <w:spacing w:line="288" w:lineRule="auto"/>
        <w:rPr>
          <w:b/>
          <w:color w:val="auto"/>
          <w:spacing w:val="-6"/>
          <w:sz w:val="21"/>
          <w:szCs w:val="21"/>
          <w:highlight w:val="none"/>
        </w:rPr>
      </w:pPr>
    </w:p>
    <w:p w14:paraId="3E6E1A25">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（1</w:t>
      </w:r>
      <w:r>
        <w:rPr>
          <w:b/>
          <w:color w:val="auto"/>
          <w:spacing w:val="-6"/>
          <w:sz w:val="21"/>
          <w:szCs w:val="21"/>
          <w:highlight w:val="none"/>
        </w:rPr>
        <w:t>2</w:t>
      </w:r>
      <w:r>
        <w:rPr>
          <w:rFonts w:hint="eastAsia"/>
          <w:b/>
          <w:color w:val="auto"/>
          <w:spacing w:val="-6"/>
          <w:sz w:val="21"/>
          <w:szCs w:val="21"/>
          <w:highlight w:val="none"/>
        </w:rPr>
        <w:t>）供应商需要说明的其他文件和材料。</w:t>
      </w:r>
      <w:bookmarkEnd w:id="635"/>
    </w:p>
    <w:p w14:paraId="1EF73D3E">
      <w:pPr>
        <w:widowControl/>
        <w:jc w:val="left"/>
        <w:rPr>
          <w:b/>
          <w:color w:val="auto"/>
          <w:spacing w:val="-6"/>
          <w:sz w:val="21"/>
          <w:szCs w:val="21"/>
          <w:highlight w:val="none"/>
        </w:rPr>
      </w:pPr>
      <w:r>
        <w:rPr>
          <w:b/>
          <w:color w:val="auto"/>
          <w:spacing w:val="-6"/>
          <w:sz w:val="21"/>
          <w:szCs w:val="21"/>
          <w:highlight w:val="none"/>
        </w:rPr>
        <w:br w:type="page"/>
      </w:r>
    </w:p>
    <w:p w14:paraId="4FB9E11C">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14:paraId="5D00D993">
      <w:pPr>
        <w:snapToGrid w:val="0"/>
        <w:spacing w:line="288" w:lineRule="auto"/>
        <w:rPr>
          <w:rFonts w:cs="仿宋_GB2312"/>
          <w:color w:val="auto"/>
          <w:sz w:val="21"/>
          <w:szCs w:val="21"/>
          <w:highlight w:val="none"/>
          <w:u w:val="single"/>
        </w:rPr>
      </w:pPr>
    </w:p>
    <w:p w14:paraId="378DE761">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14:paraId="03482D98">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14:paraId="56A83D3A">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14:paraId="566EB3FE">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14:paraId="2E40AD97">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14:paraId="72C999EE">
      <w:pPr>
        <w:snapToGrid w:val="0"/>
        <w:spacing w:line="288" w:lineRule="auto"/>
        <w:rPr>
          <w:b/>
          <w:bCs/>
          <w:color w:val="auto"/>
          <w:sz w:val="21"/>
          <w:szCs w:val="21"/>
          <w:highlight w:val="none"/>
        </w:rPr>
      </w:pPr>
    </w:p>
    <w:p w14:paraId="662AA67B">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14:paraId="0B89B0FD">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JNeRvNYAAAAFAQAADwAAAAAAAAABACAAAAAiAAAAZHJzL2Rvd25yZXYueG1sUEsBAhQAFAAA&#10;AAgAh07iQOLXmAkqAgAAdAQAAA4AAAAAAAAAAQAgAAAAJQEAAGRycy9lMm9Eb2MueG1sUEsFBgAA&#10;AAAGAAYAWQEAAMEFA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FVJTLUAAAABQEAAA8AAAAAAAAAAQAgAAAAIgAAAGRycy9kb3ducmV2LnhtbFBLAQIUABQAAAAI&#10;AIdO4kB3gn1EKgIAAHQEAAAOAAAAAAAAAAEAIAAAACMBAABkcnMvZTJvRG9jLnhtbFBLBQYAAAAA&#10;BgAGAFkBAAC/BQAAAAA=&#10;">
                <v:fill on="t" focussize="0,0"/>
                <v:stroke color="#000000" miterlimit="2" joinstyle="miter"/>
                <v:imagedata o:title=""/>
                <o:lock v:ext="edit" aspectratio="f"/>
                <w10:wrap type="none"/>
                <w10:anchorlock/>
              </v:rect>
            </w:pict>
          </mc:Fallback>
        </mc:AlternateContent>
      </w:r>
    </w:p>
    <w:p w14:paraId="30AAC815">
      <w:pPr>
        <w:widowControl/>
        <w:jc w:val="left"/>
        <w:rPr>
          <w:b/>
          <w:color w:val="auto"/>
          <w:spacing w:val="-6"/>
          <w:sz w:val="21"/>
          <w:szCs w:val="21"/>
          <w:highlight w:val="none"/>
        </w:rPr>
      </w:pPr>
      <w:r>
        <w:rPr>
          <w:b/>
          <w:color w:val="auto"/>
          <w:spacing w:val="-6"/>
          <w:sz w:val="21"/>
          <w:szCs w:val="21"/>
          <w:highlight w:val="none"/>
        </w:rPr>
        <w:br w:type="page"/>
      </w:r>
    </w:p>
    <w:p w14:paraId="6A9153D6">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14:paraId="223827AE">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（以联合体形式响应的，提供联合协议；本项目不接受联合体响应或者供应商不以联合体形式响应的，则不需要提供）</w:t>
      </w:r>
    </w:p>
    <w:p w14:paraId="668F02D3">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14:paraId="563C22BF">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14:paraId="074F1462">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14:paraId="4A417C3F">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14:paraId="14480AD7">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，对联合体报价给予</w:t>
      </w:r>
      <w:r>
        <w:rPr>
          <w:rFonts w:hint="eastAsia" w:cs="仿宋_GB2312"/>
          <w:b/>
          <w:color w:val="auto"/>
          <w:kern w:val="0"/>
          <w:sz w:val="21"/>
          <w:szCs w:val="21"/>
          <w:highlight w:val="none"/>
          <w:lang w:val="en-US" w:eastAsia="zh-CN"/>
        </w:rPr>
        <w:t>2</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14:paraId="4E6BBFC9">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14:paraId="278549D5">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14:paraId="2ADC2EB6">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14:paraId="0EECE68F">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14:paraId="1620077E">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14:paraId="542B6CC8">
      <w:pPr>
        <w:snapToGrid w:val="0"/>
        <w:spacing w:line="288" w:lineRule="auto"/>
        <w:ind w:firstLine="422" w:firstLineChars="201"/>
        <w:rPr>
          <w:rFonts w:cs="仿宋_GB2312"/>
          <w:color w:val="auto"/>
          <w:kern w:val="0"/>
          <w:sz w:val="21"/>
          <w:szCs w:val="21"/>
          <w:highlight w:val="none"/>
          <w:lang w:val="zh-CN"/>
        </w:rPr>
      </w:pPr>
    </w:p>
    <w:p w14:paraId="2FF9C545">
      <w:pPr>
        <w:snapToGrid w:val="0"/>
        <w:spacing w:line="288" w:lineRule="auto"/>
        <w:ind w:firstLine="422" w:firstLineChars="201"/>
        <w:rPr>
          <w:rFonts w:cs="仿宋_GB2312"/>
          <w:color w:val="auto"/>
          <w:kern w:val="0"/>
          <w:sz w:val="21"/>
          <w:szCs w:val="21"/>
          <w:highlight w:val="none"/>
          <w:lang w:val="zh-CN"/>
        </w:rPr>
      </w:pPr>
    </w:p>
    <w:p w14:paraId="0FA666E2">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14:paraId="1479DDB5">
      <w:pPr>
        <w:snapToGrid w:val="0"/>
        <w:spacing w:line="288" w:lineRule="auto"/>
        <w:ind w:firstLine="424" w:firstLineChars="201"/>
        <w:rPr>
          <w:rFonts w:cs="仿宋_GB2312"/>
          <w:b/>
          <w:bCs/>
          <w:color w:val="auto"/>
          <w:kern w:val="0"/>
          <w:sz w:val="21"/>
          <w:szCs w:val="21"/>
          <w:highlight w:val="none"/>
          <w:lang w:val="zh-CN"/>
        </w:rPr>
      </w:pPr>
    </w:p>
    <w:p w14:paraId="76B6E8D2">
      <w:pPr>
        <w:snapToGrid w:val="0"/>
        <w:spacing w:line="288" w:lineRule="auto"/>
        <w:ind w:firstLine="424" w:firstLineChars="201"/>
        <w:rPr>
          <w:rFonts w:cs="Times New Roman"/>
          <w:b/>
          <w:bCs/>
          <w:color w:val="auto"/>
          <w:sz w:val="21"/>
          <w:szCs w:val="21"/>
          <w:highlight w:val="none"/>
        </w:rPr>
      </w:pPr>
    </w:p>
    <w:p w14:paraId="54DF5D3F">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14:paraId="54BE3EB9">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14:paraId="448A58E1">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14:paraId="47642046">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14:paraId="40E7ED58">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14:paraId="24F635AB">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14:paraId="08209CD8">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14:paraId="6F95D4E2">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14:paraId="5D119837">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14:paraId="5F75BD1E">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14:paraId="2429C5B8">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14:paraId="298CF869">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624617B0">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14:paraId="67F5756B">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2401E3A1">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14:paraId="420C8B41">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4C3613BC">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14:paraId="4F336077">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1AFAC634">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14:paraId="4BB763CA">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的，对大中型企业的报价给予</w:t>
      </w:r>
      <w:r>
        <w:rPr>
          <w:rFonts w:hint="eastAsia" w:cs="仿宋_GB2312"/>
          <w:b/>
          <w:color w:val="auto"/>
          <w:kern w:val="0"/>
          <w:sz w:val="21"/>
          <w:szCs w:val="21"/>
          <w:highlight w:val="none"/>
          <w:lang w:val="en-US" w:eastAsia="zh-CN"/>
        </w:rPr>
        <w:t>2</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14:paraId="5173EEFE">
      <w:pPr>
        <w:snapToGrid w:val="0"/>
        <w:spacing w:line="288" w:lineRule="auto"/>
        <w:rPr>
          <w:rFonts w:cs="仿宋_GB2312"/>
          <w:color w:val="auto"/>
          <w:kern w:val="0"/>
          <w:sz w:val="21"/>
          <w:szCs w:val="21"/>
          <w:highlight w:val="none"/>
          <w:lang w:val="zh-CN"/>
        </w:rPr>
      </w:pPr>
    </w:p>
    <w:p w14:paraId="61C4D022">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14:paraId="6F0D00BE">
      <w:pPr>
        <w:snapToGrid w:val="0"/>
        <w:spacing w:line="288" w:lineRule="auto"/>
        <w:ind w:firstLine="424" w:firstLineChars="201"/>
        <w:rPr>
          <w:rFonts w:cs="仿宋_GB2312"/>
          <w:b/>
          <w:bCs/>
          <w:color w:val="auto"/>
          <w:kern w:val="0"/>
          <w:sz w:val="21"/>
          <w:szCs w:val="21"/>
          <w:highlight w:val="none"/>
          <w:lang w:val="zh-CN"/>
        </w:rPr>
      </w:pPr>
    </w:p>
    <w:p w14:paraId="65267557">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w:t>
      </w:r>
    </w:p>
    <w:p w14:paraId="631233B0">
      <w:pPr>
        <w:snapToGrid w:val="0"/>
        <w:spacing w:line="288" w:lineRule="auto"/>
        <w:rPr>
          <w:rFonts w:cs="仿宋_GB2312"/>
          <w:b/>
          <w:bCs/>
          <w:color w:val="auto"/>
          <w:kern w:val="0"/>
          <w:sz w:val="21"/>
          <w:szCs w:val="21"/>
          <w:highlight w:val="none"/>
          <w:lang w:val="zh-CN"/>
        </w:rPr>
      </w:pPr>
    </w:p>
    <w:p w14:paraId="6B4CFB6C">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14:paraId="3A1F1CFB">
      <w:pPr>
        <w:rPr>
          <w:color w:val="auto"/>
          <w:highlight w:val="none"/>
        </w:rPr>
      </w:pPr>
    </w:p>
    <w:sectPr>
      <w:headerReference r:id="rId5" w:type="default"/>
      <w:footerReference r:id="rId6" w:type="default"/>
      <w:pgSz w:w="11906" w:h="16838"/>
      <w:pgMar w:top="1247" w:right="1247" w:bottom="1247" w:left="1247" w:header="142" w:footer="725"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decorative"/>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Helvetica Neue Light">
    <w:altName w:val="Segoe Print"/>
    <w:panose1 w:val="00000000000000000000"/>
    <w:charset w:val="00"/>
    <w:family w:val="auto"/>
    <w:pitch w:val="default"/>
    <w:sig w:usb0="00000000" w:usb1="00000000" w:usb2="00000002" w:usb3="00000000" w:csb0="00000007" w:csb1="00000000"/>
  </w:font>
  <w:font w:name="Segoe Print">
    <w:panose1 w:val="02000600000000000000"/>
    <w:charset w:val="00"/>
    <w:family w:val="auto"/>
    <w:pitch w:val="default"/>
    <w:sig w:usb0="0000028F" w:usb1="00000000" w:usb2="00000000" w:usb3="00000000" w:csb0="2000009F" w:csb1="4701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Helvetica">
    <w:altName w:val="Arial"/>
    <w:panose1 w:val="020B0604020202020204"/>
    <w:charset w:val="00"/>
    <w:family w:val="swiss"/>
    <w:pitch w:val="default"/>
    <w:sig w:usb0="00000000" w:usb1="00000000" w:usb2="00000009" w:usb3="00000000" w:csb0="000001FF" w:csb1="00000000"/>
  </w:font>
  <w:font w:name="方正小标宋简体">
    <w:altName w:val="方正舒体"/>
    <w:panose1 w:val="02000000000000000000"/>
    <w:charset w:val="86"/>
    <w:family w:val="auto"/>
    <w:pitch w:val="default"/>
    <w:sig w:usb0="00000000" w:usb1="00000000" w:usb2="00000012" w:usb3="00000000" w:csb0="00040001" w:csb1="00000000"/>
  </w:font>
  <w:font w:name="方正舒体">
    <w:panose1 w:val="02010601030101010101"/>
    <w:charset w:val="86"/>
    <w:family w:val="auto"/>
    <w:pitch w:val="default"/>
    <w:sig w:usb0="00000003" w:usb1="080E0000" w:usb2="00000000" w:usb3="00000000" w:csb0="00040000" w:csb1="00000000"/>
  </w:font>
  <w:font w:name="MS Reference Sans Serif">
    <w:panose1 w:val="020B0604030504040204"/>
    <w:charset w:val="00"/>
    <w:family w:val="swiss"/>
    <w:pitch w:val="default"/>
    <w:sig w:usb0="00000287" w:usb1="00000000" w:usb2="00000000" w:usb3="00000000" w:csb0="2000019F" w:csb1="00000000"/>
  </w:font>
  <w:font w:name="ˎ̥">
    <w:altName w:val="华文中宋"/>
    <w:panose1 w:val="00000000000000000000"/>
    <w:charset w:val="00"/>
    <w:family w:val="roman"/>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0506A">
    <w:pPr>
      <w:pStyle w:val="18"/>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71378">
    <w:pPr>
      <w:pStyle w:val="18"/>
      <w:rPr>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56181D">
                          <w:pPr>
                            <w:pStyle w:val="18"/>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256181D">
                    <w:pPr>
                      <w:pStyle w:val="18"/>
                    </w:pPr>
                    <w:r>
                      <w:fldChar w:fldCharType="begin"/>
                    </w:r>
                    <w:r>
                      <w:instrText xml:space="preserve"> PAGE  \* MERGEFORMAT </w:instrText>
                    </w:r>
                    <w:r>
                      <w:fldChar w:fldCharType="separate"/>
                    </w:r>
                    <w:r>
                      <w:t>73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33E12">
    <w:pPr>
      <w:jc w:val="center"/>
    </w:pPr>
    <w:r>
      <w:rPr>
        <w:rFonts w:hint="eastAsia"/>
      </w:rPr>
      <w:drawing>
        <wp:inline distT="0" distB="0" distL="114300" distR="114300">
          <wp:extent cx="5905500" cy="676275"/>
          <wp:effectExtent l="0" t="0" r="0" b="9525"/>
          <wp:docPr id="8" name="图片 8"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8314C">
    <w:pPr>
      <w:jc w:val="center"/>
    </w:pPr>
    <w:r>
      <w:rPr>
        <w:rFonts w:hint="eastAsia"/>
      </w:rPr>
      <w:drawing>
        <wp:inline distT="0" distB="0" distL="114300" distR="114300">
          <wp:extent cx="5905500" cy="676275"/>
          <wp:effectExtent l="0" t="0" r="0" b="9525"/>
          <wp:docPr id="1350651889" name="图片 135065188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651889" name="图片 1350651889"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7"/>
      <w:lvlText w:val="%1."/>
      <w:lvlJc w:val="left"/>
      <w:pPr>
        <w:tabs>
          <w:tab w:val="left" w:pos="1200"/>
        </w:tabs>
        <w:ind w:left="1200" w:leftChars="400" w:hanging="360" w:hangingChars="200"/>
      </w:pPr>
    </w:lvl>
  </w:abstractNum>
  <w:abstractNum w:abstractNumId="1">
    <w:nsid w:val="FFFFFF7F"/>
    <w:multiLevelType w:val="singleLevel"/>
    <w:tmpl w:val="FFFFFF7F"/>
    <w:lvl w:ilvl="0" w:tentative="0">
      <w:start w:val="1"/>
      <w:numFmt w:val="decimal"/>
      <w:lvlText w:val="%1."/>
      <w:lvlJc w:val="left"/>
      <w:pPr>
        <w:tabs>
          <w:tab w:val="left" w:pos="780"/>
        </w:tabs>
        <w:ind w:left="780" w:leftChars="200" w:hanging="360" w:hangingChars="200"/>
      </w:pPr>
    </w:lvl>
  </w:abstractNum>
  <w:abstractNum w:abstractNumId="2">
    <w:nsid w:val="FFFFFF88"/>
    <w:multiLevelType w:val="singleLevel"/>
    <w:tmpl w:val="FFFFFF88"/>
    <w:lvl w:ilvl="0" w:tentative="0">
      <w:start w:val="1"/>
      <w:numFmt w:val="decimal"/>
      <w:lvlText w:val="%1."/>
      <w:lvlJc w:val="left"/>
      <w:pPr>
        <w:tabs>
          <w:tab w:val="left" w:pos="360"/>
        </w:tabs>
        <w:ind w:left="360" w:hanging="360" w:hangingChars="20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I4YTY2NzNjYzhhMDBjYjhiZDFjNDRhZjk5ZjcyM2MifQ=="/>
  </w:docVars>
  <w:rsids>
    <w:rsidRoot w:val="0035197B"/>
    <w:rsid w:val="000275B5"/>
    <w:rsid w:val="00040EC8"/>
    <w:rsid w:val="000509DE"/>
    <w:rsid w:val="0005798E"/>
    <w:rsid w:val="00076A27"/>
    <w:rsid w:val="000838BE"/>
    <w:rsid w:val="00084B40"/>
    <w:rsid w:val="000856B1"/>
    <w:rsid w:val="00087A12"/>
    <w:rsid w:val="000C0227"/>
    <w:rsid w:val="000E1817"/>
    <w:rsid w:val="000E48E4"/>
    <w:rsid w:val="00101FB6"/>
    <w:rsid w:val="001101B8"/>
    <w:rsid w:val="00111624"/>
    <w:rsid w:val="00135905"/>
    <w:rsid w:val="00155438"/>
    <w:rsid w:val="00165BE9"/>
    <w:rsid w:val="00175059"/>
    <w:rsid w:val="0017776E"/>
    <w:rsid w:val="0018113A"/>
    <w:rsid w:val="00181F0E"/>
    <w:rsid w:val="00185494"/>
    <w:rsid w:val="00185DAE"/>
    <w:rsid w:val="0019618D"/>
    <w:rsid w:val="001A02BC"/>
    <w:rsid w:val="001A71F4"/>
    <w:rsid w:val="001B6A2B"/>
    <w:rsid w:val="001C1E63"/>
    <w:rsid w:val="001E3835"/>
    <w:rsid w:val="001E4154"/>
    <w:rsid w:val="00215143"/>
    <w:rsid w:val="0021524B"/>
    <w:rsid w:val="00215824"/>
    <w:rsid w:val="00216C31"/>
    <w:rsid w:val="0023200E"/>
    <w:rsid w:val="00232E27"/>
    <w:rsid w:val="0024062D"/>
    <w:rsid w:val="00252BBD"/>
    <w:rsid w:val="00256B2D"/>
    <w:rsid w:val="00263735"/>
    <w:rsid w:val="0026429E"/>
    <w:rsid w:val="00283588"/>
    <w:rsid w:val="002877B8"/>
    <w:rsid w:val="002B4786"/>
    <w:rsid w:val="002D795F"/>
    <w:rsid w:val="002E3481"/>
    <w:rsid w:val="002F0514"/>
    <w:rsid w:val="002F0873"/>
    <w:rsid w:val="002F5175"/>
    <w:rsid w:val="002F7386"/>
    <w:rsid w:val="003072B1"/>
    <w:rsid w:val="00312253"/>
    <w:rsid w:val="00321DDC"/>
    <w:rsid w:val="00325E65"/>
    <w:rsid w:val="0033543C"/>
    <w:rsid w:val="0035197B"/>
    <w:rsid w:val="00370738"/>
    <w:rsid w:val="00370ADF"/>
    <w:rsid w:val="00382063"/>
    <w:rsid w:val="003B2B77"/>
    <w:rsid w:val="003D3B73"/>
    <w:rsid w:val="003E2642"/>
    <w:rsid w:val="00460820"/>
    <w:rsid w:val="00494ECD"/>
    <w:rsid w:val="004B1E8E"/>
    <w:rsid w:val="004C0BDE"/>
    <w:rsid w:val="004C1947"/>
    <w:rsid w:val="004D4B5A"/>
    <w:rsid w:val="004D59ED"/>
    <w:rsid w:val="005057BE"/>
    <w:rsid w:val="00530F87"/>
    <w:rsid w:val="00543D6A"/>
    <w:rsid w:val="0055045F"/>
    <w:rsid w:val="00592AF5"/>
    <w:rsid w:val="00594BBA"/>
    <w:rsid w:val="00594F9C"/>
    <w:rsid w:val="00596CE2"/>
    <w:rsid w:val="005A7F23"/>
    <w:rsid w:val="005B142B"/>
    <w:rsid w:val="005D5109"/>
    <w:rsid w:val="005E0425"/>
    <w:rsid w:val="005E27D0"/>
    <w:rsid w:val="005E44F1"/>
    <w:rsid w:val="005F5B44"/>
    <w:rsid w:val="00605C23"/>
    <w:rsid w:val="00615F39"/>
    <w:rsid w:val="00626610"/>
    <w:rsid w:val="00626C54"/>
    <w:rsid w:val="006500FA"/>
    <w:rsid w:val="006543E8"/>
    <w:rsid w:val="00655FF5"/>
    <w:rsid w:val="006565F0"/>
    <w:rsid w:val="006639E9"/>
    <w:rsid w:val="006733B3"/>
    <w:rsid w:val="00681924"/>
    <w:rsid w:val="00694420"/>
    <w:rsid w:val="006A206A"/>
    <w:rsid w:val="006B0046"/>
    <w:rsid w:val="006B0EB5"/>
    <w:rsid w:val="006E6002"/>
    <w:rsid w:val="00713433"/>
    <w:rsid w:val="007205D8"/>
    <w:rsid w:val="00723439"/>
    <w:rsid w:val="00742B14"/>
    <w:rsid w:val="00764E56"/>
    <w:rsid w:val="0077000C"/>
    <w:rsid w:val="007817C8"/>
    <w:rsid w:val="00792093"/>
    <w:rsid w:val="007A67A8"/>
    <w:rsid w:val="007B71AC"/>
    <w:rsid w:val="007D4FE5"/>
    <w:rsid w:val="007E24D2"/>
    <w:rsid w:val="007F20BD"/>
    <w:rsid w:val="00810815"/>
    <w:rsid w:val="00813E3D"/>
    <w:rsid w:val="0085109B"/>
    <w:rsid w:val="00855401"/>
    <w:rsid w:val="0087016D"/>
    <w:rsid w:val="008747E2"/>
    <w:rsid w:val="008772E5"/>
    <w:rsid w:val="008956C4"/>
    <w:rsid w:val="008A1CC3"/>
    <w:rsid w:val="008B3B2C"/>
    <w:rsid w:val="008C0F5C"/>
    <w:rsid w:val="008D6327"/>
    <w:rsid w:val="00913E41"/>
    <w:rsid w:val="009429A3"/>
    <w:rsid w:val="00942A1F"/>
    <w:rsid w:val="009510F5"/>
    <w:rsid w:val="00961336"/>
    <w:rsid w:val="009639D1"/>
    <w:rsid w:val="0096732E"/>
    <w:rsid w:val="009675F7"/>
    <w:rsid w:val="00974472"/>
    <w:rsid w:val="009864BB"/>
    <w:rsid w:val="0099113E"/>
    <w:rsid w:val="009A06C1"/>
    <w:rsid w:val="009A2935"/>
    <w:rsid w:val="009A29CC"/>
    <w:rsid w:val="009A7D7C"/>
    <w:rsid w:val="009C02E6"/>
    <w:rsid w:val="009C7E78"/>
    <w:rsid w:val="009E2016"/>
    <w:rsid w:val="009E30C1"/>
    <w:rsid w:val="009E6894"/>
    <w:rsid w:val="00A03752"/>
    <w:rsid w:val="00A11CD5"/>
    <w:rsid w:val="00A2083E"/>
    <w:rsid w:val="00A2354A"/>
    <w:rsid w:val="00A33F4A"/>
    <w:rsid w:val="00A44F25"/>
    <w:rsid w:val="00A454C1"/>
    <w:rsid w:val="00A545E9"/>
    <w:rsid w:val="00A81554"/>
    <w:rsid w:val="00A86BED"/>
    <w:rsid w:val="00A91679"/>
    <w:rsid w:val="00A91AC5"/>
    <w:rsid w:val="00A92132"/>
    <w:rsid w:val="00A94DDE"/>
    <w:rsid w:val="00AB3577"/>
    <w:rsid w:val="00AB51AE"/>
    <w:rsid w:val="00AC1A95"/>
    <w:rsid w:val="00AC7948"/>
    <w:rsid w:val="00AE2412"/>
    <w:rsid w:val="00AE592F"/>
    <w:rsid w:val="00AE5F71"/>
    <w:rsid w:val="00AE7589"/>
    <w:rsid w:val="00AF591C"/>
    <w:rsid w:val="00B004AC"/>
    <w:rsid w:val="00B46DB3"/>
    <w:rsid w:val="00B67293"/>
    <w:rsid w:val="00B71C8D"/>
    <w:rsid w:val="00B91FF7"/>
    <w:rsid w:val="00B92FC6"/>
    <w:rsid w:val="00B95BBD"/>
    <w:rsid w:val="00B967B2"/>
    <w:rsid w:val="00B9740B"/>
    <w:rsid w:val="00BA0249"/>
    <w:rsid w:val="00BB2B24"/>
    <w:rsid w:val="00BB31A4"/>
    <w:rsid w:val="00BD007E"/>
    <w:rsid w:val="00BD0AA5"/>
    <w:rsid w:val="00BD5E66"/>
    <w:rsid w:val="00BD7D80"/>
    <w:rsid w:val="00C001EA"/>
    <w:rsid w:val="00C2442D"/>
    <w:rsid w:val="00C245DB"/>
    <w:rsid w:val="00C44792"/>
    <w:rsid w:val="00C51003"/>
    <w:rsid w:val="00C51431"/>
    <w:rsid w:val="00C73367"/>
    <w:rsid w:val="00C766F5"/>
    <w:rsid w:val="00C81FED"/>
    <w:rsid w:val="00C84597"/>
    <w:rsid w:val="00C916A4"/>
    <w:rsid w:val="00C94DA7"/>
    <w:rsid w:val="00C96D8A"/>
    <w:rsid w:val="00C97794"/>
    <w:rsid w:val="00CB6735"/>
    <w:rsid w:val="00CC0E27"/>
    <w:rsid w:val="00CC229E"/>
    <w:rsid w:val="00CE7806"/>
    <w:rsid w:val="00CE7C67"/>
    <w:rsid w:val="00D00DFD"/>
    <w:rsid w:val="00D15E96"/>
    <w:rsid w:val="00D16917"/>
    <w:rsid w:val="00D24582"/>
    <w:rsid w:val="00D648FF"/>
    <w:rsid w:val="00D7208F"/>
    <w:rsid w:val="00D73B59"/>
    <w:rsid w:val="00D82F60"/>
    <w:rsid w:val="00D84757"/>
    <w:rsid w:val="00D96544"/>
    <w:rsid w:val="00D9733D"/>
    <w:rsid w:val="00D97ECD"/>
    <w:rsid w:val="00DB5768"/>
    <w:rsid w:val="00DB66DE"/>
    <w:rsid w:val="00DB6FCF"/>
    <w:rsid w:val="00DC2571"/>
    <w:rsid w:val="00DE0C5F"/>
    <w:rsid w:val="00E0373F"/>
    <w:rsid w:val="00E10009"/>
    <w:rsid w:val="00E11154"/>
    <w:rsid w:val="00E24E35"/>
    <w:rsid w:val="00E25509"/>
    <w:rsid w:val="00E27F2F"/>
    <w:rsid w:val="00E36355"/>
    <w:rsid w:val="00E46EC2"/>
    <w:rsid w:val="00E52B31"/>
    <w:rsid w:val="00E65248"/>
    <w:rsid w:val="00E73F4C"/>
    <w:rsid w:val="00E7586A"/>
    <w:rsid w:val="00E8510B"/>
    <w:rsid w:val="00EA66E8"/>
    <w:rsid w:val="00EC091A"/>
    <w:rsid w:val="00EC4ED9"/>
    <w:rsid w:val="00ED1230"/>
    <w:rsid w:val="00ED577F"/>
    <w:rsid w:val="00F112EE"/>
    <w:rsid w:val="00F156DB"/>
    <w:rsid w:val="00F3383F"/>
    <w:rsid w:val="00F866F9"/>
    <w:rsid w:val="00F927C0"/>
    <w:rsid w:val="00F95A74"/>
    <w:rsid w:val="00FA3106"/>
    <w:rsid w:val="00FA4778"/>
    <w:rsid w:val="00FA4978"/>
    <w:rsid w:val="00FB73FE"/>
    <w:rsid w:val="00FC2099"/>
    <w:rsid w:val="00FC6242"/>
    <w:rsid w:val="00FD14BC"/>
    <w:rsid w:val="00FD175D"/>
    <w:rsid w:val="00FD2264"/>
    <w:rsid w:val="00FD2C1D"/>
    <w:rsid w:val="00FF5C84"/>
    <w:rsid w:val="01581147"/>
    <w:rsid w:val="018A094D"/>
    <w:rsid w:val="0245218E"/>
    <w:rsid w:val="03C07382"/>
    <w:rsid w:val="03CD20DB"/>
    <w:rsid w:val="04977E91"/>
    <w:rsid w:val="04B87F41"/>
    <w:rsid w:val="05A446DE"/>
    <w:rsid w:val="069D39AB"/>
    <w:rsid w:val="073E1402"/>
    <w:rsid w:val="07996A83"/>
    <w:rsid w:val="09D92F4C"/>
    <w:rsid w:val="0C1E2A75"/>
    <w:rsid w:val="0CD65E05"/>
    <w:rsid w:val="0EDC48C5"/>
    <w:rsid w:val="107F25D2"/>
    <w:rsid w:val="10C55FD8"/>
    <w:rsid w:val="10FD1C16"/>
    <w:rsid w:val="13196AAF"/>
    <w:rsid w:val="141A663B"/>
    <w:rsid w:val="159A3ED7"/>
    <w:rsid w:val="163C4F8E"/>
    <w:rsid w:val="17103795"/>
    <w:rsid w:val="18AE7C99"/>
    <w:rsid w:val="1942304B"/>
    <w:rsid w:val="19A16159"/>
    <w:rsid w:val="1A02029D"/>
    <w:rsid w:val="1B73527D"/>
    <w:rsid w:val="1B7A20B5"/>
    <w:rsid w:val="1B9B682E"/>
    <w:rsid w:val="1F3E7E78"/>
    <w:rsid w:val="1FB738B4"/>
    <w:rsid w:val="207A3E75"/>
    <w:rsid w:val="21636308"/>
    <w:rsid w:val="22B65596"/>
    <w:rsid w:val="259124D5"/>
    <w:rsid w:val="268D5392"/>
    <w:rsid w:val="275B723E"/>
    <w:rsid w:val="280B45B1"/>
    <w:rsid w:val="289E73E3"/>
    <w:rsid w:val="28DF3BE7"/>
    <w:rsid w:val="298D3483"/>
    <w:rsid w:val="2D50201F"/>
    <w:rsid w:val="2E635997"/>
    <w:rsid w:val="2F2B3CDF"/>
    <w:rsid w:val="2F8512FC"/>
    <w:rsid w:val="30AC7DFF"/>
    <w:rsid w:val="30F12DCE"/>
    <w:rsid w:val="3182092B"/>
    <w:rsid w:val="357E2A76"/>
    <w:rsid w:val="37D270A9"/>
    <w:rsid w:val="37F305F4"/>
    <w:rsid w:val="38424186"/>
    <w:rsid w:val="38DE435A"/>
    <w:rsid w:val="3B710D00"/>
    <w:rsid w:val="3C7F448B"/>
    <w:rsid w:val="3DC71AB6"/>
    <w:rsid w:val="3DED69EA"/>
    <w:rsid w:val="3EF318AB"/>
    <w:rsid w:val="3EF913BF"/>
    <w:rsid w:val="41344930"/>
    <w:rsid w:val="41566655"/>
    <w:rsid w:val="41AF71C1"/>
    <w:rsid w:val="423E6AD8"/>
    <w:rsid w:val="430A68F6"/>
    <w:rsid w:val="431F6F1A"/>
    <w:rsid w:val="45AB2CE7"/>
    <w:rsid w:val="485B6C46"/>
    <w:rsid w:val="48E8507D"/>
    <w:rsid w:val="4AD41724"/>
    <w:rsid w:val="4D7F5185"/>
    <w:rsid w:val="4E593C28"/>
    <w:rsid w:val="4E6D0DC9"/>
    <w:rsid w:val="4EE75ADC"/>
    <w:rsid w:val="4F0039C5"/>
    <w:rsid w:val="4F0F7F9D"/>
    <w:rsid w:val="5116195C"/>
    <w:rsid w:val="52696AB9"/>
    <w:rsid w:val="548B40BB"/>
    <w:rsid w:val="54CD1228"/>
    <w:rsid w:val="56890E23"/>
    <w:rsid w:val="59915747"/>
    <w:rsid w:val="59E5616E"/>
    <w:rsid w:val="5A6A7E2E"/>
    <w:rsid w:val="5A767910"/>
    <w:rsid w:val="5C115B42"/>
    <w:rsid w:val="5D573A29"/>
    <w:rsid w:val="5DDC422A"/>
    <w:rsid w:val="5E1C61B8"/>
    <w:rsid w:val="5F107275"/>
    <w:rsid w:val="60E43825"/>
    <w:rsid w:val="61DC274E"/>
    <w:rsid w:val="62E843BA"/>
    <w:rsid w:val="62FD0BCE"/>
    <w:rsid w:val="63C416EC"/>
    <w:rsid w:val="640A037B"/>
    <w:rsid w:val="643E2AAE"/>
    <w:rsid w:val="64677CEB"/>
    <w:rsid w:val="64AC1F9D"/>
    <w:rsid w:val="64EC0EFA"/>
    <w:rsid w:val="66065FEC"/>
    <w:rsid w:val="66463841"/>
    <w:rsid w:val="68802085"/>
    <w:rsid w:val="694018A9"/>
    <w:rsid w:val="6ABA73A5"/>
    <w:rsid w:val="6BCC3B9F"/>
    <w:rsid w:val="6C53675D"/>
    <w:rsid w:val="6CF66663"/>
    <w:rsid w:val="6D7D4468"/>
    <w:rsid w:val="6E2A65EF"/>
    <w:rsid w:val="6EAF09A6"/>
    <w:rsid w:val="6F2D5C5C"/>
    <w:rsid w:val="6F333E94"/>
    <w:rsid w:val="6F433E0D"/>
    <w:rsid w:val="6FE52410"/>
    <w:rsid w:val="70CF675A"/>
    <w:rsid w:val="71CC21CC"/>
    <w:rsid w:val="71D743A4"/>
    <w:rsid w:val="726730F3"/>
    <w:rsid w:val="74170774"/>
    <w:rsid w:val="77070218"/>
    <w:rsid w:val="78104AA8"/>
    <w:rsid w:val="7B147763"/>
    <w:rsid w:val="7E1E29FC"/>
    <w:rsid w:val="7E2F1D56"/>
    <w:rsid w:val="7F9C58A4"/>
    <w:rsid w:val="BFFF788F"/>
    <w:rsid w:val="F8F478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0" w:semiHidden="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paragraph" w:styleId="3">
    <w:name w:val="heading 1"/>
    <w:basedOn w:val="1"/>
    <w:next w:val="1"/>
    <w:link w:val="53"/>
    <w:qFormat/>
    <w:uiPriority w:val="0"/>
    <w:pPr>
      <w:keepNext/>
      <w:keepLines/>
      <w:spacing w:before="340" w:after="330" w:line="578" w:lineRule="auto"/>
      <w:outlineLvl w:val="0"/>
    </w:pPr>
    <w:rPr>
      <w:rFonts w:ascii="Times New Roman" w:hAnsi="Times New Roman" w:cs="Times New Roman"/>
      <w:kern w:val="44"/>
      <w:sz w:val="44"/>
      <w:szCs w:val="44"/>
    </w:rPr>
  </w:style>
  <w:style w:type="paragraph" w:styleId="4">
    <w:name w:val="heading 2"/>
    <w:basedOn w:val="1"/>
    <w:next w:val="1"/>
    <w:link w:val="54"/>
    <w:qFormat/>
    <w:uiPriority w:val="0"/>
    <w:pPr>
      <w:keepNext/>
      <w:keepLines/>
      <w:spacing w:before="260" w:after="260" w:line="416" w:lineRule="auto"/>
      <w:outlineLvl w:val="1"/>
    </w:pPr>
    <w:rPr>
      <w:rFonts w:ascii="Cambria" w:hAnsi="Cambria" w:cs="Times New Roman"/>
      <w:b/>
      <w:bCs/>
      <w:sz w:val="32"/>
      <w:szCs w:val="32"/>
    </w:rPr>
  </w:style>
  <w:style w:type="paragraph" w:styleId="5">
    <w:name w:val="heading 4"/>
    <w:basedOn w:val="1"/>
    <w:next w:val="1"/>
    <w:link w:val="55"/>
    <w:qFormat/>
    <w:uiPriority w:val="0"/>
    <w:pPr>
      <w:keepNext/>
      <w:keepLines/>
      <w:numPr>
        <w:ilvl w:val="3"/>
        <w:numId w:val="1"/>
      </w:numPr>
      <w:tabs>
        <w:tab w:val="left" w:pos="360"/>
        <w:tab w:val="left" w:pos="864"/>
      </w:tabs>
      <w:spacing w:before="280" w:after="290" w:line="376" w:lineRule="auto"/>
      <w:outlineLvl w:val="3"/>
    </w:pPr>
    <w:rPr>
      <w:rFonts w:ascii="Arial" w:hAnsi="Arial" w:eastAsia="黑体" w:cs="Times New Roman"/>
      <w:b/>
      <w:bCs/>
      <w:sz w:val="28"/>
      <w:szCs w:val="28"/>
    </w:rPr>
  </w:style>
  <w:style w:type="paragraph" w:styleId="6">
    <w:name w:val="heading 5"/>
    <w:basedOn w:val="1"/>
    <w:next w:val="1"/>
    <w:link w:val="56"/>
    <w:qFormat/>
    <w:uiPriority w:val="0"/>
    <w:pPr>
      <w:keepNext/>
      <w:keepLines/>
      <w:numPr>
        <w:ilvl w:val="4"/>
        <w:numId w:val="2"/>
      </w:numPr>
      <w:tabs>
        <w:tab w:val="left" w:pos="780"/>
      </w:tabs>
      <w:spacing w:before="280" w:after="290" w:line="376" w:lineRule="auto"/>
      <w:outlineLvl w:val="4"/>
    </w:pPr>
    <w:rPr>
      <w:rFonts w:ascii="Times New Roman" w:hAnsi="Times New Roman" w:cs="Times New Roman"/>
      <w:b/>
      <w:bCs/>
      <w:sz w:val="28"/>
      <w:szCs w:val="28"/>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unhideWhenUsed/>
    <w:qFormat/>
    <w:uiPriority w:val="39"/>
    <w:pPr>
      <w:widowControl/>
      <w:autoSpaceDE/>
      <w:autoSpaceDN/>
      <w:adjustRightInd/>
      <w:spacing w:after="100" w:line="259" w:lineRule="auto"/>
    </w:pPr>
    <w:rPr>
      <w:rFonts w:ascii="等线" w:hAnsi="等线" w:eastAsia="等线"/>
      <w:sz w:val="22"/>
      <w:szCs w:val="22"/>
    </w:rPr>
  </w:style>
  <w:style w:type="paragraph" w:styleId="7">
    <w:name w:val="List Number"/>
    <w:basedOn w:val="1"/>
    <w:qFormat/>
    <w:uiPriority w:val="0"/>
    <w:pPr>
      <w:widowControl/>
      <w:numPr>
        <w:ilvl w:val="0"/>
        <w:numId w:val="3"/>
      </w:numPr>
      <w:tabs>
        <w:tab w:val="left" w:pos="454"/>
      </w:tabs>
      <w:spacing w:after="156" w:afterLines="50"/>
      <w:ind w:left="454" w:hanging="284"/>
      <w:jc w:val="left"/>
    </w:pPr>
    <w:rPr>
      <w:rFonts w:ascii="Times New Roman" w:hAnsi="Times New Roman" w:cs="Times New Roman"/>
      <w:kern w:val="0"/>
      <w:szCs w:val="20"/>
    </w:rPr>
  </w:style>
  <w:style w:type="paragraph" w:styleId="8">
    <w:name w:val="Normal Indent"/>
    <w:basedOn w:val="1"/>
    <w:next w:val="1"/>
    <w:link w:val="57"/>
    <w:qFormat/>
    <w:uiPriority w:val="0"/>
    <w:pPr>
      <w:ind w:firstLine="420"/>
    </w:pPr>
    <w:rPr>
      <w:rFonts w:ascii="Times New Roman" w:hAnsi="Times New Roman" w:cs="Times New Roman"/>
      <w:sz w:val="21"/>
      <w:szCs w:val="20"/>
    </w:rPr>
  </w:style>
  <w:style w:type="paragraph" w:styleId="9">
    <w:name w:val="caption"/>
    <w:basedOn w:val="1"/>
    <w:next w:val="1"/>
    <w:qFormat/>
    <w:uiPriority w:val="0"/>
    <w:pPr>
      <w:spacing w:before="152" w:after="160"/>
    </w:pPr>
    <w:rPr>
      <w:rFonts w:ascii="Arial" w:hAnsi="Arial" w:eastAsia="黑体" w:cs="Arial"/>
      <w:sz w:val="20"/>
      <w:szCs w:val="20"/>
    </w:rPr>
  </w:style>
  <w:style w:type="paragraph" w:styleId="10">
    <w:name w:val="annotation text"/>
    <w:basedOn w:val="1"/>
    <w:link w:val="39"/>
    <w:unhideWhenUsed/>
    <w:qFormat/>
    <w:uiPriority w:val="0"/>
    <w:pPr>
      <w:jc w:val="left"/>
    </w:pPr>
    <w:rPr>
      <w:rFonts w:ascii="Times New Roman" w:hAnsi="Times New Roman" w:cs="Times New Roman"/>
      <w:sz w:val="28"/>
    </w:rPr>
  </w:style>
  <w:style w:type="paragraph" w:styleId="11">
    <w:name w:val="Body Text"/>
    <w:basedOn w:val="1"/>
    <w:link w:val="51"/>
    <w:qFormat/>
    <w:uiPriority w:val="0"/>
    <w:pPr>
      <w:spacing w:after="120"/>
    </w:pPr>
  </w:style>
  <w:style w:type="paragraph" w:styleId="12">
    <w:name w:val="Body Text Indent"/>
    <w:basedOn w:val="1"/>
    <w:next w:val="1"/>
    <w:link w:val="42"/>
    <w:qFormat/>
    <w:uiPriority w:val="0"/>
    <w:pPr>
      <w:spacing w:line="200" w:lineRule="atLeast"/>
      <w:ind w:firstLine="301"/>
    </w:pPr>
    <w:rPr>
      <w:rFonts w:hAnsi="Courier New" w:cs="Times New Roman"/>
      <w:spacing w:val="-4"/>
      <w:sz w:val="18"/>
      <w:szCs w:val="20"/>
    </w:rPr>
  </w:style>
  <w:style w:type="paragraph" w:styleId="13">
    <w:name w:val="List 2"/>
    <w:basedOn w:val="1"/>
    <w:qFormat/>
    <w:uiPriority w:val="0"/>
    <w:pPr>
      <w:ind w:left="100" w:leftChars="200" w:hanging="200" w:hangingChars="200"/>
      <w:contextualSpacing/>
    </w:pPr>
    <w:rPr>
      <w:rFonts w:ascii="Times New Roman" w:hAnsi="Times New Roman" w:cs="Times New Roman"/>
      <w:sz w:val="28"/>
    </w:rPr>
  </w:style>
  <w:style w:type="paragraph" w:styleId="14">
    <w:name w:val="Block Text"/>
    <w:basedOn w:val="1"/>
    <w:qFormat/>
    <w:uiPriority w:val="0"/>
    <w:pPr>
      <w:spacing w:after="120"/>
      <w:ind w:left="1440" w:leftChars="700" w:right="1440" w:rightChars="700"/>
    </w:pPr>
    <w:rPr>
      <w:rFonts w:ascii="Times New Roman" w:hAnsi="Times New Roman" w:cs="Times New Roman"/>
      <w:sz w:val="28"/>
    </w:rPr>
  </w:style>
  <w:style w:type="paragraph" w:styleId="15">
    <w:name w:val="Plain Text"/>
    <w:basedOn w:val="1"/>
    <w:link w:val="52"/>
    <w:unhideWhenUsed/>
    <w:qFormat/>
    <w:uiPriority w:val="0"/>
    <w:rPr>
      <w:rFonts w:hAnsi="Courier New" w:cs="Courier New" w:asciiTheme="minorEastAsia" w:eastAsiaTheme="minorEastAsia"/>
    </w:rPr>
  </w:style>
  <w:style w:type="paragraph" w:styleId="16">
    <w:name w:val="Date"/>
    <w:basedOn w:val="1"/>
    <w:next w:val="1"/>
    <w:link w:val="60"/>
    <w:qFormat/>
    <w:uiPriority w:val="0"/>
    <w:pPr>
      <w:ind w:left="2500" w:leftChars="2500"/>
    </w:pPr>
    <w:rPr>
      <w:rFonts w:ascii="Times New Roman" w:hAnsi="Times New Roman" w:eastAsia="楷体_GB2312" w:cs="Times New Roman"/>
      <w:sz w:val="32"/>
      <w:szCs w:val="20"/>
    </w:rPr>
  </w:style>
  <w:style w:type="paragraph" w:styleId="17">
    <w:name w:val="Balloon Text"/>
    <w:basedOn w:val="1"/>
    <w:link w:val="41"/>
    <w:qFormat/>
    <w:uiPriority w:val="0"/>
    <w:rPr>
      <w:sz w:val="18"/>
      <w:szCs w:val="18"/>
    </w:rPr>
  </w:style>
  <w:style w:type="paragraph" w:styleId="18">
    <w:name w:val="footer"/>
    <w:basedOn w:val="1"/>
    <w:link w:val="38"/>
    <w:unhideWhenUsed/>
    <w:qFormat/>
    <w:uiPriority w:val="0"/>
    <w:pPr>
      <w:tabs>
        <w:tab w:val="center" w:pos="4153"/>
        <w:tab w:val="right" w:pos="8306"/>
      </w:tabs>
      <w:snapToGrid w:val="0"/>
      <w:jc w:val="left"/>
    </w:pPr>
    <w:rPr>
      <w:sz w:val="18"/>
      <w:szCs w:val="18"/>
    </w:rPr>
  </w:style>
  <w:style w:type="paragraph" w:styleId="19">
    <w:name w:val="envelope return"/>
    <w:basedOn w:val="1"/>
    <w:qFormat/>
    <w:uiPriority w:val="0"/>
    <w:pPr>
      <w:snapToGrid w:val="0"/>
    </w:pPr>
    <w:rPr>
      <w:rFonts w:ascii="Arial" w:hAnsi="Arial" w:cs="Times New Roman"/>
      <w:sz w:val="28"/>
    </w:rPr>
  </w:style>
  <w:style w:type="paragraph" w:styleId="20">
    <w:name w:val="header"/>
    <w:basedOn w:val="1"/>
    <w:link w:val="37"/>
    <w:unhideWhenUsed/>
    <w:qFormat/>
    <w:uiPriority w:val="0"/>
    <w:pPr>
      <w:pBdr>
        <w:bottom w:val="single" w:color="auto" w:sz="6" w:space="1"/>
      </w:pBdr>
      <w:tabs>
        <w:tab w:val="center" w:pos="4153"/>
        <w:tab w:val="right" w:pos="8306"/>
      </w:tabs>
      <w:snapToGrid w:val="0"/>
      <w:jc w:val="center"/>
    </w:pPr>
    <w:rPr>
      <w:sz w:val="18"/>
      <w:szCs w:val="18"/>
    </w:rPr>
  </w:style>
  <w:style w:type="paragraph" w:styleId="21">
    <w:name w:val="List"/>
    <w:basedOn w:val="1"/>
    <w:qFormat/>
    <w:uiPriority w:val="0"/>
    <w:pPr>
      <w:ind w:left="200" w:hanging="200" w:hangingChars="200"/>
    </w:pPr>
    <w:rPr>
      <w:rFonts w:ascii="Times New Roman" w:hAnsi="Times New Roman" w:cs="Times New Roman"/>
      <w:sz w:val="28"/>
    </w:rPr>
  </w:style>
  <w:style w:type="paragraph" w:styleId="22">
    <w:name w:val="Body Text 2"/>
    <w:basedOn w:val="1"/>
    <w:link w:val="58"/>
    <w:qFormat/>
    <w:uiPriority w:val="0"/>
    <w:pPr>
      <w:widowControl/>
      <w:snapToGrid w:val="0"/>
      <w:spacing w:before="50" w:after="156" w:afterLines="50" w:line="400" w:lineRule="atLeast"/>
      <w:jc w:val="left"/>
    </w:pPr>
    <w:rPr>
      <w:rFonts w:hint="eastAsia" w:cs="Times New Roman"/>
      <w:color w:val="000000"/>
    </w:rPr>
  </w:style>
  <w:style w:type="paragraph" w:styleId="23">
    <w:name w:val="HTML Preformatted"/>
    <w:basedOn w:val="1"/>
    <w:link w:val="6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kern w:val="0"/>
    </w:rPr>
  </w:style>
  <w:style w:type="paragraph" w:styleId="24">
    <w:name w:val="Normal (Web)"/>
    <w:basedOn w:val="1"/>
    <w:unhideWhenUsed/>
    <w:qFormat/>
    <w:uiPriority w:val="0"/>
    <w:pPr>
      <w:widowControl/>
      <w:spacing w:before="100" w:beforeAutospacing="1" w:after="100" w:afterAutospacing="1"/>
      <w:jc w:val="left"/>
    </w:pPr>
    <w:rPr>
      <w:kern w:val="0"/>
    </w:rPr>
  </w:style>
  <w:style w:type="paragraph" w:styleId="25">
    <w:name w:val="Title"/>
    <w:basedOn w:val="1"/>
    <w:link w:val="64"/>
    <w:qFormat/>
    <w:uiPriority w:val="0"/>
    <w:pPr>
      <w:spacing w:before="240" w:after="60"/>
      <w:jc w:val="center"/>
      <w:outlineLvl w:val="0"/>
    </w:pPr>
    <w:rPr>
      <w:rFonts w:ascii="Calibri Light" w:hAnsi="Calibri Light" w:eastAsia="Calibri Light" w:cs="Times New Roman"/>
      <w:b/>
      <w:bCs/>
      <w:kern w:val="0"/>
      <w:sz w:val="32"/>
      <w:szCs w:val="32"/>
    </w:rPr>
  </w:style>
  <w:style w:type="paragraph" w:styleId="26">
    <w:name w:val="annotation subject"/>
    <w:basedOn w:val="10"/>
    <w:next w:val="10"/>
    <w:link w:val="49"/>
    <w:unhideWhenUsed/>
    <w:qFormat/>
    <w:uiPriority w:val="0"/>
    <w:rPr>
      <w:rFonts w:ascii="宋体" w:hAnsi="宋体" w:cs="宋体"/>
      <w:b/>
      <w:bCs/>
      <w:sz w:val="24"/>
    </w:rPr>
  </w:style>
  <w:style w:type="paragraph" w:styleId="27">
    <w:name w:val="Body Text First Indent"/>
    <w:basedOn w:val="11"/>
    <w:link w:val="65"/>
    <w:qFormat/>
    <w:uiPriority w:val="0"/>
    <w:pPr>
      <w:ind w:firstLine="420" w:firstLineChars="100"/>
    </w:pPr>
    <w:rPr>
      <w:rFonts w:ascii="Calibri" w:hAnsi="Calibri" w:cs="Times New Roman"/>
      <w:sz w:val="21"/>
    </w:rPr>
  </w:style>
  <w:style w:type="paragraph" w:styleId="28">
    <w:name w:val="Body Text First Indent 2"/>
    <w:basedOn w:val="12"/>
    <w:next w:val="1"/>
    <w:link w:val="59"/>
    <w:qFormat/>
    <w:uiPriority w:val="0"/>
    <w:pPr>
      <w:ind w:firstLine="420"/>
    </w:pPr>
    <w:rPr>
      <w:rFonts w:ascii="Times New Roman" w:hAnsi="Times New Roman"/>
    </w:rPr>
  </w:style>
  <w:style w:type="table" w:styleId="30">
    <w:name w:val="Table Grid"/>
    <w:basedOn w:val="29"/>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qFormat/>
    <w:uiPriority w:val="0"/>
    <w:rPr>
      <w:rFonts w:ascii="Times New Roman" w:hAnsi="Times New Roman" w:eastAsia="宋体" w:cs="Times New Roman"/>
      <w:b/>
      <w:bCs/>
    </w:rPr>
  </w:style>
  <w:style w:type="character" w:styleId="33">
    <w:name w:val="page number"/>
    <w:qFormat/>
    <w:uiPriority w:val="0"/>
    <w:rPr>
      <w:rFonts w:ascii="Times New Roman" w:hAnsi="Times New Roman" w:eastAsia="宋体" w:cs="Times New Roman"/>
    </w:rPr>
  </w:style>
  <w:style w:type="character" w:styleId="34">
    <w:name w:val="FollowedHyperlink"/>
    <w:qFormat/>
    <w:uiPriority w:val="0"/>
    <w:rPr>
      <w:rFonts w:ascii="Times New Roman" w:hAnsi="Times New Roman" w:eastAsia="宋体" w:cs="Times New Roman"/>
      <w:color w:val="5579A7"/>
      <w:u w:val="none"/>
    </w:rPr>
  </w:style>
  <w:style w:type="character" w:styleId="35">
    <w:name w:val="Hyperlink"/>
    <w:basedOn w:val="31"/>
    <w:unhideWhenUsed/>
    <w:qFormat/>
    <w:uiPriority w:val="0"/>
    <w:rPr>
      <w:color w:val="0000FF"/>
      <w:u w:val="single"/>
    </w:rPr>
  </w:style>
  <w:style w:type="character" w:styleId="36">
    <w:name w:val="annotation reference"/>
    <w:unhideWhenUsed/>
    <w:qFormat/>
    <w:uiPriority w:val="0"/>
    <w:rPr>
      <w:sz w:val="21"/>
      <w:szCs w:val="21"/>
    </w:rPr>
  </w:style>
  <w:style w:type="character" w:customStyle="1" w:styleId="37">
    <w:name w:val="页眉 字符"/>
    <w:basedOn w:val="31"/>
    <w:link w:val="20"/>
    <w:qFormat/>
    <w:uiPriority w:val="0"/>
    <w:rPr>
      <w:sz w:val="18"/>
      <w:szCs w:val="18"/>
    </w:rPr>
  </w:style>
  <w:style w:type="character" w:customStyle="1" w:styleId="38">
    <w:name w:val="页脚 字符"/>
    <w:basedOn w:val="31"/>
    <w:link w:val="18"/>
    <w:qFormat/>
    <w:uiPriority w:val="0"/>
    <w:rPr>
      <w:sz w:val="18"/>
      <w:szCs w:val="18"/>
    </w:rPr>
  </w:style>
  <w:style w:type="character" w:customStyle="1" w:styleId="39">
    <w:name w:val="批注文字 字符"/>
    <w:basedOn w:val="31"/>
    <w:link w:val="10"/>
    <w:qFormat/>
    <w:uiPriority w:val="0"/>
    <w:rPr>
      <w:rFonts w:ascii="Times New Roman" w:hAnsi="Times New Roman" w:eastAsia="宋体" w:cs="Times New Roman"/>
      <w:sz w:val="28"/>
      <w:szCs w:val="24"/>
    </w:rPr>
  </w:style>
  <w:style w:type="character" w:customStyle="1" w:styleId="40">
    <w:name w:val="正文文本缩进 字符"/>
    <w:basedOn w:val="31"/>
    <w:qFormat/>
    <w:uiPriority w:val="0"/>
    <w:rPr>
      <w:rFonts w:ascii="宋体" w:hAnsi="宋体" w:eastAsia="宋体" w:cs="宋体"/>
      <w:sz w:val="24"/>
      <w:szCs w:val="24"/>
    </w:rPr>
  </w:style>
  <w:style w:type="character" w:customStyle="1" w:styleId="41">
    <w:name w:val="批注框文本 字符"/>
    <w:basedOn w:val="31"/>
    <w:link w:val="17"/>
    <w:qFormat/>
    <w:uiPriority w:val="0"/>
    <w:rPr>
      <w:rFonts w:ascii="宋体" w:hAnsi="宋体" w:eastAsia="宋体" w:cs="宋体"/>
      <w:sz w:val="18"/>
      <w:szCs w:val="18"/>
    </w:rPr>
  </w:style>
  <w:style w:type="character" w:customStyle="1" w:styleId="42">
    <w:name w:val="正文文本缩进 字符1"/>
    <w:link w:val="12"/>
    <w:qFormat/>
    <w:uiPriority w:val="0"/>
    <w:rPr>
      <w:rFonts w:ascii="宋体" w:hAnsi="Courier New" w:eastAsia="宋体" w:cs="Times New Roman"/>
      <w:spacing w:val="-4"/>
      <w:sz w:val="18"/>
      <w:szCs w:val="20"/>
    </w:rPr>
  </w:style>
  <w:style w:type="character" w:customStyle="1" w:styleId="43">
    <w:name w:val="正文文本缩进 字符2"/>
    <w:qFormat/>
    <w:uiPriority w:val="0"/>
    <w:rPr>
      <w:rFonts w:ascii="宋体" w:hAnsi="Courier New"/>
      <w:spacing w:val="-4"/>
      <w:kern w:val="2"/>
      <w:sz w:val="18"/>
    </w:rPr>
  </w:style>
  <w:style w:type="character" w:customStyle="1" w:styleId="44">
    <w:name w:val="未处理的提及1"/>
    <w:basedOn w:val="31"/>
    <w:semiHidden/>
    <w:unhideWhenUsed/>
    <w:qFormat/>
    <w:uiPriority w:val="99"/>
    <w:rPr>
      <w:color w:val="605E5C"/>
      <w:shd w:val="clear" w:color="auto" w:fill="E1DFDD"/>
    </w:rPr>
  </w:style>
  <w:style w:type="paragraph" w:styleId="45">
    <w:name w:val="List Paragraph"/>
    <w:basedOn w:val="1"/>
    <w:qFormat/>
    <w:uiPriority w:val="0"/>
    <w:pPr>
      <w:ind w:firstLine="420" w:firstLineChars="200"/>
    </w:pPr>
  </w:style>
  <w:style w:type="paragraph" w:customStyle="1" w:styleId="46">
    <w:name w:val="纯文本1"/>
    <w:basedOn w:val="1"/>
    <w:next w:val="15"/>
    <w:link w:val="48"/>
    <w:qFormat/>
    <w:uiPriority w:val="0"/>
    <w:pPr>
      <w:spacing w:before="156" w:beforeLines="50" w:after="156" w:afterLines="50" w:line="400" w:lineRule="atLeast"/>
    </w:pPr>
    <w:rPr>
      <w:rFonts w:hAnsi="Courier New" w:cs="Times New Roman"/>
    </w:rPr>
  </w:style>
  <w:style w:type="character" w:customStyle="1" w:styleId="47">
    <w:name w:val="纯文本 字符"/>
    <w:basedOn w:val="31"/>
    <w:qFormat/>
    <w:uiPriority w:val="0"/>
    <w:rPr>
      <w:rFonts w:ascii="宋体" w:hAnsi="Courier New" w:eastAsia="宋体" w:cs="Courier New"/>
      <w:kern w:val="2"/>
      <w:sz w:val="24"/>
      <w:szCs w:val="24"/>
    </w:rPr>
  </w:style>
  <w:style w:type="character" w:customStyle="1" w:styleId="48">
    <w:name w:val="纯文本 字符1"/>
    <w:link w:val="46"/>
    <w:qFormat/>
    <w:uiPriority w:val="0"/>
    <w:rPr>
      <w:rFonts w:ascii="宋体" w:hAnsi="Courier New" w:eastAsia="宋体" w:cs="Times New Roman"/>
      <w:kern w:val="2"/>
      <w:sz w:val="24"/>
      <w:szCs w:val="24"/>
    </w:rPr>
  </w:style>
  <w:style w:type="character" w:customStyle="1" w:styleId="49">
    <w:name w:val="批注主题 字符"/>
    <w:basedOn w:val="39"/>
    <w:link w:val="26"/>
    <w:qFormat/>
    <w:uiPriority w:val="0"/>
    <w:rPr>
      <w:rFonts w:ascii="宋体" w:hAnsi="宋体" w:eastAsia="宋体" w:cs="宋体"/>
      <w:b/>
      <w:bCs/>
      <w:sz w:val="24"/>
      <w:szCs w:val="24"/>
    </w:rPr>
  </w:style>
  <w:style w:type="character" w:customStyle="1" w:styleId="50">
    <w:name w:val="未处理的提及2"/>
    <w:basedOn w:val="31"/>
    <w:semiHidden/>
    <w:unhideWhenUsed/>
    <w:qFormat/>
    <w:uiPriority w:val="99"/>
    <w:rPr>
      <w:color w:val="605E5C"/>
      <w:shd w:val="clear" w:color="auto" w:fill="E1DFDD"/>
    </w:rPr>
  </w:style>
  <w:style w:type="character" w:customStyle="1" w:styleId="51">
    <w:name w:val="正文文本 字符"/>
    <w:basedOn w:val="31"/>
    <w:link w:val="11"/>
    <w:qFormat/>
    <w:uiPriority w:val="0"/>
    <w:rPr>
      <w:rFonts w:ascii="宋体" w:hAnsi="宋体" w:eastAsia="宋体" w:cs="宋体"/>
      <w:sz w:val="24"/>
      <w:szCs w:val="24"/>
    </w:rPr>
  </w:style>
  <w:style w:type="character" w:customStyle="1" w:styleId="52">
    <w:name w:val="纯文本 字符2"/>
    <w:basedOn w:val="31"/>
    <w:link w:val="15"/>
    <w:semiHidden/>
    <w:qFormat/>
    <w:uiPriority w:val="99"/>
    <w:rPr>
      <w:rFonts w:hAnsi="Courier New" w:cs="Courier New" w:asciiTheme="minorEastAsia"/>
      <w:sz w:val="24"/>
      <w:szCs w:val="24"/>
    </w:rPr>
  </w:style>
  <w:style w:type="character" w:customStyle="1" w:styleId="53">
    <w:name w:val="标题 1 字符"/>
    <w:basedOn w:val="31"/>
    <w:link w:val="3"/>
    <w:qFormat/>
    <w:uiPriority w:val="0"/>
    <w:rPr>
      <w:rFonts w:ascii="Times New Roman" w:hAnsi="Times New Roman" w:eastAsia="宋体" w:cs="Times New Roman"/>
      <w:kern w:val="44"/>
      <w:sz w:val="44"/>
      <w:szCs w:val="44"/>
    </w:rPr>
  </w:style>
  <w:style w:type="character" w:customStyle="1" w:styleId="54">
    <w:name w:val="标题 2 字符"/>
    <w:basedOn w:val="31"/>
    <w:link w:val="4"/>
    <w:qFormat/>
    <w:uiPriority w:val="0"/>
    <w:rPr>
      <w:rFonts w:ascii="Cambria" w:hAnsi="Cambria" w:eastAsia="宋体" w:cs="Times New Roman"/>
      <w:b/>
      <w:bCs/>
      <w:sz w:val="32"/>
      <w:szCs w:val="32"/>
    </w:rPr>
  </w:style>
  <w:style w:type="character" w:customStyle="1" w:styleId="55">
    <w:name w:val="标题 4 字符"/>
    <w:basedOn w:val="31"/>
    <w:link w:val="5"/>
    <w:qFormat/>
    <w:uiPriority w:val="0"/>
    <w:rPr>
      <w:rFonts w:ascii="Arial" w:hAnsi="Arial" w:eastAsia="黑体" w:cs="Times New Roman"/>
      <w:b/>
      <w:bCs/>
      <w:sz w:val="28"/>
      <w:szCs w:val="28"/>
    </w:rPr>
  </w:style>
  <w:style w:type="character" w:customStyle="1" w:styleId="56">
    <w:name w:val="标题 5 字符"/>
    <w:basedOn w:val="31"/>
    <w:link w:val="6"/>
    <w:qFormat/>
    <w:uiPriority w:val="0"/>
    <w:rPr>
      <w:rFonts w:ascii="Times New Roman" w:hAnsi="Times New Roman" w:eastAsia="宋体" w:cs="Times New Roman"/>
      <w:b/>
      <w:bCs/>
      <w:sz w:val="28"/>
      <w:szCs w:val="28"/>
    </w:rPr>
  </w:style>
  <w:style w:type="character" w:customStyle="1" w:styleId="57">
    <w:name w:val="正文缩进 字符"/>
    <w:link w:val="8"/>
    <w:qFormat/>
    <w:uiPriority w:val="0"/>
    <w:rPr>
      <w:rFonts w:ascii="Times New Roman" w:hAnsi="Times New Roman" w:eastAsia="宋体" w:cs="Times New Roman"/>
      <w:szCs w:val="20"/>
    </w:rPr>
  </w:style>
  <w:style w:type="character" w:customStyle="1" w:styleId="58">
    <w:name w:val="正文文本 2 字符"/>
    <w:basedOn w:val="31"/>
    <w:link w:val="22"/>
    <w:qFormat/>
    <w:uiPriority w:val="0"/>
    <w:rPr>
      <w:rFonts w:ascii="宋体" w:hAnsi="宋体" w:eastAsia="宋体" w:cs="Times New Roman"/>
      <w:color w:val="000000"/>
      <w:sz w:val="24"/>
      <w:szCs w:val="24"/>
    </w:rPr>
  </w:style>
  <w:style w:type="character" w:customStyle="1" w:styleId="59">
    <w:name w:val="正文文本首行缩进 2 字符"/>
    <w:basedOn w:val="42"/>
    <w:link w:val="28"/>
    <w:qFormat/>
    <w:uiPriority w:val="0"/>
    <w:rPr>
      <w:rFonts w:ascii="Times New Roman" w:hAnsi="Times New Roman" w:eastAsia="宋体" w:cs="Times New Roman"/>
      <w:spacing w:val="-4"/>
      <w:sz w:val="18"/>
      <w:szCs w:val="20"/>
    </w:rPr>
  </w:style>
  <w:style w:type="character" w:customStyle="1" w:styleId="60">
    <w:name w:val="日期 字符"/>
    <w:basedOn w:val="31"/>
    <w:link w:val="16"/>
    <w:qFormat/>
    <w:uiPriority w:val="0"/>
    <w:rPr>
      <w:rFonts w:ascii="Times New Roman" w:hAnsi="Times New Roman" w:eastAsia="楷体_GB2312" w:cs="Times New Roman"/>
      <w:sz w:val="32"/>
      <w:szCs w:val="20"/>
    </w:rPr>
  </w:style>
  <w:style w:type="character" w:customStyle="1" w:styleId="61">
    <w:name w:val="页脚 字符1"/>
    <w:qFormat/>
    <w:uiPriority w:val="0"/>
    <w:rPr>
      <w:rFonts w:ascii="Times New Roman" w:hAnsi="Times New Roman" w:eastAsia="宋体" w:cs="Times New Roman"/>
      <w:kern w:val="2"/>
      <w:sz w:val="18"/>
      <w:szCs w:val="18"/>
    </w:rPr>
  </w:style>
  <w:style w:type="character" w:customStyle="1" w:styleId="62">
    <w:name w:val="页眉 字符1"/>
    <w:qFormat/>
    <w:uiPriority w:val="0"/>
    <w:rPr>
      <w:rFonts w:ascii="Times New Roman" w:hAnsi="Times New Roman" w:eastAsia="宋体" w:cs="Times New Roman"/>
      <w:kern w:val="2"/>
      <w:sz w:val="18"/>
      <w:szCs w:val="18"/>
    </w:rPr>
  </w:style>
  <w:style w:type="character" w:customStyle="1" w:styleId="63">
    <w:name w:val="HTML 预设格式 字符"/>
    <w:basedOn w:val="31"/>
    <w:link w:val="23"/>
    <w:qFormat/>
    <w:uiPriority w:val="0"/>
    <w:rPr>
      <w:rFonts w:ascii="宋体" w:hAnsi="宋体" w:eastAsia="宋体" w:cs="宋体"/>
      <w:kern w:val="0"/>
      <w:sz w:val="24"/>
      <w:szCs w:val="24"/>
    </w:rPr>
  </w:style>
  <w:style w:type="character" w:customStyle="1" w:styleId="64">
    <w:name w:val="标题 字符"/>
    <w:basedOn w:val="31"/>
    <w:link w:val="25"/>
    <w:qFormat/>
    <w:uiPriority w:val="0"/>
    <w:rPr>
      <w:rFonts w:ascii="Calibri Light" w:hAnsi="Calibri Light" w:eastAsia="Calibri Light" w:cs="Times New Roman"/>
      <w:b/>
      <w:bCs/>
      <w:kern w:val="0"/>
      <w:sz w:val="32"/>
      <w:szCs w:val="32"/>
    </w:rPr>
  </w:style>
  <w:style w:type="character" w:customStyle="1" w:styleId="65">
    <w:name w:val="正文文本首行缩进 字符"/>
    <w:basedOn w:val="51"/>
    <w:link w:val="27"/>
    <w:qFormat/>
    <w:uiPriority w:val="99"/>
    <w:rPr>
      <w:rFonts w:ascii="Calibri" w:hAnsi="Calibri" w:eastAsia="宋体" w:cs="Times New Roman"/>
      <w:sz w:val="24"/>
      <w:szCs w:val="24"/>
    </w:rPr>
  </w:style>
  <w:style w:type="paragraph" w:customStyle="1" w:styleId="66">
    <w:name w:val="Normal Indent1"/>
    <w:qFormat/>
    <w:uiPriority w:val="0"/>
    <w:pPr>
      <w:ind w:firstLine="420"/>
    </w:pPr>
    <w:rPr>
      <w:rFonts w:ascii="Times New Roman" w:hAnsi="Times New Roman" w:eastAsia="仿宋_GB2312" w:cs="宋体"/>
      <w:b/>
      <w:bCs/>
      <w:color w:val="000000"/>
      <w:sz w:val="21"/>
      <w:lang w:val="en-US" w:eastAsia="zh-CN" w:bidi="ar-SA"/>
    </w:rPr>
  </w:style>
  <w:style w:type="paragraph" w:customStyle="1" w:styleId="67">
    <w:name w:val="首行缩进"/>
    <w:basedOn w:val="1"/>
    <w:qFormat/>
    <w:uiPriority w:val="0"/>
    <w:pPr>
      <w:spacing w:line="360" w:lineRule="auto"/>
      <w:ind w:firstLine="480" w:firstLineChars="200"/>
    </w:pPr>
    <w:rPr>
      <w:rFonts w:ascii="Times New Roman"/>
    </w:rPr>
  </w:style>
  <w:style w:type="character" w:customStyle="1" w:styleId="68">
    <w:name w:val="jbox-icon-loading"/>
    <w:qFormat/>
    <w:uiPriority w:val="0"/>
    <w:rPr>
      <w:rFonts w:ascii="Times New Roman" w:hAnsi="Times New Roman" w:eastAsia="宋体" w:cs="Times New Roman"/>
    </w:rPr>
  </w:style>
  <w:style w:type="character" w:customStyle="1" w:styleId="69">
    <w:name w:val="正文文本缩进 Char"/>
    <w:qFormat/>
    <w:uiPriority w:val="0"/>
    <w:rPr>
      <w:rFonts w:ascii="宋体" w:hAnsi="Courier New" w:eastAsia="宋体" w:cs="Times New Roman"/>
      <w:spacing w:val="-4"/>
      <w:kern w:val="2"/>
      <w:sz w:val="18"/>
    </w:rPr>
  </w:style>
  <w:style w:type="character" w:customStyle="1" w:styleId="70">
    <w:name w:val="maywed421"/>
    <w:qFormat/>
    <w:uiPriority w:val="0"/>
    <w:rPr>
      <w:rFonts w:ascii="Times New Roman" w:hAnsi="Times New Roman" w:eastAsia="宋体" w:cs="Times New Roman"/>
      <w:color w:val="366FB6"/>
      <w:u w:val="none"/>
    </w:rPr>
  </w:style>
  <w:style w:type="character" w:customStyle="1" w:styleId="71">
    <w:name w:val="jbox-icon-success"/>
    <w:qFormat/>
    <w:uiPriority w:val="0"/>
    <w:rPr>
      <w:rFonts w:ascii="Times New Roman" w:hAnsi="Times New Roman" w:eastAsia="宋体" w:cs="Times New Roman"/>
    </w:rPr>
  </w:style>
  <w:style w:type="character" w:customStyle="1" w:styleId="72">
    <w:name w:val="jbox-icon-error"/>
    <w:qFormat/>
    <w:uiPriority w:val="0"/>
    <w:rPr>
      <w:rFonts w:ascii="Times New Roman" w:hAnsi="Times New Roman" w:eastAsia="宋体" w:cs="Times New Roman"/>
    </w:rPr>
  </w:style>
  <w:style w:type="character" w:customStyle="1" w:styleId="73">
    <w:name w:val="z-窗体底端 字符"/>
    <w:link w:val="74"/>
    <w:qFormat/>
    <w:uiPriority w:val="0"/>
    <w:rPr>
      <w:rFonts w:ascii="Arial" w:hAnsi="Arial" w:eastAsia="宋体" w:cs="Times New Roman"/>
      <w:vanish/>
      <w:sz w:val="16"/>
      <w:szCs w:val="16"/>
    </w:rPr>
  </w:style>
  <w:style w:type="paragraph" w:customStyle="1" w:styleId="74">
    <w:name w:val="z-窗体底端1"/>
    <w:basedOn w:val="1"/>
    <w:next w:val="1"/>
    <w:link w:val="73"/>
    <w:qFormat/>
    <w:uiPriority w:val="0"/>
    <w:pPr>
      <w:widowControl/>
      <w:pBdr>
        <w:top w:val="single" w:color="auto" w:sz="6" w:space="1"/>
      </w:pBdr>
      <w:jc w:val="center"/>
    </w:pPr>
    <w:rPr>
      <w:rFonts w:ascii="Arial" w:hAnsi="Arial" w:cs="Times New Roman"/>
      <w:vanish/>
      <w:sz w:val="16"/>
      <w:szCs w:val="16"/>
    </w:rPr>
  </w:style>
  <w:style w:type="character" w:customStyle="1" w:styleId="75">
    <w:name w:val="z-窗体底端 字符1"/>
    <w:basedOn w:val="31"/>
    <w:semiHidden/>
    <w:qFormat/>
    <w:uiPriority w:val="99"/>
    <w:rPr>
      <w:rFonts w:ascii="Arial" w:hAnsi="Arial" w:eastAsia="宋体" w:cs="Arial"/>
      <w:vanish/>
      <w:sz w:val="16"/>
      <w:szCs w:val="16"/>
    </w:rPr>
  </w:style>
  <w:style w:type="character" w:customStyle="1" w:styleId="76">
    <w:name w:val="Plain Text Char Char"/>
    <w:qFormat/>
    <w:uiPriority w:val="0"/>
    <w:rPr>
      <w:rFonts w:ascii="宋体" w:hAnsi="Courier New" w:eastAsia="宋体" w:cs="宋体"/>
    </w:rPr>
  </w:style>
  <w:style w:type="character" w:customStyle="1" w:styleId="77">
    <w:name w:val="jbox-icon-question"/>
    <w:qFormat/>
    <w:uiPriority w:val="0"/>
    <w:rPr>
      <w:rFonts w:ascii="Times New Roman" w:hAnsi="Times New Roman" w:eastAsia="宋体" w:cs="Times New Roman"/>
    </w:rPr>
  </w:style>
  <w:style w:type="character" w:customStyle="1" w:styleId="78">
    <w:name w:val="jbox-icon-none"/>
    <w:qFormat/>
    <w:uiPriority w:val="0"/>
    <w:rPr>
      <w:rFonts w:ascii="Times New Roman" w:hAnsi="Times New Roman" w:eastAsia="宋体" w:cs="Times New Roman"/>
      <w:vanish/>
    </w:rPr>
  </w:style>
  <w:style w:type="character" w:customStyle="1" w:styleId="79">
    <w:name w:val="纯文本 Char1"/>
    <w:qFormat/>
    <w:uiPriority w:val="0"/>
    <w:rPr>
      <w:rFonts w:ascii="宋体" w:hAnsi="Courier New" w:eastAsia="宋体" w:cs="Times New Roman"/>
      <w:kern w:val="2"/>
      <w:sz w:val="21"/>
    </w:rPr>
  </w:style>
  <w:style w:type="character" w:customStyle="1" w:styleId="80">
    <w:name w:val="font51"/>
    <w:qFormat/>
    <w:uiPriority w:val="0"/>
    <w:rPr>
      <w:rFonts w:hint="eastAsia" w:ascii="宋体" w:hAnsi="宋体" w:eastAsia="宋体" w:cs="宋体"/>
      <w:color w:val="000000"/>
      <w:sz w:val="21"/>
      <w:szCs w:val="21"/>
      <w:u w:val="none"/>
    </w:rPr>
  </w:style>
  <w:style w:type="character" w:customStyle="1" w:styleId="81">
    <w:name w:val="正方框图 Char Char Char"/>
    <w:link w:val="82"/>
    <w:qFormat/>
    <w:uiPriority w:val="0"/>
    <w:rPr>
      <w:rFonts w:ascii="Times New Roman" w:hAnsi="Times New Roman" w:eastAsia="宋体" w:cs="Times New Roman"/>
      <w:szCs w:val="21"/>
    </w:rPr>
  </w:style>
  <w:style w:type="paragraph" w:customStyle="1" w:styleId="82">
    <w:name w:val="正方框图 Char Char"/>
    <w:basedOn w:val="1"/>
    <w:link w:val="81"/>
    <w:qFormat/>
    <w:uiPriority w:val="0"/>
    <w:pPr>
      <w:snapToGrid w:val="0"/>
      <w:jc w:val="center"/>
    </w:pPr>
    <w:rPr>
      <w:rFonts w:ascii="Times New Roman" w:hAnsi="Times New Roman" w:cs="Times New Roman"/>
      <w:sz w:val="21"/>
      <w:szCs w:val="21"/>
    </w:rPr>
  </w:style>
  <w:style w:type="character" w:customStyle="1" w:styleId="83">
    <w:name w:val="black601"/>
    <w:qFormat/>
    <w:uiPriority w:val="0"/>
    <w:rPr>
      <w:rFonts w:ascii="Times New Roman" w:hAnsi="Times New Roman" w:eastAsia="宋体" w:cs="Times New Roman"/>
      <w:color w:val="666666"/>
    </w:rPr>
  </w:style>
  <w:style w:type="character" w:customStyle="1" w:styleId="84">
    <w:name w:val="标题 1 Char Char"/>
    <w:qFormat/>
    <w:uiPriority w:val="0"/>
    <w:rPr>
      <w:rFonts w:ascii="Times New Roman" w:hAnsi="Times New Roman" w:eastAsia="宋体" w:cs="Times New Roman"/>
      <w:b/>
      <w:spacing w:val="-2"/>
      <w:sz w:val="24"/>
      <w:lang w:val="en-US" w:eastAsia="zh-CN" w:bidi="ar-SA"/>
    </w:rPr>
  </w:style>
  <w:style w:type="character" w:customStyle="1" w:styleId="85">
    <w:name w:val="jbox-icon-warning"/>
    <w:qFormat/>
    <w:uiPriority w:val="0"/>
    <w:rPr>
      <w:rFonts w:ascii="Times New Roman" w:hAnsi="Times New Roman" w:eastAsia="宋体" w:cs="Times New Roman"/>
    </w:rPr>
  </w:style>
  <w:style w:type="character" w:customStyle="1" w:styleId="86">
    <w:name w:val="纯文本 Char2"/>
    <w:qFormat/>
    <w:uiPriority w:val="0"/>
    <w:rPr>
      <w:rFonts w:ascii="宋体" w:hAnsi="Courier New" w:eastAsia="宋体" w:cs="Times New Roman"/>
      <w:kern w:val="2"/>
      <w:sz w:val="24"/>
      <w:szCs w:val="24"/>
    </w:rPr>
  </w:style>
  <w:style w:type="character" w:customStyle="1" w:styleId="87">
    <w:name w:val="jbox-icon-info"/>
    <w:qFormat/>
    <w:uiPriority w:val="0"/>
    <w:rPr>
      <w:rFonts w:ascii="Times New Roman" w:hAnsi="Times New Roman" w:eastAsia="宋体" w:cs="Times New Roman"/>
    </w:rPr>
  </w:style>
  <w:style w:type="character" w:customStyle="1" w:styleId="88">
    <w:name w:val="z-窗体顶端 字符"/>
    <w:link w:val="89"/>
    <w:qFormat/>
    <w:uiPriority w:val="0"/>
    <w:rPr>
      <w:rFonts w:ascii="Arial" w:hAnsi="Arial" w:eastAsia="宋体" w:cs="Times New Roman"/>
      <w:vanish/>
      <w:sz w:val="16"/>
      <w:szCs w:val="16"/>
    </w:rPr>
  </w:style>
  <w:style w:type="paragraph" w:customStyle="1" w:styleId="89">
    <w:name w:val="z-窗体顶端1"/>
    <w:basedOn w:val="1"/>
    <w:next w:val="1"/>
    <w:link w:val="88"/>
    <w:qFormat/>
    <w:uiPriority w:val="0"/>
    <w:pPr>
      <w:widowControl/>
      <w:pBdr>
        <w:bottom w:val="single" w:color="auto" w:sz="6" w:space="1"/>
      </w:pBdr>
      <w:jc w:val="center"/>
    </w:pPr>
    <w:rPr>
      <w:rFonts w:ascii="Arial" w:hAnsi="Arial" w:cs="Times New Roman"/>
      <w:vanish/>
      <w:sz w:val="16"/>
      <w:szCs w:val="16"/>
    </w:rPr>
  </w:style>
  <w:style w:type="character" w:customStyle="1" w:styleId="90">
    <w:name w:val="z-窗体顶端 字符1"/>
    <w:basedOn w:val="31"/>
    <w:semiHidden/>
    <w:qFormat/>
    <w:uiPriority w:val="99"/>
    <w:rPr>
      <w:rFonts w:ascii="Arial" w:hAnsi="Arial" w:eastAsia="宋体" w:cs="Arial"/>
      <w:vanish/>
      <w:sz w:val="16"/>
      <w:szCs w:val="16"/>
    </w:rPr>
  </w:style>
  <w:style w:type="character" w:customStyle="1" w:styleId="91">
    <w:name w:val="批注文字 Char"/>
    <w:qFormat/>
    <w:uiPriority w:val="0"/>
    <w:rPr>
      <w:rFonts w:ascii="Times New Roman" w:hAnsi="Times New Roman" w:eastAsia="宋体" w:cs="Times New Roman"/>
      <w:kern w:val="2"/>
      <w:sz w:val="28"/>
      <w:szCs w:val="24"/>
    </w:rPr>
  </w:style>
  <w:style w:type="character" w:customStyle="1" w:styleId="92">
    <w:name w:val="jbox-icon"/>
    <w:qFormat/>
    <w:uiPriority w:val="0"/>
    <w:rPr>
      <w:rFonts w:ascii="Times New Roman" w:hAnsi="Times New Roman" w:eastAsia="宋体" w:cs="Times New Roman"/>
    </w:rPr>
  </w:style>
  <w:style w:type="paragraph" w:customStyle="1" w:styleId="93">
    <w:name w:val="列出段落1"/>
    <w:basedOn w:val="1"/>
    <w:qFormat/>
    <w:uiPriority w:val="0"/>
    <w:pPr>
      <w:ind w:firstLine="420" w:firstLineChars="200"/>
    </w:pPr>
    <w:rPr>
      <w:rFonts w:ascii="Calibri" w:hAnsi="Calibri" w:cs="Times New Roman"/>
      <w:sz w:val="28"/>
    </w:rPr>
  </w:style>
  <w:style w:type="paragraph" w:customStyle="1" w:styleId="94">
    <w:name w:val="Default"/>
    <w:next w:val="95"/>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95">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9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7">
    <w:name w:val="列表段落1"/>
    <w:basedOn w:val="1"/>
    <w:qFormat/>
    <w:uiPriority w:val="0"/>
    <w:pPr>
      <w:ind w:firstLine="200" w:firstLineChars="200"/>
    </w:pPr>
    <w:rPr>
      <w:rFonts w:ascii="Calibri" w:hAnsi="Calibri" w:cs="Arial"/>
      <w:sz w:val="28"/>
    </w:rPr>
  </w:style>
  <w:style w:type="paragraph" w:customStyle="1" w:styleId="98">
    <w:name w:val="p16"/>
    <w:basedOn w:val="1"/>
    <w:qFormat/>
    <w:uiPriority w:val="0"/>
    <w:pPr>
      <w:widowControl/>
      <w:spacing w:before="100" w:after="100"/>
      <w:jc w:val="left"/>
    </w:pPr>
    <w:rPr>
      <w:color w:val="000000"/>
      <w:kern w:val="0"/>
    </w:rPr>
  </w:style>
  <w:style w:type="paragraph" w:styleId="99">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00">
    <w:name w:val="样式 标题 2 + Times New Roman 四号 非加粗 段前: 5 磅 段后: 0 磅 行距: 固定值 20..."/>
    <w:qFormat/>
    <w:uiPriority w:val="0"/>
    <w:pPr>
      <w:keepNext/>
      <w:keepLines/>
      <w:widowControl w:val="0"/>
      <w:spacing w:before="100" w:line="400" w:lineRule="exact"/>
      <w:jc w:val="both"/>
      <w:outlineLvl w:val="1"/>
    </w:pPr>
    <w:rPr>
      <w:rFonts w:ascii="Times New Roman" w:hAnsi="Times New Roman" w:eastAsia="宋体" w:cs="Times New Roman"/>
      <w:kern w:val="2"/>
      <w:sz w:val="28"/>
      <w:szCs w:val="28"/>
      <w:lang w:val="en-US" w:eastAsia="zh-CN" w:bidi="ar-SA"/>
    </w:rPr>
  </w:style>
  <w:style w:type="paragraph" w:customStyle="1" w:styleId="101">
    <w:name w:val="样式 标题 3 + (中文) 黑体 小四 非加粗 段前: 7.8 磅 段后: 0 磅 行距: 固定值 20 磅"/>
    <w:qFormat/>
    <w:uiPriority w:val="0"/>
    <w:pPr>
      <w:widowControl w:val="0"/>
      <w:spacing w:line="400" w:lineRule="exact"/>
      <w:ind w:left="2220" w:hanging="420"/>
      <w:jc w:val="both"/>
      <w:outlineLvl w:val="2"/>
    </w:pPr>
    <w:rPr>
      <w:rFonts w:ascii="Times New Roman" w:hAnsi="Times New Roman" w:eastAsia="黑体" w:cs="Times New Roman"/>
      <w:b/>
      <w:kern w:val="2"/>
      <w:sz w:val="24"/>
      <w:szCs w:val="24"/>
      <w:lang w:val="en-US" w:eastAsia="zh-CN" w:bidi="ar-SA"/>
    </w:rPr>
  </w:style>
  <w:style w:type="paragraph" w:customStyle="1" w:styleId="102">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3">
    <w:name w:val="List Paragraph1"/>
    <w:basedOn w:val="1"/>
    <w:qFormat/>
    <w:uiPriority w:val="0"/>
    <w:pPr>
      <w:ind w:firstLine="420" w:firstLineChars="200"/>
    </w:pPr>
    <w:rPr>
      <w:rFonts w:ascii="Times New Roman" w:hAnsi="Times New Roman" w:cs="Times New Roman"/>
      <w:sz w:val="21"/>
    </w:rPr>
  </w:style>
  <w:style w:type="paragraph" w:customStyle="1" w:styleId="104">
    <w:name w:val="修订1"/>
    <w:semiHidden/>
    <w:qFormat/>
    <w:uiPriority w:val="99"/>
    <w:rPr>
      <w:rFonts w:ascii="Times New Roman" w:hAnsi="Times New Roman" w:eastAsia="宋体" w:cs="Times New Roman"/>
      <w:kern w:val="2"/>
      <w:sz w:val="28"/>
      <w:szCs w:val="24"/>
      <w:lang w:val="en-US" w:eastAsia="zh-CN" w:bidi="ar-SA"/>
    </w:rPr>
  </w:style>
  <w:style w:type="paragraph" w:customStyle="1" w:styleId="105">
    <w:name w:val="正文 A"/>
    <w:qFormat/>
    <w:uiPriority w:val="0"/>
    <w:pPr>
      <w:widowControl w:val="0"/>
      <w:jc w:val="both"/>
    </w:pPr>
    <w:rPr>
      <w:rFonts w:hint="eastAsia" w:ascii="Arial Unicode MS" w:hAnsi="Arial Unicode MS" w:eastAsia="Arial Unicode MS" w:cs="Arial Unicode MS"/>
      <w:color w:val="000000"/>
      <w:kern w:val="2"/>
      <w:sz w:val="21"/>
      <w:szCs w:val="21"/>
      <w:u w:color="000000"/>
      <w:lang w:val="zh-TW" w:eastAsia="zh-TW" w:bidi="ar-SA"/>
    </w:rPr>
  </w:style>
  <w:style w:type="paragraph" w:customStyle="1" w:styleId="106">
    <w:name w:val="Blockquote"/>
    <w:basedOn w:val="1"/>
    <w:qFormat/>
    <w:uiPriority w:val="0"/>
    <w:pPr>
      <w:autoSpaceDE w:val="0"/>
      <w:autoSpaceDN w:val="0"/>
      <w:adjustRightInd w:val="0"/>
      <w:spacing w:before="100" w:after="100"/>
      <w:ind w:left="360" w:right="360"/>
      <w:jc w:val="left"/>
    </w:pPr>
    <w:rPr>
      <w:rFonts w:ascii="Times New Roman" w:hAnsi="Times New Roman" w:cs="Times New Roman"/>
      <w:kern w:val="0"/>
    </w:rPr>
  </w:style>
  <w:style w:type="paragraph" w:customStyle="1" w:styleId="107">
    <w:name w:val="正文段"/>
    <w:basedOn w:val="1"/>
    <w:qFormat/>
    <w:uiPriority w:val="0"/>
    <w:pPr>
      <w:widowControl/>
      <w:snapToGrid w:val="0"/>
      <w:spacing w:after="156" w:afterLines="50"/>
      <w:ind w:firstLine="200" w:firstLineChars="200"/>
    </w:pPr>
    <w:rPr>
      <w:rFonts w:ascii="Times New Roman" w:hAnsi="Times New Roman" w:cs="Times New Roman"/>
      <w:kern w:val="0"/>
      <w:szCs w:val="20"/>
    </w:rPr>
  </w:style>
  <w:style w:type="paragraph" w:customStyle="1" w:styleId="108">
    <w:name w:val="Char Char Char Char"/>
    <w:basedOn w:val="1"/>
    <w:qFormat/>
    <w:uiPriority w:val="0"/>
    <w:pPr>
      <w:widowControl/>
      <w:spacing w:after="160" w:line="240" w:lineRule="exact"/>
      <w:jc w:val="left"/>
    </w:pPr>
    <w:rPr>
      <w:rFonts w:ascii="Verdana" w:hAnsi="Verdana" w:cs="Times New Roman"/>
      <w:kern w:val="0"/>
      <w:sz w:val="20"/>
      <w:szCs w:val="20"/>
      <w:lang w:eastAsia="en-US"/>
    </w:rPr>
  </w:style>
  <w:style w:type="paragraph" w:customStyle="1" w:styleId="109">
    <w:name w:val="xl25"/>
    <w:basedOn w:val="1"/>
    <w:qFormat/>
    <w:uiPriority w:val="0"/>
    <w:pPr>
      <w:widowControl/>
      <w:spacing w:before="100" w:beforeAutospacing="1" w:after="100" w:afterAutospacing="1"/>
      <w:jc w:val="center"/>
      <w:textAlignment w:val="center"/>
    </w:pPr>
    <w:rPr>
      <w:rFonts w:hint="eastAsia" w:ascii="楷体_GB2312" w:eastAsia="楷体_GB2312" w:cs="Times New Roman"/>
      <w:kern w:val="0"/>
    </w:rPr>
  </w:style>
  <w:style w:type="paragraph" w:customStyle="1" w:styleId="110">
    <w:name w:val="标题 10"/>
    <w:basedOn w:val="4"/>
    <w:qFormat/>
    <w:uiPriority w:val="0"/>
    <w:pPr>
      <w:jc w:val="center"/>
    </w:pPr>
    <w:rPr>
      <w:rFonts w:ascii="Times New Roman" w:hAnsi="Times New Roman"/>
      <w:kern w:val="0"/>
    </w:rPr>
  </w:style>
  <w:style w:type="paragraph" w:customStyle="1" w:styleId="111">
    <w:name w:val="默认段落字体 Para Char Char Char Char Char Char Char Char Char1 Char Char Char Char"/>
    <w:basedOn w:val="1"/>
    <w:qFormat/>
    <w:uiPriority w:val="0"/>
    <w:rPr>
      <w:rFonts w:ascii="Tahoma" w:hAnsi="Tahoma" w:cs="Times New Roman"/>
      <w:szCs w:val="20"/>
    </w:rPr>
  </w:style>
  <w:style w:type="paragraph" w:customStyle="1" w:styleId="112">
    <w:name w:val="列表段落2"/>
    <w:basedOn w:val="1"/>
    <w:qFormat/>
    <w:uiPriority w:val="0"/>
    <w:pPr>
      <w:ind w:firstLine="420" w:firstLineChars="200"/>
    </w:pPr>
    <w:rPr>
      <w:rFonts w:ascii="Calibri" w:hAnsi="Calibri" w:cs="Times New Roman"/>
      <w:sz w:val="21"/>
    </w:rPr>
  </w:style>
  <w:style w:type="paragraph" w:customStyle="1" w:styleId="113">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rPr>
  </w:style>
  <w:style w:type="paragraph" w:customStyle="1" w:styleId="11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115">
    <w:name w:val="标准正文"/>
    <w:basedOn w:val="1"/>
    <w:qFormat/>
    <w:uiPriority w:val="0"/>
    <w:pPr>
      <w:widowControl/>
      <w:spacing w:before="156" w:after="156" w:line="360" w:lineRule="auto"/>
      <w:ind w:firstLine="480" w:firstLineChars="200"/>
      <w:jc w:val="left"/>
    </w:pPr>
    <w:rPr>
      <w:rFonts w:ascii="Times New Roman" w:hAnsi="Times New Roman" w:cs="Times New Roman"/>
      <w:kern w:val="0"/>
    </w:rPr>
  </w:style>
  <w:style w:type="paragraph" w:customStyle="1" w:styleId="116">
    <w:name w:val="Table Paragraph"/>
    <w:basedOn w:val="1"/>
    <w:qFormat/>
    <w:uiPriority w:val="1"/>
    <w:rPr>
      <w:sz w:val="28"/>
      <w:lang w:val="zh-CN" w:bidi="zh-CN"/>
    </w:rPr>
  </w:style>
  <w:style w:type="paragraph" w:customStyle="1" w:styleId="117">
    <w:name w:val="表格文字"/>
    <w:basedOn w:val="15"/>
    <w:next w:val="11"/>
    <w:qFormat/>
    <w:uiPriority w:val="0"/>
    <w:pPr>
      <w:adjustRightInd w:val="0"/>
      <w:spacing w:before="156" w:beforeLines="50" w:after="156" w:afterLines="50" w:line="420" w:lineRule="atLeast"/>
      <w:textAlignment w:val="baseline"/>
    </w:pPr>
    <w:rPr>
      <w:rFonts w:ascii="宋体" w:eastAsia="宋体" w:cs="Times New Roman"/>
    </w:rPr>
  </w:style>
  <w:style w:type="character" w:customStyle="1" w:styleId="118">
    <w:name w:val="font41"/>
    <w:qFormat/>
    <w:uiPriority w:val="0"/>
    <w:rPr>
      <w:rFonts w:hint="default" w:ascii="Times New Roman" w:hAnsi="Times New Roman" w:cs="Times New Roman"/>
      <w:color w:val="000000"/>
      <w:sz w:val="24"/>
      <w:szCs w:val="24"/>
      <w:u w:val="none"/>
    </w:rPr>
  </w:style>
  <w:style w:type="character" w:customStyle="1" w:styleId="119">
    <w:name w:val="font31"/>
    <w:qFormat/>
    <w:uiPriority w:val="0"/>
    <w:rPr>
      <w:rFonts w:hint="eastAsia" w:ascii="宋体" w:hAnsi="宋体" w:eastAsia="宋体" w:cs="宋体"/>
      <w:color w:val="000000"/>
      <w:sz w:val="24"/>
      <w:szCs w:val="24"/>
      <w:u w:val="none"/>
    </w:rPr>
  </w:style>
  <w:style w:type="paragraph" w:customStyle="1" w:styleId="120">
    <w:name w:val="修订2"/>
    <w:hidden/>
    <w:semiHidden/>
    <w:qFormat/>
    <w:uiPriority w:val="99"/>
    <w:rPr>
      <w:rFonts w:ascii="宋体" w:hAnsi="宋体" w:eastAsia="宋体" w:cs="宋体"/>
      <w:kern w:val="2"/>
      <w:sz w:val="24"/>
      <w:szCs w:val="24"/>
      <w:lang w:val="en-US" w:eastAsia="zh-CN" w:bidi="ar-SA"/>
    </w:rPr>
  </w:style>
  <w:style w:type="paragraph" w:customStyle="1" w:styleId="121">
    <w:name w:val="修订3"/>
    <w:hidden/>
    <w:semiHidden/>
    <w:qFormat/>
    <w:uiPriority w:val="99"/>
    <w:rPr>
      <w:rFonts w:ascii="宋体" w:hAnsi="宋体" w:eastAsia="宋体" w:cs="宋体"/>
      <w:kern w:val="2"/>
      <w:sz w:val="24"/>
      <w:szCs w:val="24"/>
      <w:lang w:val="en-US" w:eastAsia="zh-CN" w:bidi="ar-SA"/>
    </w:rPr>
  </w:style>
  <w:style w:type="paragraph" w:customStyle="1" w:styleId="122">
    <w:name w:val="修订4"/>
    <w:hidden/>
    <w:semiHidden/>
    <w:qFormat/>
    <w:uiPriority w:val="99"/>
    <w:rPr>
      <w:rFonts w:ascii="宋体" w:hAnsi="宋体" w:eastAsia="宋体" w:cs="宋体"/>
      <w:kern w:val="2"/>
      <w:sz w:val="24"/>
      <w:szCs w:val="24"/>
      <w:lang w:val="en-US" w:eastAsia="zh-CN" w:bidi="ar-SA"/>
    </w:rPr>
  </w:style>
  <w:style w:type="table" w:customStyle="1" w:styleId="123">
    <w:name w:val="网格型1"/>
    <w:basedOn w:val="29"/>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79</Pages>
  <Words>5989</Words>
  <Characters>6540</Characters>
  <Lines>335</Lines>
  <Paragraphs>94</Paragraphs>
  <TotalTime>8</TotalTime>
  <ScaleCrop>false</ScaleCrop>
  <LinksUpToDate>false</LinksUpToDate>
  <CharactersWithSpaces>6574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2023-05-07T17:51:00Z</dcterms:created>
  <dc:creator>j hj</dc:creator>
  <cp:lastModifiedBy>陈培特</cp:lastModifiedBy>
  <dcterms:modified xsi:type="dcterms:W3CDTF">2025-11-19T01:07:58Z</dcterms:modified>
  <cp:revision>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45DBA5B92AF645608B31A832F2D26076_13</vt:lpwstr>
  </property>
  <property fmtid="{D5CDD505-2E9C-101B-9397-08002B2CF9AE}" pid="4" name="KSOTemplateDocerSaveRecord">
    <vt:lpwstr>eyJoZGlkIjoiNDgyMzY5NWQ1ODliZTBkZGU1M2NmOTVhMGFiMjFkOWQiLCJ1c2VySWQiOiIxNjExOTk5NzE0In0=</vt:lpwstr>
  </property>
</Properties>
</file>